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技术响应表；</w:t>
      </w:r>
    </w:p>
    <w:tbl>
      <w:tblPr>
        <w:tblStyle w:val="14"/>
        <w:tblW w:w="9360" w:type="dxa"/>
        <w:tblInd w:w="-2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2"/>
        <w:gridCol w:w="888"/>
        <w:gridCol w:w="3476"/>
        <w:gridCol w:w="1629"/>
        <w:gridCol w:w="28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3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注：技术响应需要针对技术要求逐项明确，偏离情况需要标明正偏离或负偏离或响应，负偏离有可能造成报价被拒绝。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微耕机</w:t>
            </w:r>
          </w:p>
        </w:tc>
        <w:tc>
          <w:tcPr>
            <w:tcW w:w="3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188风冷柴油电启，电启带转向；实心轮胎；旋耕刀；开沟刀；除草轮；一对防滑铁驱动轮，铁驱动轮外轮距不超50公分。                              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旋耕；除草；开沟；回填；起垄；施肥；培土；犁地）。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星彭电动三轮</w:t>
            </w:r>
          </w:p>
        </w:tc>
        <w:tc>
          <w:tcPr>
            <w:tcW w:w="3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电机1500W；车厢1.5×1米；电池58A）。         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4" w:hRule="atLeast"/>
        </w:trPr>
        <w:tc>
          <w:tcPr>
            <w:tcW w:w="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深水泵</w:t>
            </w:r>
          </w:p>
        </w:tc>
        <w:tc>
          <w:tcPr>
            <w:tcW w:w="3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1000米高扬程；流量25方/扬程156米；18.5千瓦（175QJ)；精准机身；浮动式叶轮；电机过热保护；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配带无氧铜电缆线三芯25平方100米，配带电箱、空开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永磁不锈钢高转速深水泵</w:t>
            </w:r>
          </w:p>
        </w:tc>
        <w:tc>
          <w:tcPr>
            <w:tcW w:w="3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Style w:val="36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型号：G100QJ30-45/4-5.5，单价9000元（参数：304不锈钢叶轮；三相接线无正反转；缺相免烧机；转速高达6000r/min；机组直径100mm；流量30m</w:t>
            </w:r>
            <w:r>
              <w:rPr>
                <w:rStyle w:val="37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³</w:t>
            </w:r>
            <w:r>
              <w:rPr>
                <w:rStyle w:val="36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；扬程45m；功率5.5千瓦；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配带6平方国标电缆100m、40A空开、配电箱）。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不锈钢潜水污水泵</w:t>
            </w:r>
          </w:p>
        </w:tc>
        <w:tc>
          <w:tcPr>
            <w:tcW w:w="3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Style w:val="36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型号：80WQ40-15-35，（参数：304/316材质，不锈钢机身；全铜线电机；国标出水口；口径80mm3寸；流量40m</w:t>
            </w:r>
            <w:r>
              <w:rPr>
                <w:rStyle w:val="37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³</w:t>
            </w:r>
            <w:r>
              <w:rPr>
                <w:rStyle w:val="36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/h;扬程15m；功率3kw;电压380V;47公斤带热保护）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6" w:hRule="atLeast"/>
        </w:trPr>
        <w:tc>
          <w:tcPr>
            <w:tcW w:w="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大棚移动式喷灌设备</w:t>
            </w:r>
          </w:p>
        </w:tc>
        <w:tc>
          <w:tcPr>
            <w:tcW w:w="3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1套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红瑞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智能调速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HR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PG60S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，带无线遥控，外置手动控制盒；②滑道车组及水电管线70m；③终端挡铁及行程开关组件1套；④主轨配套附件-延长米60m；⑤配套标准件1批；⑥吊杆50个；⑦轨道21根；⑧42×2连接管20根；⑨施肥系统1套）每架大棚有独自压力罐、手操器和无线遥控器，含单独施肥和喷药功能，需配置蓄水池和主管道至每架大棚的支管道。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负责大棚加固，安装水泵及配电箱和电缆，配电箱内加装变频器等操作系统，供水管线设计、地埋铺设、过滤系统安装调试。提供红瑞设备厂家售后服务保证证明文件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120米大地喷灌管道及配件</w:t>
            </w:r>
          </w:p>
        </w:tc>
        <w:tc>
          <w:tcPr>
            <w:tcW w:w="34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①输入主管pkc102×6m ，10根 ；②输水主pkc102×1m 5根；③ZY-2喷头，60支；④方便阀pkc76，20件⑤输水孔管pkc76×6m，10件⑥半圆胶垫，150件）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供水管线设计、地埋铺设、安装调试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安装调试、售后服务体系及维修保养、定期回访、伴随服务及保证的承诺书（提供承诺书，对应要求中的全部内容）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承诺书（格式自拟）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五、供应商自行踏勘现场并提供现场踏勘情况报告，现场踏勘报告需由建设单位盖章确认（提供踏勘报告格式自拟）。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5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提供踏勘报告（格式自拟）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六、供应商具有中国招标投标网公示可查询AAA诚信经营示范单位及重质量守信用企业（提供对应的证明材料）；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5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提供踏勘报告（格式自拟）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七、供应商应具有良好的商业信誉，遵守国家的法律、法规，在经营活动中没有重大违法记录。所提交的所有资质文件、报告报表，必须保证其真实、有效，不得出现伪造、涂改、借用等情形（提供承诺书）；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/>
          <w:sz w:val="24"/>
          <w:lang w:eastAsia="zh-CN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致：克一河森工公司2022年大棚喷灌建设采购项目【网上竞价】</w:t>
      </w:r>
      <w:bookmarkStart w:id="0" w:name="_GoBack"/>
      <w:bookmarkEnd w:id="0"/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我公司针对贵公司项目编号为</w:t>
      </w:r>
      <w:r>
        <w:rPr>
          <w:rFonts w:hint="eastAsia" w:ascii="微软雅黑" w:hAnsi="微软雅黑" w:eastAsia="微软雅黑"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的采购公告,郑重承诺及声明：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1、我公司严格遵守国家的法律、法规，具有良好的商业信誉，具有履行合同的能力，近三年没有骗取中标和严重违约等问题。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2、我公司所提交的所有资质文件、报告、报表，保证其真实、有效，没有伪造、涂改、借用等违法违规情形。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3、我公司不属于“与采购人存在利害关系可能影响采购公正性的法人、其他组织或者个人”。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注：逐页盖章。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供应商全称（加盖公章）：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法定代表人或委托代理人签字：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日期：   年   月   日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八、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九、《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  <w:lang w:val="en-US" w:eastAsia="zh-CN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sz w:val="22"/>
          <w:lang w:val="en-US" w:eastAsia="zh-CN"/>
        </w:rPr>
        <w:t xml:space="preserve"> 克一河森工公司2022年大棚喷灌建设采购项目【网上竞价】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项目编号：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14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711"/>
        <w:gridCol w:w="2025"/>
        <w:gridCol w:w="1279"/>
        <w:gridCol w:w="813"/>
        <w:gridCol w:w="1300"/>
        <w:gridCol w:w="1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6" w:hRule="atLeast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数 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量（台、座）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报价（元）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2" w:hRule="atLeast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微耕机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188风冷柴油电启，电启带转向；实心轮胎；旋耕刀；开沟刀；除草轮；一对防滑铁驱动轮，铁驱动轮外轮距不超50公分。                              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星彭电动三轮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电机1500W；车厢1.5×1米；电池58A）。         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2" w:hRule="atLeast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深水泵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1000米高扬程；流量25方/扬程156米；18.5千瓦（175QJ)；精准机身；浮动式叶轮；电机过热保护；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2" w:hRule="atLeast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永磁不锈钢高转速深水泵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36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型号：G100QJ30-45/4-5.5，单价9000元（参数：304不锈钢叶轮；三相接线无正反转；缺相免烧机；转速高达6000r/min；机组直径100mm；流量30m</w:t>
            </w:r>
            <w:r>
              <w:rPr>
                <w:rStyle w:val="37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³</w:t>
            </w:r>
            <w:r>
              <w:rPr>
                <w:rStyle w:val="36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；扬程45m；功率5.5千瓦；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9" w:hRule="atLeast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不锈钢潜水污水泵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36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型号：80WQ40-15-35，（参数：304/316材质，不锈钢机身；全铜线电机；国标出水口；口径80mm3寸；流量40m</w:t>
            </w:r>
            <w:r>
              <w:rPr>
                <w:rStyle w:val="37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³</w:t>
            </w:r>
            <w:r>
              <w:rPr>
                <w:rStyle w:val="36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/h;扬程15m；功率3kw;电压380V;47公斤带热保护）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4" w:hRule="atLeast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大棚移动式喷灌设备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1套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红瑞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智能调速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HR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PG60S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color w:val="FF0000"/>
                <w:kern w:val="0"/>
                <w:sz w:val="21"/>
                <w:szCs w:val="21"/>
                <w:u w:val="none"/>
                <w:lang w:val="en-US" w:eastAsia="zh-CN" w:bidi="ar"/>
              </w:rPr>
              <w:t>T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，带无线遥控，外置手动控制盒；②滑道车组及水电管线70m；③终端挡铁及行程开关组件1套；④主轨配套附件-延长米60m；⑤配套标准件1批；⑥吊杆50个；⑦轨道21根；⑧42×2连接管20根；⑨施肥系统1套）每架大棚有独自压力罐、手操器和无线遥控器，含单独施肥和喷药功能，需配置蓄水池和主管道至每架大棚的支管道。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5" w:hRule="atLeast"/>
        </w:trPr>
        <w:tc>
          <w:tcPr>
            <w:tcW w:w="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120米大地喷灌管道及配件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①输入主管pkc102×6m ，10根 ；②输水主pkc102×1m 5根；③ZY-2喷头，60支；④方便阀pkc76，20件⑤输水孔管pkc76×6m，10件⑥半圆胶垫，150件）</w:t>
            </w:r>
          </w:p>
        </w:tc>
        <w:tc>
          <w:tcPr>
            <w:tcW w:w="1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pStyle w:val="3"/>
        <w:rPr>
          <w:rFonts w:hint="eastAsia" w:ascii="微软雅黑" w:hAnsi="微软雅黑" w:eastAsia="微软雅黑"/>
          <w:sz w:val="22"/>
          <w:lang w:val="en-US" w:eastAsia="zh-CN"/>
        </w:rPr>
      </w:pPr>
    </w:p>
    <w:p>
      <w:pPr>
        <w:pStyle w:val="3"/>
        <w:rPr>
          <w:rFonts w:hint="default" w:ascii="微软雅黑" w:hAnsi="微软雅黑" w:eastAsia="微软雅黑"/>
          <w:sz w:val="22"/>
          <w:lang w:val="en-US" w:eastAsia="zh-CN"/>
        </w:rPr>
      </w:pP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color w:val="000000"/>
          <w:sz w:val="24"/>
          <w:szCs w:val="24"/>
        </w:rPr>
      </w:pP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CB4C6F"/>
    <w:multiLevelType w:val="singleLevel"/>
    <w:tmpl w:val="8BCB4C6F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344B0"/>
    <w:rsid w:val="022F5669"/>
    <w:rsid w:val="047D794B"/>
    <w:rsid w:val="056D5EDF"/>
    <w:rsid w:val="07534964"/>
    <w:rsid w:val="0A1D05C7"/>
    <w:rsid w:val="0B7E12D4"/>
    <w:rsid w:val="0B874DCB"/>
    <w:rsid w:val="0C5F016A"/>
    <w:rsid w:val="0D9756D8"/>
    <w:rsid w:val="0F8C0E9D"/>
    <w:rsid w:val="107F55B0"/>
    <w:rsid w:val="118D7E5F"/>
    <w:rsid w:val="13AA206A"/>
    <w:rsid w:val="170220CE"/>
    <w:rsid w:val="1A6652BE"/>
    <w:rsid w:val="1C563A57"/>
    <w:rsid w:val="1CFC48EF"/>
    <w:rsid w:val="1D756E18"/>
    <w:rsid w:val="1EF02BF0"/>
    <w:rsid w:val="22836D67"/>
    <w:rsid w:val="26076B01"/>
    <w:rsid w:val="2ABF409D"/>
    <w:rsid w:val="2CF47971"/>
    <w:rsid w:val="2F0D01A6"/>
    <w:rsid w:val="2F334B02"/>
    <w:rsid w:val="2F5A077C"/>
    <w:rsid w:val="32607A69"/>
    <w:rsid w:val="33A13BAA"/>
    <w:rsid w:val="34D17133"/>
    <w:rsid w:val="394970FD"/>
    <w:rsid w:val="39956418"/>
    <w:rsid w:val="3C9765FD"/>
    <w:rsid w:val="3E697A1E"/>
    <w:rsid w:val="3F440C7F"/>
    <w:rsid w:val="409E6AC2"/>
    <w:rsid w:val="419530B7"/>
    <w:rsid w:val="4D8D4D74"/>
    <w:rsid w:val="58195FFE"/>
    <w:rsid w:val="59A21062"/>
    <w:rsid w:val="5AF80ECE"/>
    <w:rsid w:val="5BAD197A"/>
    <w:rsid w:val="5BE708ED"/>
    <w:rsid w:val="5CED5781"/>
    <w:rsid w:val="5DC673A8"/>
    <w:rsid w:val="668325CB"/>
    <w:rsid w:val="68887264"/>
    <w:rsid w:val="69F67663"/>
    <w:rsid w:val="6CAA6885"/>
    <w:rsid w:val="72D601C4"/>
    <w:rsid w:val="7375765A"/>
    <w:rsid w:val="73B21EB0"/>
    <w:rsid w:val="757C79E5"/>
    <w:rsid w:val="777501D2"/>
    <w:rsid w:val="799C486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  <w:style w:type="character" w:customStyle="1" w:styleId="34">
    <w:name w:val="font01"/>
    <w:basedOn w:val="16"/>
    <w:qFormat/>
    <w:uiPriority w:val="0"/>
    <w:rPr>
      <w:rFonts w:hint="eastAsia" w:ascii="宋体" w:hAnsi="宋体" w:eastAsia="宋体" w:cs="宋体"/>
      <w:b/>
      <w:color w:val="FF0000"/>
      <w:sz w:val="24"/>
      <w:szCs w:val="24"/>
      <w:u w:val="none"/>
    </w:rPr>
  </w:style>
  <w:style w:type="character" w:customStyle="1" w:styleId="35">
    <w:name w:val="font31"/>
    <w:basedOn w:val="16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36">
    <w:name w:val="font21"/>
    <w:basedOn w:val="16"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  <w:style w:type="character" w:customStyle="1" w:styleId="37">
    <w:name w:val="font11"/>
    <w:basedOn w:val="1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2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2022-09-27T09:16:19Z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