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tbl>
      <w:tblPr>
        <w:tblStyle w:val="5"/>
        <w:tblW w:w="10201" w:type="dxa"/>
        <w:jc w:val="center"/>
        <w:tblLayout w:type="autofit"/>
        <w:tblCellMar>
          <w:top w:w="0" w:type="dxa"/>
          <w:left w:w="108" w:type="dxa"/>
          <w:bottom w:w="0" w:type="dxa"/>
          <w:right w:w="108" w:type="dxa"/>
        </w:tblCellMar>
      </w:tblPr>
      <w:tblGrid>
        <w:gridCol w:w="760"/>
        <w:gridCol w:w="1113"/>
        <w:gridCol w:w="1506"/>
        <w:gridCol w:w="740"/>
        <w:gridCol w:w="740"/>
        <w:gridCol w:w="960"/>
        <w:gridCol w:w="960"/>
        <w:gridCol w:w="3422"/>
      </w:tblGrid>
      <w:tr>
        <w:tblPrEx>
          <w:tblCellMar>
            <w:top w:w="0" w:type="dxa"/>
            <w:left w:w="108" w:type="dxa"/>
            <w:bottom w:w="0" w:type="dxa"/>
            <w:right w:w="108" w:type="dxa"/>
          </w:tblCellMar>
        </w:tblPrEx>
        <w:trPr>
          <w:trHeight w:val="684"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序号</w:t>
            </w:r>
          </w:p>
        </w:tc>
        <w:tc>
          <w:tcPr>
            <w:tcW w:w="111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名称</w:t>
            </w:r>
          </w:p>
        </w:tc>
        <w:tc>
          <w:tcPr>
            <w:tcW w:w="150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品牌型号</w:t>
            </w:r>
          </w:p>
        </w:tc>
        <w:tc>
          <w:tcPr>
            <w:tcW w:w="7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单位</w:t>
            </w:r>
          </w:p>
        </w:tc>
        <w:tc>
          <w:tcPr>
            <w:tcW w:w="7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数量</w:t>
            </w:r>
          </w:p>
        </w:tc>
        <w:tc>
          <w:tcPr>
            <w:tcW w:w="96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单价</w:t>
            </w:r>
          </w:p>
        </w:tc>
        <w:tc>
          <w:tcPr>
            <w:tcW w:w="96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总价</w:t>
            </w:r>
          </w:p>
        </w:tc>
        <w:tc>
          <w:tcPr>
            <w:tcW w:w="342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备注</w:t>
            </w:r>
          </w:p>
        </w:tc>
      </w:tr>
      <w:tr>
        <w:tblPrEx>
          <w:tblCellMar>
            <w:top w:w="0" w:type="dxa"/>
            <w:left w:w="108" w:type="dxa"/>
            <w:bottom w:w="0" w:type="dxa"/>
            <w:right w:w="108" w:type="dxa"/>
          </w:tblCellMar>
        </w:tblPrEx>
        <w:trPr>
          <w:trHeight w:val="1236"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1</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电池</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大疆</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lang w:eastAsia="zh-CN"/>
              </w:rPr>
            </w:pPr>
            <w:r>
              <w:rPr>
                <w:rFonts w:hint="eastAsia" w:ascii="等线" w:hAnsi="等线" w:eastAsia="等线" w:cs="宋体"/>
                <w:color w:val="000000"/>
                <w:kern w:val="0"/>
                <w:sz w:val="22"/>
                <w:lang w:val="en-US" w:eastAsia="zh-CN"/>
              </w:rPr>
              <w:t>块</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lang w:eastAsia="zh-CN"/>
              </w:rPr>
            </w:pPr>
            <w:r>
              <w:rPr>
                <w:rFonts w:hint="eastAsia" w:ascii="等线" w:hAnsi="等线" w:eastAsia="等线" w:cs="宋体"/>
                <w:color w:val="000000"/>
                <w:kern w:val="0"/>
                <w:sz w:val="22"/>
                <w:lang w:val="en-US" w:eastAsia="zh-CN"/>
              </w:rPr>
              <w:t>4</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1500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6000</w:t>
            </w:r>
          </w:p>
        </w:tc>
        <w:tc>
          <w:tcPr>
            <w:tcW w:w="3422"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大疆（DJI） 悟2无人机Inspire 2 悟2 TB50智能飞行电池 充电管家大疆如影4D电池 TB50智能飞行电池（悟2/如影2如影4D通用）</w:t>
            </w:r>
          </w:p>
        </w:tc>
      </w:tr>
      <w:tr>
        <w:tblPrEx>
          <w:tblCellMar>
            <w:top w:w="0" w:type="dxa"/>
            <w:left w:w="108" w:type="dxa"/>
            <w:bottom w:w="0" w:type="dxa"/>
            <w:right w:w="108" w:type="dxa"/>
          </w:tblCellMar>
        </w:tblPrEx>
        <w:trPr>
          <w:trHeight w:val="684"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2</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内存卡</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　</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张</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lang w:eastAsia="zh-CN"/>
              </w:rPr>
            </w:pPr>
            <w:r>
              <w:rPr>
                <w:rFonts w:hint="eastAsia" w:ascii="等线" w:hAnsi="等线" w:eastAsia="等线" w:cs="宋体"/>
                <w:color w:val="000000"/>
                <w:kern w:val="0"/>
                <w:sz w:val="22"/>
                <w:lang w:val="en-US" w:eastAsia="zh-CN"/>
              </w:rPr>
              <w:t>2</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500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1000</w:t>
            </w:r>
          </w:p>
        </w:tc>
        <w:tc>
          <w:tcPr>
            <w:tcW w:w="3422" w:type="dxa"/>
            <w:tcBorders>
              <w:top w:val="nil"/>
              <w:left w:val="nil"/>
              <w:bottom w:val="single" w:color="auto" w:sz="4" w:space="0"/>
              <w:right w:val="single" w:color="auto" w:sz="4" w:space="0"/>
            </w:tcBorders>
            <w:shd w:val="clear" w:color="auto" w:fill="auto"/>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128G</w:t>
            </w:r>
          </w:p>
        </w:tc>
      </w:tr>
      <w:tr>
        <w:tblPrEx>
          <w:tblCellMar>
            <w:top w:w="0" w:type="dxa"/>
            <w:left w:w="108" w:type="dxa"/>
            <w:bottom w:w="0" w:type="dxa"/>
            <w:right w:w="108" w:type="dxa"/>
          </w:tblCellMar>
        </w:tblPrEx>
        <w:trPr>
          <w:trHeight w:val="3948"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3</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水文监测管理系统</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森清FF-CWF</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套</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1</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20</w:t>
            </w:r>
            <w:r>
              <w:rPr>
                <w:rFonts w:hint="eastAsia" w:ascii="等线" w:hAnsi="等线" w:eastAsia="等线" w:cs="宋体"/>
                <w:color w:val="000000"/>
                <w:kern w:val="0"/>
                <w:sz w:val="22"/>
                <w:lang w:val="en-US" w:eastAsia="zh-CN"/>
              </w:rPr>
              <w:t>4</w:t>
            </w:r>
            <w:r>
              <w:rPr>
                <w:rFonts w:hint="eastAsia" w:ascii="等线" w:hAnsi="等线" w:eastAsia="等线" w:cs="宋体"/>
                <w:color w:val="000000"/>
                <w:kern w:val="0"/>
                <w:sz w:val="22"/>
              </w:rPr>
              <w:t>000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20</w:t>
            </w:r>
            <w:r>
              <w:rPr>
                <w:rFonts w:hint="eastAsia" w:ascii="等线" w:hAnsi="等线" w:eastAsia="等线" w:cs="宋体"/>
                <w:color w:val="000000"/>
                <w:kern w:val="0"/>
                <w:sz w:val="22"/>
                <w:lang w:val="en-US" w:eastAsia="zh-CN"/>
              </w:rPr>
              <w:t>4</w:t>
            </w:r>
            <w:r>
              <w:rPr>
                <w:rFonts w:hint="eastAsia" w:ascii="等线" w:hAnsi="等线" w:eastAsia="等线" w:cs="宋体"/>
                <w:color w:val="000000"/>
                <w:kern w:val="0"/>
                <w:sz w:val="22"/>
              </w:rPr>
              <w:t>000</w:t>
            </w:r>
          </w:p>
        </w:tc>
        <w:tc>
          <w:tcPr>
            <w:tcW w:w="3422"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2"/>
              </w:rPr>
            </w:pPr>
            <w:r>
              <w:rPr>
                <w:rFonts w:hint="eastAsia" w:ascii="等线" w:hAnsi="等线" w:eastAsia="等线" w:cs="宋体"/>
                <w:color w:val="000000"/>
                <w:kern w:val="0"/>
                <w:sz w:val="22"/>
              </w:rPr>
              <w:t>详细参数见附件</w:t>
            </w:r>
            <w:r>
              <w:rPr>
                <w:rFonts w:hint="eastAsia" w:ascii="等线" w:hAnsi="等线" w:eastAsia="等线" w:cs="宋体"/>
                <w:color w:val="000000"/>
                <w:kern w:val="0"/>
                <w:sz w:val="22"/>
              </w:rPr>
              <w:br w:type="textWrapping"/>
            </w:r>
            <w:r>
              <w:rPr>
                <w:rFonts w:hint="eastAsia" w:ascii="等线" w:hAnsi="等线" w:eastAsia="等线" w:cs="宋体"/>
                <w:color w:val="000000"/>
                <w:kern w:val="0"/>
                <w:sz w:val="22"/>
              </w:rPr>
              <w:t>备注：</w:t>
            </w:r>
            <w:r>
              <w:rPr>
                <w:rFonts w:hint="eastAsia" w:ascii="等线" w:hAnsi="等线" w:eastAsia="等线" w:cs="宋体"/>
                <w:color w:val="000000"/>
                <w:kern w:val="0"/>
                <w:sz w:val="22"/>
              </w:rPr>
              <w:br w:type="textWrapping"/>
            </w:r>
            <w:r>
              <w:rPr>
                <w:rFonts w:hint="eastAsia" w:ascii="宋体" w:hAnsi="宋体" w:eastAsia="宋体" w:cs="宋体"/>
                <w:b w:val="0"/>
                <w:bCs w:val="0"/>
                <w:kern w:val="0"/>
                <w:sz w:val="18"/>
                <w:szCs w:val="18"/>
                <w:lang w:val="en-US" w:eastAsia="zh-CN"/>
              </w:rPr>
              <w:t>1、</w:t>
            </w:r>
            <w:r>
              <w:rPr>
                <w:rFonts w:hint="eastAsia" w:ascii="宋体" w:hAnsi="宋体" w:eastAsia="宋体" w:cs="宋体"/>
                <w:b/>
                <w:bCs/>
                <w:kern w:val="0"/>
                <w:sz w:val="18"/>
                <w:szCs w:val="18"/>
                <w:lang w:val="en-US" w:eastAsia="zh-CN"/>
              </w:rPr>
              <w:t>响应供应商需提供森清品牌注册商标复印件加盖鲜章，不提供视为无效响应。</w:t>
            </w:r>
            <w:r>
              <w:rPr>
                <w:rFonts w:hint="eastAsia" w:ascii="宋体" w:hAnsi="宋体" w:eastAsia="宋体" w:cs="宋体"/>
                <w:b w:val="0"/>
                <w:bCs w:val="0"/>
                <w:kern w:val="0"/>
                <w:sz w:val="18"/>
                <w:szCs w:val="18"/>
                <w:lang w:val="en-US" w:eastAsia="zh-CN"/>
              </w:rPr>
              <w:br w:type="textWrapping"/>
            </w:r>
            <w:r>
              <w:rPr>
                <w:rFonts w:hint="eastAsia" w:ascii="宋体" w:hAnsi="宋体" w:eastAsia="宋体" w:cs="宋体"/>
                <w:b w:val="0"/>
                <w:bCs w:val="0"/>
                <w:kern w:val="0"/>
                <w:sz w:val="18"/>
                <w:szCs w:val="18"/>
                <w:lang w:val="en-US" w:eastAsia="zh-CN"/>
              </w:rPr>
              <w:t>2、▲</w:t>
            </w:r>
            <w:r>
              <w:rPr>
                <w:rFonts w:hint="eastAsia" w:ascii="宋体" w:hAnsi="宋体" w:eastAsia="宋体" w:cs="宋体"/>
                <w:b/>
                <w:bCs/>
                <w:kern w:val="0"/>
                <w:sz w:val="18"/>
                <w:szCs w:val="18"/>
                <w:lang w:val="en-US" w:eastAsia="zh-CN"/>
              </w:rPr>
              <w:t>为保证响应供应商实质性响应竞价公告，第一成交候选人需在中标后3日天内根据用户方要求对核心部件及软件平台进行演示，未在规定时间内进行演示或演示结果与竞价公告不符，定为虚假相应竞价公告，采购方有权拒绝与该成交候选人签订购销合同， 并取消其成交候选人资格， 按上述方法由顺延成交候选人进行演示，演示结果满足竞价公告并通过采购方评审后，可确定为成交供应商。</w:t>
            </w:r>
          </w:p>
        </w:tc>
      </w:tr>
      <w:tr>
        <w:tblPrEx>
          <w:tblCellMar>
            <w:top w:w="0" w:type="dxa"/>
            <w:left w:w="108" w:type="dxa"/>
            <w:bottom w:w="0" w:type="dxa"/>
            <w:right w:w="108" w:type="dxa"/>
          </w:tblCellMar>
        </w:tblPrEx>
        <w:trPr>
          <w:trHeight w:val="864"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4</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工作站主机</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 xml:space="preserve"> 联想ThinkStationK</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台</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lang w:eastAsia="zh-CN"/>
              </w:rPr>
            </w:pPr>
            <w:r>
              <w:rPr>
                <w:rFonts w:hint="eastAsia" w:ascii="等线" w:hAnsi="等线" w:eastAsia="等线" w:cs="宋体"/>
                <w:color w:val="000000"/>
                <w:kern w:val="0"/>
                <w:sz w:val="22"/>
                <w:lang w:val="en-US" w:eastAsia="zh-CN"/>
              </w:rPr>
              <w:t>2</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15000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30000</w:t>
            </w:r>
          </w:p>
        </w:tc>
        <w:tc>
          <w:tcPr>
            <w:tcW w:w="3422"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联想(ThinkStation)K图形工作站主机(i9-12900/32G/512G固态+2T/GTX1660S 6G/500W/W11</w:t>
            </w:r>
          </w:p>
        </w:tc>
      </w:tr>
      <w:tr>
        <w:tblPrEx>
          <w:tblCellMar>
            <w:top w:w="0" w:type="dxa"/>
            <w:left w:w="108" w:type="dxa"/>
            <w:bottom w:w="0" w:type="dxa"/>
            <w:right w:w="108" w:type="dxa"/>
          </w:tblCellMar>
        </w:tblPrEx>
        <w:trPr>
          <w:trHeight w:val="684"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5</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扫描仪</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爱普生DS-570WII</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台</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1</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3000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3000</w:t>
            </w:r>
          </w:p>
        </w:tc>
        <w:tc>
          <w:tcPr>
            <w:tcW w:w="3422"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爱普生（EPSON） A4彩色文档馈纸式自动连续双面高速扫描仪 DS-570WII</w:t>
            </w:r>
          </w:p>
        </w:tc>
      </w:tr>
      <w:tr>
        <w:tblPrEx>
          <w:tblCellMar>
            <w:top w:w="0" w:type="dxa"/>
            <w:left w:w="108" w:type="dxa"/>
            <w:bottom w:w="0" w:type="dxa"/>
            <w:right w:w="108" w:type="dxa"/>
          </w:tblCellMar>
        </w:tblPrEx>
        <w:trPr>
          <w:trHeight w:val="684" w:hRule="atLeast"/>
          <w:jc w:val="center"/>
        </w:trPr>
        <w:tc>
          <w:tcPr>
            <w:tcW w:w="76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6</w:t>
            </w:r>
          </w:p>
        </w:tc>
        <w:tc>
          <w:tcPr>
            <w:tcW w:w="1113"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碎纸机</w:t>
            </w:r>
          </w:p>
        </w:tc>
        <w:tc>
          <w:tcPr>
            <w:tcW w:w="1506"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得力33467</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台</w:t>
            </w:r>
          </w:p>
        </w:tc>
        <w:tc>
          <w:tcPr>
            <w:tcW w:w="740"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1</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700</w:t>
            </w:r>
          </w:p>
        </w:tc>
        <w:tc>
          <w:tcPr>
            <w:tcW w:w="960" w:type="dxa"/>
            <w:tcBorders>
              <w:top w:val="nil"/>
              <w:left w:val="nil"/>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lang w:val="en-US" w:eastAsia="zh-CN"/>
              </w:rPr>
              <w:t>700</w:t>
            </w:r>
          </w:p>
        </w:tc>
        <w:tc>
          <w:tcPr>
            <w:tcW w:w="3422" w:type="dxa"/>
            <w:tcBorders>
              <w:top w:val="nil"/>
              <w:left w:val="nil"/>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得力(deli)5级保密办公商用碎纸机（单次6张 20L 持续60分钟 可碎卡）33467</w:t>
            </w:r>
          </w:p>
        </w:tc>
      </w:tr>
      <w:tr>
        <w:tblPrEx>
          <w:tblCellMar>
            <w:top w:w="0" w:type="dxa"/>
            <w:left w:w="108" w:type="dxa"/>
            <w:bottom w:w="0" w:type="dxa"/>
            <w:right w:w="108" w:type="dxa"/>
          </w:tblCellMar>
        </w:tblPrEx>
        <w:trPr>
          <w:trHeight w:val="684"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合计</w:t>
            </w:r>
          </w:p>
        </w:tc>
        <w:tc>
          <w:tcPr>
            <w:tcW w:w="5059"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贰拾</w:t>
            </w:r>
            <w:r>
              <w:rPr>
                <w:rFonts w:hint="eastAsia" w:ascii="等线" w:hAnsi="等线" w:eastAsia="等线" w:cs="宋体"/>
                <w:color w:val="000000"/>
                <w:kern w:val="0"/>
                <w:sz w:val="22"/>
                <w:lang w:val="en-US" w:eastAsia="zh-CN"/>
              </w:rPr>
              <w:t>肆万肆仟柒佰</w:t>
            </w:r>
            <w:r>
              <w:rPr>
                <w:rFonts w:hint="eastAsia" w:ascii="等线" w:hAnsi="等线" w:eastAsia="等线" w:cs="宋体"/>
                <w:color w:val="000000"/>
                <w:kern w:val="0"/>
                <w:sz w:val="22"/>
              </w:rPr>
              <w:t>元整</w:t>
            </w:r>
          </w:p>
        </w:tc>
        <w:tc>
          <w:tcPr>
            <w:tcW w:w="9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default" w:ascii="等线" w:hAnsi="等线" w:eastAsia="等线" w:cs="宋体"/>
                <w:color w:val="000000"/>
                <w:kern w:val="0"/>
                <w:sz w:val="22"/>
                <w:lang w:val="en-US" w:eastAsia="zh-CN"/>
              </w:rPr>
            </w:pPr>
            <w:r>
              <w:rPr>
                <w:rFonts w:hint="eastAsia" w:ascii="等线" w:hAnsi="等线" w:eastAsia="等线" w:cs="宋体"/>
                <w:color w:val="000000"/>
                <w:kern w:val="0"/>
                <w:sz w:val="22"/>
              </w:rPr>
              <w:t>2</w:t>
            </w:r>
            <w:r>
              <w:rPr>
                <w:rFonts w:hint="eastAsia" w:ascii="等线" w:hAnsi="等线" w:eastAsia="等线" w:cs="宋体"/>
                <w:color w:val="000000"/>
                <w:kern w:val="0"/>
                <w:sz w:val="22"/>
                <w:lang w:val="en-US" w:eastAsia="zh-CN"/>
              </w:rPr>
              <w:t>44700</w:t>
            </w:r>
          </w:p>
        </w:tc>
        <w:tc>
          <w:tcPr>
            <w:tcW w:w="342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等线" w:hAnsi="等线" w:eastAsia="等线" w:cs="宋体"/>
                <w:color w:val="000000"/>
                <w:kern w:val="0"/>
                <w:sz w:val="22"/>
              </w:rPr>
            </w:pPr>
            <w:r>
              <w:rPr>
                <w:rFonts w:hint="eastAsia" w:ascii="等线" w:hAnsi="等线" w:eastAsia="等线" w:cs="宋体"/>
                <w:color w:val="000000"/>
                <w:kern w:val="0"/>
                <w:sz w:val="22"/>
              </w:rPr>
              <w:t>　</w:t>
            </w:r>
          </w:p>
        </w:tc>
      </w:tr>
    </w:tbl>
    <w:p/>
    <w:p>
      <w:pPr>
        <w:pStyle w:val="2"/>
      </w:pPr>
      <w:r>
        <w:rPr>
          <w:rFonts w:hint="eastAsia"/>
        </w:rPr>
        <w:t>附件：水文监测管理系统</w:t>
      </w:r>
      <w:r>
        <w:t xml:space="preserve"> </w:t>
      </w:r>
      <w:bookmarkStart w:id="0" w:name="_GoBack"/>
      <w:bookmarkEnd w:id="0"/>
    </w:p>
    <w:p>
      <w:r>
        <w:rPr>
          <w:rFonts w:hint="eastAsia"/>
        </w:rPr>
        <w:t>监测内容</w:t>
      </w:r>
      <w:r>
        <w:t xml:space="preserve">:水位、流速、流量、雨量、蒸发 </w:t>
      </w:r>
    </w:p>
    <w:p>
      <w:r>
        <w:rPr>
          <w:rFonts w:hint="eastAsia"/>
        </w:rPr>
        <w:t>组成：生态监测管理系统平台和数据采集监测站点</w:t>
      </w:r>
    </w:p>
    <w:p>
      <w:r>
        <w:rPr>
          <w:rFonts w:hint="eastAsia"/>
        </w:rPr>
        <w:t>数据采集监测站点组成部分：数据采集处理单元、传输单元、水文监测单元、防雷单元、保护机箱、供电单元、安装附件等</w:t>
      </w:r>
    </w:p>
    <w:p>
      <w:pPr>
        <w:pStyle w:val="9"/>
        <w:numPr>
          <w:ilvl w:val="0"/>
          <w:numId w:val="1"/>
        </w:numPr>
        <w:ind w:firstLineChars="0"/>
      </w:pPr>
      <w:r>
        <w:rPr>
          <w:rFonts w:hint="eastAsia"/>
        </w:rPr>
        <w:t>生态监测管理系统平台功能要求：</w:t>
      </w:r>
    </w:p>
    <w:p>
      <w:pPr>
        <w:pStyle w:val="9"/>
        <w:numPr>
          <w:ilvl w:val="0"/>
          <w:numId w:val="2"/>
        </w:numPr>
        <w:ind w:firstLineChars="0"/>
      </w:pPr>
      <w:r>
        <w:t>基于地理信息系统开发的终端设备管理平台，直观展示各监测站的空间地理位置分布；</w:t>
      </w:r>
    </w:p>
    <w:p>
      <w:pPr>
        <w:pStyle w:val="9"/>
        <w:numPr>
          <w:ilvl w:val="0"/>
          <w:numId w:val="2"/>
        </w:numPr>
        <w:ind w:firstLineChars="0"/>
      </w:pPr>
      <w:r>
        <w:t>各监测站的各个监测要素数据可实时回传、存储、统计、分析、导出，实现在线实时监测管理；</w:t>
      </w:r>
    </w:p>
    <w:p>
      <w:pPr>
        <w:pStyle w:val="9"/>
        <w:numPr>
          <w:ilvl w:val="0"/>
          <w:numId w:val="2"/>
        </w:numPr>
        <w:ind w:firstLineChars="0"/>
      </w:pPr>
      <w:r>
        <w:t>各监测站当日数据一键快速概览，轻松掌握站点各个监测要素基本信息；</w:t>
      </w:r>
    </w:p>
    <w:p>
      <w:pPr>
        <w:pStyle w:val="9"/>
        <w:numPr>
          <w:ilvl w:val="0"/>
          <w:numId w:val="2"/>
        </w:numPr>
        <w:ind w:firstLineChars="0"/>
      </w:pPr>
      <w:r>
        <w:t>可选任意时段，按（小时/日/月/年）进行（平均数/累加）统计分析，用于深层次研究；</w:t>
      </w:r>
    </w:p>
    <w:p>
      <w:pPr>
        <w:pStyle w:val="9"/>
        <w:numPr>
          <w:ilvl w:val="0"/>
          <w:numId w:val="2"/>
        </w:numPr>
        <w:ind w:firstLineChars="0"/>
      </w:pPr>
      <w:r>
        <w:t>可选择表格、柱状图、饼状图、折线图、仪表盘等形式展示各个监测站数据；</w:t>
      </w:r>
    </w:p>
    <w:p>
      <w:pPr>
        <w:pStyle w:val="9"/>
        <w:numPr>
          <w:ilvl w:val="0"/>
          <w:numId w:val="2"/>
        </w:numPr>
        <w:ind w:firstLineChars="0"/>
      </w:pPr>
      <w:r>
        <w:t>可根据需求设置各监测要素警戒值，实现数据异常自动报警；</w:t>
      </w:r>
    </w:p>
    <w:p>
      <w:pPr>
        <w:pStyle w:val="9"/>
        <w:numPr>
          <w:ilvl w:val="0"/>
          <w:numId w:val="2"/>
        </w:numPr>
        <w:ind w:firstLineChars="0"/>
      </w:pPr>
      <w:r>
        <w:rPr>
          <w:rFonts w:hint="eastAsia"/>
        </w:rPr>
        <w:t>同时预留接口，以便日后接入其他监测因子，共享监测管理平台。</w:t>
      </w:r>
    </w:p>
    <w:p>
      <w:r>
        <w:t>2、数据采集处理单元技术规格</w:t>
      </w:r>
    </w:p>
    <w:p>
      <w:r>
        <w:rPr>
          <w:rFonts w:hint="eastAsia"/>
        </w:rPr>
        <w:t>（</w:t>
      </w:r>
      <w:r>
        <w:t>1）显示：LCD液晶显示</w:t>
      </w:r>
    </w:p>
    <w:p>
      <w:r>
        <w:rPr>
          <w:rFonts w:hint="eastAsia"/>
        </w:rPr>
        <w:t>（</w:t>
      </w:r>
      <w:r>
        <w:t xml:space="preserve">2）TF卡存储：监测数据存储≥10组 </w:t>
      </w:r>
    </w:p>
    <w:p>
      <w:r>
        <w:rPr>
          <w:rFonts w:hint="eastAsia"/>
        </w:rPr>
        <w:t>（</w:t>
      </w:r>
      <w:r>
        <w:t>3）工作温度：-40～80℃</w:t>
      </w:r>
    </w:p>
    <w:p>
      <w:r>
        <w:rPr>
          <w:rFonts w:hint="eastAsia"/>
        </w:rPr>
        <w:t>（</w:t>
      </w:r>
      <w:r>
        <w:t xml:space="preserve">4）串口扩展输入通道：≥2个 </w:t>
      </w:r>
    </w:p>
    <w:p>
      <w:r>
        <w:rPr>
          <w:rFonts w:hint="eastAsia"/>
        </w:rPr>
        <w:t>（</w:t>
      </w:r>
      <w:r>
        <w:t>5）采样时间：最快10ms，其它间隔任意可选</w:t>
      </w:r>
    </w:p>
    <w:p>
      <w:r>
        <w:t>3、数据传输单元技术指标</w:t>
      </w:r>
    </w:p>
    <w:p>
      <w:r>
        <w:rPr>
          <w:rFonts w:hint="eastAsia"/>
        </w:rPr>
        <w:t>（</w:t>
      </w:r>
      <w:r>
        <w:t>1）所有通讯接口均进行防雷击、浪涌处理</w:t>
      </w:r>
    </w:p>
    <w:p>
      <w:r>
        <w:rPr>
          <w:rFonts w:hint="eastAsia"/>
        </w:rPr>
        <w:t>（</w:t>
      </w:r>
      <w:r>
        <w:t>2）数据全透明传输，用户无需了解复杂的 TCP/IP、PPP 等协议</w:t>
      </w:r>
    </w:p>
    <w:p>
      <w:r>
        <w:rPr>
          <w:rFonts w:hint="eastAsia"/>
        </w:rPr>
        <w:t>（</w:t>
      </w:r>
      <w:r>
        <w:t>3）双天线设计数据传输更稳定可靠</w:t>
      </w:r>
    </w:p>
    <w:p>
      <w:r>
        <w:rPr>
          <w:rFonts w:hint="eastAsia"/>
        </w:rPr>
        <w:t>（</w:t>
      </w:r>
      <w:r>
        <w:t>4）提供三年免费物流网通讯费</w:t>
      </w:r>
    </w:p>
    <w:p>
      <w:r>
        <w:t>4、水文监测单元技术要求：</w:t>
      </w:r>
    </w:p>
    <w:p>
      <w:r>
        <w:rPr>
          <w:rFonts w:hint="eastAsia"/>
        </w:rPr>
        <w:t>（</w:t>
      </w:r>
      <w:r>
        <w:t>1）整机技术参数：</w:t>
      </w:r>
    </w:p>
    <w:p>
      <w:r>
        <w:t>1)</w:t>
      </w:r>
      <w:r>
        <w:tab/>
      </w:r>
      <w:r>
        <w:t>调试软件：通过设置软件来传输水位、流速、流量、累计水量等数据</w:t>
      </w:r>
    </w:p>
    <w:p>
      <w:r>
        <w:t>2)</w:t>
      </w:r>
      <w:r>
        <w:tab/>
      </w:r>
      <w:r>
        <w:t>流量计算：设备内置雷达传感器来测流水力模型进行流量换算，同时支持免率定测流模式</w:t>
      </w:r>
    </w:p>
    <w:p>
      <w:r>
        <w:t>3)</w:t>
      </w:r>
      <w:r>
        <w:tab/>
      </w:r>
      <w:r>
        <w:t>USB数据口：通过USB数据口连接移动设备进行测流断面参数导入导出</w:t>
      </w:r>
    </w:p>
    <w:p>
      <w:r>
        <w:t>4)</w:t>
      </w:r>
      <w:r>
        <w:tab/>
      </w:r>
      <w:r>
        <w:t>设置功能：支持各类断面录入、可预设雷达实测流速和断面平均流速函数关系，并计算流量</w:t>
      </w:r>
    </w:p>
    <w:p>
      <w:r>
        <w:t>5)</w:t>
      </w:r>
      <w:r>
        <w:tab/>
      </w:r>
      <w:r>
        <w:t>工作环境：温度：-40～+85℃；湿度：≤95%</w:t>
      </w:r>
    </w:p>
    <w:p>
      <w:r>
        <w:t>6)</w:t>
      </w:r>
      <w:r>
        <w:tab/>
      </w:r>
      <w:r>
        <w:t>率定功能：支持人工率定模式和自动率定模式</w:t>
      </w:r>
    </w:p>
    <w:p>
      <w:r>
        <w:t>7)</w:t>
      </w:r>
      <w:r>
        <w:tab/>
      </w:r>
      <w:r>
        <w:t>波特率：1200-115200可设</w:t>
      </w:r>
    </w:p>
    <w:p>
      <w:r>
        <w:t>8)</w:t>
      </w:r>
      <w:r>
        <w:tab/>
      </w:r>
      <w:r>
        <w:t>供电电压：9-24V DC</w:t>
      </w:r>
    </w:p>
    <w:p>
      <w:r>
        <w:t>9)</w:t>
      </w:r>
      <w:r>
        <w:tab/>
      </w:r>
      <w:r>
        <w:t>工作电流：~150mA@12VDC</w:t>
      </w:r>
    </w:p>
    <w:p>
      <w:r>
        <w:t>10)</w:t>
      </w:r>
      <w:r>
        <w:tab/>
      </w:r>
      <w:r>
        <w:t>待机电流：~80mA@12VDC</w:t>
      </w:r>
    </w:p>
    <w:p>
      <w:r>
        <w:rPr>
          <w:rFonts w:hint="eastAsia"/>
        </w:rPr>
        <w:t>（</w:t>
      </w:r>
      <w:r>
        <w:t>2）流速传感器技术参数：</w:t>
      </w:r>
    </w:p>
    <w:p>
      <w:r>
        <w:t>1)</w:t>
      </w:r>
      <w:r>
        <w:tab/>
      </w:r>
      <w:r>
        <w:t>测量范围：0.2～20m/s；</w:t>
      </w:r>
    </w:p>
    <w:p>
      <w:r>
        <w:t>2)</w:t>
      </w:r>
      <w:r>
        <w:tab/>
      </w:r>
      <w:r>
        <w:t>测量精度：±0.01m/s；</w:t>
      </w:r>
    </w:p>
    <w:p>
      <w:r>
        <w:t>3)</w:t>
      </w:r>
      <w:r>
        <w:tab/>
      </w:r>
      <w:r>
        <w:t>雷达波束角：＞10°小于24°可调</w:t>
      </w:r>
    </w:p>
    <w:p>
      <w:r>
        <w:t>4)</w:t>
      </w:r>
      <w:r>
        <w:tab/>
      </w:r>
      <w:r>
        <w:t>垂直角度补偿：±1°；</w:t>
      </w:r>
    </w:p>
    <w:p>
      <w:r>
        <w:t>5)</w:t>
      </w:r>
      <w:r>
        <w:tab/>
      </w:r>
      <w:r>
        <w:t>分辨率：±0.1°，</w:t>
      </w:r>
    </w:p>
    <w:p>
      <w:r>
        <w:t>6)</w:t>
      </w:r>
      <w:r>
        <w:tab/>
      </w:r>
      <w:r>
        <w:t>雷达波范围：50m</w:t>
      </w:r>
    </w:p>
    <w:p>
      <w:r>
        <w:t>7)</w:t>
      </w:r>
      <w:r>
        <w:tab/>
      </w:r>
      <w:r>
        <w:t>安装高度：＜30m；</w:t>
      </w:r>
    </w:p>
    <w:p>
      <w:r>
        <w:t>8)</w:t>
      </w:r>
      <w:r>
        <w:tab/>
      </w:r>
      <w:r>
        <w:t>设备材质：铝合金，</w:t>
      </w:r>
    </w:p>
    <w:p>
      <w:r>
        <w:rPr>
          <w:rFonts w:hint="eastAsia"/>
        </w:rPr>
        <w:t>（</w:t>
      </w:r>
      <w:r>
        <w:t>3）水位传感器技术参数：    　</w:t>
      </w:r>
    </w:p>
    <w:p>
      <w:r>
        <w:t>1)</w:t>
      </w:r>
      <w:r>
        <w:tab/>
      </w:r>
      <w:r>
        <w:t>雷达发射频率：26GHz；</w:t>
      </w:r>
    </w:p>
    <w:p>
      <w:r>
        <w:t>2)</w:t>
      </w:r>
      <w:r>
        <w:tab/>
      </w:r>
      <w:r>
        <w:t>雷达信号：脉冲信号；</w:t>
      </w:r>
    </w:p>
    <w:p>
      <w:r>
        <w:t>3)</w:t>
      </w:r>
      <w:r>
        <w:tab/>
      </w:r>
      <w:r>
        <w:t>工作电流：＜1mA@12VDC</w:t>
      </w:r>
    </w:p>
    <w:p>
      <w:r>
        <w:t>4)</w:t>
      </w:r>
      <w:r>
        <w:tab/>
      </w:r>
      <w:r>
        <w:t>测量范围：＜30m可选，</w:t>
      </w:r>
    </w:p>
    <w:p>
      <w:r>
        <w:t>5)</w:t>
      </w:r>
      <w:r>
        <w:tab/>
      </w:r>
      <w:r>
        <w:t>测量精度：±2mm；分辨率：1mm</w:t>
      </w:r>
    </w:p>
    <w:p>
      <w:r>
        <w:t>6)</w:t>
      </w:r>
      <w:r>
        <w:tab/>
      </w:r>
      <w:r>
        <w:t>雷达波覆盖角度：7°；</w:t>
      </w:r>
    </w:p>
    <w:p>
      <w:r>
        <w:rPr>
          <w:rFonts w:hint="eastAsia"/>
        </w:rPr>
        <w:t>（</w:t>
      </w:r>
      <w:r>
        <w:t>4）雨量传感器技术参数</w:t>
      </w:r>
    </w:p>
    <w:p>
      <w:r>
        <w:t>1)</w:t>
      </w:r>
      <w:r>
        <w:tab/>
      </w:r>
      <w:r>
        <w:t>测量范围：0mm～4mm/min；</w:t>
      </w:r>
    </w:p>
    <w:p>
      <w:r>
        <w:t>2)</w:t>
      </w:r>
      <w:r>
        <w:tab/>
      </w:r>
      <w:r>
        <w:t>测量精度：±4%（2mm/min）</w:t>
      </w:r>
    </w:p>
    <w:p>
      <w:r>
        <w:t>3)</w:t>
      </w:r>
      <w:r>
        <w:tab/>
      </w:r>
      <w:r>
        <w:t>分辨率：0.1mm(3.14ml)、0.2mm（6.28ml）；</w:t>
      </w:r>
    </w:p>
    <w:p>
      <w:r>
        <w:t>4)</w:t>
      </w:r>
      <w:r>
        <w:tab/>
      </w:r>
      <w:r>
        <w:t>输出协议：RS485/脉冲/电流可选择</w:t>
      </w:r>
    </w:p>
    <w:p>
      <w:r>
        <w:t>5)</w:t>
      </w:r>
      <w:r>
        <w:tab/>
      </w:r>
      <w:r>
        <w:t>供电电压：12-24V DC宽幅电压；</w:t>
      </w:r>
    </w:p>
    <w:p>
      <w:r>
        <w:t>6)</w:t>
      </w:r>
      <w:r>
        <w:tab/>
      </w:r>
      <w:r>
        <w:t>工作温度：0-60℃</w:t>
      </w:r>
    </w:p>
    <w:p>
      <w:r>
        <w:t>7)</w:t>
      </w:r>
      <w:r>
        <w:tab/>
      </w:r>
      <w:r>
        <w:t>工作湿度：≤95% RH 40℃（凝霜）；</w:t>
      </w:r>
    </w:p>
    <w:p>
      <w:r>
        <w:t>(5) 蒸发传感器技术参数</w:t>
      </w:r>
    </w:p>
    <w:p>
      <w:r>
        <w:t>1)</w:t>
      </w:r>
      <w:r>
        <w:tab/>
      </w:r>
      <w:r>
        <w:t>供电电源：7～24V DC宽伏电压；</w:t>
      </w:r>
    </w:p>
    <w:p>
      <w:r>
        <w:t>2)</w:t>
      </w:r>
      <w:r>
        <w:tab/>
      </w:r>
      <w:r>
        <w:t>测量范围：0~200mm；</w:t>
      </w:r>
    </w:p>
    <w:p>
      <w:r>
        <w:t>3)</w:t>
      </w:r>
      <w:r>
        <w:tab/>
      </w:r>
      <w:r>
        <w:t>测量精度：±1%</w:t>
      </w:r>
    </w:p>
    <w:p>
      <w:r>
        <w:t>4)</w:t>
      </w:r>
      <w:r>
        <w:tab/>
      </w:r>
      <w:r>
        <w:t>输出信号： 0.4~2V；</w:t>
      </w:r>
    </w:p>
    <w:p>
      <w:r>
        <w:t>5)</w:t>
      </w:r>
      <w:r>
        <w:tab/>
      </w:r>
      <w:r>
        <w:t>响应时间：＜1s；</w:t>
      </w:r>
    </w:p>
    <w:p>
      <w:r>
        <w:t>6)</w:t>
      </w:r>
      <w:r>
        <w:tab/>
      </w:r>
      <w:r>
        <w:t>内桶口径： 20cm；</w:t>
      </w:r>
    </w:p>
    <w:p>
      <w:r>
        <w:t>7)</w:t>
      </w:r>
      <w:r>
        <w:tab/>
      </w:r>
      <w:r>
        <w:t>外桶口径： 30cm</w:t>
      </w:r>
    </w:p>
    <w:p>
      <w:r>
        <w:t>5、防雷单元</w:t>
      </w:r>
    </w:p>
    <w:p>
      <w:r>
        <w:rPr>
          <w:rFonts w:hint="eastAsia"/>
        </w:rPr>
        <w:t>（</w:t>
      </w:r>
      <w:r>
        <w:t>1）避雷器：长度＞20cm</w:t>
      </w:r>
    </w:p>
    <w:p>
      <w:r>
        <w:rPr>
          <w:rFonts w:hint="eastAsia"/>
        </w:rPr>
        <w:t>（</w:t>
      </w:r>
      <w:r>
        <w:t>2）电源防雷器：3KA，IP20，导轨安</w:t>
      </w:r>
    </w:p>
    <w:p>
      <w:r>
        <w:rPr>
          <w:rFonts w:hint="eastAsia"/>
        </w:rPr>
        <w:t>（</w:t>
      </w:r>
      <w:r>
        <w:t>3）充放电控制器、电源开关</w:t>
      </w:r>
    </w:p>
    <w:p>
      <w:r>
        <w:rPr>
          <w:rFonts w:hint="eastAsia"/>
        </w:rPr>
        <w:t>（</w:t>
      </w:r>
      <w:r>
        <w:t>4）长排线、电源线、穿线管、接头等若干</w:t>
      </w:r>
    </w:p>
    <w:p>
      <w:r>
        <w:t>6、保护机箱</w:t>
      </w:r>
    </w:p>
    <w:p>
      <w:r>
        <w:rPr>
          <w:rFonts w:hint="eastAsia"/>
        </w:rPr>
        <w:t>（</w:t>
      </w:r>
      <w:r>
        <w:t>1）材质：聚碳酸酯（PC）材质</w:t>
      </w:r>
    </w:p>
    <w:p>
      <w:r>
        <w:rPr>
          <w:rFonts w:hint="eastAsia"/>
        </w:rPr>
        <w:t>（</w:t>
      </w:r>
      <w:r>
        <w:t>2）安装要求：铰链搭扣壁挂式含紧线器</w:t>
      </w:r>
    </w:p>
    <w:p>
      <w:r>
        <w:rPr>
          <w:rFonts w:hint="eastAsia"/>
        </w:rPr>
        <w:t>（</w:t>
      </w:r>
      <w:r>
        <w:t>3）IK等级：IK08</w:t>
      </w:r>
    </w:p>
    <w:p>
      <w:r>
        <w:t>7、供电单元要求</w:t>
      </w:r>
    </w:p>
    <w:p>
      <w:r>
        <w:rPr>
          <w:rFonts w:hint="eastAsia"/>
        </w:rPr>
        <w:t>（</w:t>
      </w:r>
      <w:r>
        <w:t>1）满焊焊接，原材料拼焊搭接处360度全粉笔是流线型满焊，钢化白底可有效抗击冰雹和风雪，可承受5400PA的风雨冲击</w:t>
      </w:r>
    </w:p>
    <w:p>
      <w:r>
        <w:rPr>
          <w:rFonts w:hint="eastAsia"/>
        </w:rPr>
        <w:t>（</w:t>
      </w:r>
      <w:r>
        <w:t xml:space="preserve">2）为提高导电性能同时降低电量损耗，要求采用纯铜端子 </w:t>
      </w:r>
    </w:p>
    <w:p>
      <w:r>
        <w:t>8、安装支架及附件要求：</w:t>
      </w:r>
    </w:p>
    <w:p>
      <w:r>
        <w:rPr>
          <w:rFonts w:hint="eastAsia"/>
        </w:rPr>
        <w:t>（</w:t>
      </w:r>
      <w:r>
        <w:t>1）底座采用双钢板合页且底座预埋件加深</w:t>
      </w:r>
    </w:p>
    <w:p>
      <w:r>
        <w:rPr>
          <w:rFonts w:hint="eastAsia"/>
        </w:rPr>
        <w:t>（</w:t>
      </w:r>
      <w:r>
        <w:t>2）架子横臂要求：采用法兰四角对孔螺丝连接，360°旋转，外表喷防锈涂层</w:t>
      </w:r>
    </w:p>
    <w:p>
      <w:r>
        <w:rPr>
          <w:rFonts w:hint="eastAsia"/>
        </w:rPr>
        <w:t>（</w:t>
      </w:r>
      <w:r>
        <w:t>3）传感器底盘连接件需要720°旋转能使传感器左右上下角度都能调节以保证了探头探测点垂直于水面提高监测精度</w:t>
      </w:r>
    </w:p>
    <w:p>
      <w:pPr>
        <w:widowControl/>
        <w:jc w:val="left"/>
      </w:pPr>
      <w: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791E52"/>
    <w:multiLevelType w:val="multilevel"/>
    <w:tmpl w:val="1F791E52"/>
    <w:lvl w:ilvl="0" w:tentative="0">
      <w:start w:val="1"/>
      <w:numFmt w:val="decimal"/>
      <w:suff w:val="nothing"/>
      <w:lvlText w:val="（%1）"/>
      <w:lvlJc w:val="left"/>
      <w:pPr>
        <w:ind w:left="420" w:hanging="420"/>
      </w:pPr>
      <w:rPr>
        <w:rFonts w:hint="eastAsia"/>
      </w:rPr>
    </w:lvl>
    <w:lvl w:ilvl="1" w:tentative="0">
      <w:start w:val="1"/>
      <w:numFmt w:val="decimal"/>
      <w:lvlText w:val="（%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56D2E58"/>
    <w:multiLevelType w:val="multilevel"/>
    <w:tmpl w:val="456D2E58"/>
    <w:lvl w:ilvl="0" w:tentative="0">
      <w:start w:val="1"/>
      <w:numFmt w:val="decimal"/>
      <w:lvlText w:val="%1、"/>
      <w:lvlJc w:val="left"/>
      <w:pPr>
        <w:ind w:left="360" w:hanging="360"/>
      </w:pPr>
      <w:rPr>
        <w:rFonts w:hint="default"/>
      </w:rPr>
    </w:lvl>
    <w:lvl w:ilvl="1" w:tentative="0">
      <w:start w:val="1"/>
      <w:numFmt w:val="decimal"/>
      <w:lvlText w:val="%2)"/>
      <w:lvlJc w:val="left"/>
      <w:pPr>
        <w:ind w:left="900" w:hanging="48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0NGY2YjI4ZDViZmJjNzQ2YmI2NzI4NjUwOGE5ODIifQ=="/>
  </w:docVars>
  <w:rsids>
    <w:rsidRoot w:val="006327FD"/>
    <w:rsid w:val="00323F86"/>
    <w:rsid w:val="0048769D"/>
    <w:rsid w:val="006327FD"/>
    <w:rsid w:val="007E06E4"/>
    <w:rsid w:val="00904419"/>
    <w:rsid w:val="00CC6DBE"/>
    <w:rsid w:val="00EF426B"/>
    <w:rsid w:val="19285D55"/>
    <w:rsid w:val="44C95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
    <w:qFormat/>
    <w:uiPriority w:val="9"/>
    <w:pPr>
      <w:keepNext/>
      <w:keepLines/>
      <w:spacing w:before="340" w:after="330" w:line="578" w:lineRule="auto"/>
      <w:outlineLvl w:val="0"/>
    </w:pPr>
    <w:rPr>
      <w:b/>
      <w:bCs/>
      <w:kern w:val="44"/>
      <w:szCs w:val="44"/>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1 字符"/>
    <w:basedOn w:val="7"/>
    <w:link w:val="2"/>
    <w:qFormat/>
    <w:uiPriority w:val="9"/>
    <w:rPr>
      <w:b/>
      <w:bCs/>
      <w:kern w:val="44"/>
      <w:szCs w:val="44"/>
    </w:rPr>
  </w:style>
  <w:style w:type="paragraph" w:styleId="9">
    <w:name w:val="List Paragraph"/>
    <w:basedOn w:val="1"/>
    <w:qFormat/>
    <w:uiPriority w:val="34"/>
    <w:pPr>
      <w:ind w:firstLine="420" w:firstLineChars="200"/>
    </w:p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1887</Words>
  <Characters>2298</Characters>
  <Lines>17</Lines>
  <Paragraphs>5</Paragraphs>
  <TotalTime>1</TotalTime>
  <ScaleCrop>false</ScaleCrop>
  <LinksUpToDate>false</LinksUpToDate>
  <CharactersWithSpaces>2375</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2022-09-09T00:46:00Z</dcterms:created>
  <dc:creator>喜艳 侯</dc:creator>
  <cp:lastModifiedBy>NTKO</cp:lastModifiedBy>
  <dcterms:modified xsi:type="dcterms:W3CDTF">2022-09-27T06:12:07Z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9124826653084A35BE0C04CBA98C234C</vt:lpwstr>
  </property>
</Properties>
</file>