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一、在中华人民共和国境内依法注册的法人或非法人组织（提供中华人民共和国境内行政管理部门登记的主体资格证书（包括但不限于营业执照、事业单位法人证书、社会团体法人登记证书等））；</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二、企业信誉：</w:t>
      </w:r>
      <w:r>
        <w:rPr>
          <w:rFonts w:hint="eastAsia" w:ascii="微软雅黑" w:hAnsi="微软雅黑" w:eastAsia="微软雅黑"/>
          <w:color w:val="000000" w:themeColor="text1"/>
          <w:lang w:eastAsia="zh-CN"/>
          <w14:textFill>
            <w14:solidFill>
              <w14:schemeClr w14:val="tx1"/>
            </w14:solidFill>
          </w14:textFill>
        </w:rPr>
        <w:t>未被人民法院列为失信被执行人、重大税收违法失信主体，提供信用中国（www.creditchina.gov.cn）截图，以网站查询结果为准；</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2"/>
              <w:adjustRightInd w:val="0"/>
              <w:snapToGrid w:val="0"/>
              <w:spacing w:before="156" w:beforeLines="50" w:after="156" w:afterLines="50" w:line="360" w:lineRule="auto"/>
              <w:jc w:val="both"/>
            </w:pPr>
            <w:r>
              <w:drawing>
                <wp:inline distT="0" distB="0" distL="114300" distR="114300">
                  <wp:extent cx="5271135" cy="3643630"/>
                  <wp:effectExtent l="0" t="0" r="190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1135" cy="3643630"/>
                          </a:xfrm>
                          <a:prstGeom prst="rect">
                            <a:avLst/>
                          </a:prstGeom>
                          <a:noFill/>
                          <a:ln>
                            <a:noFill/>
                          </a:ln>
                        </pic:spPr>
                      </pic:pic>
                    </a:graphicData>
                  </a:graphic>
                </wp:inline>
              </w:drawing>
            </w:r>
          </w:p>
          <w:p>
            <w:pPr>
              <w:pStyle w:val="12"/>
              <w:adjustRightInd w:val="0"/>
              <w:snapToGrid w:val="0"/>
              <w:spacing w:before="156" w:beforeLines="50" w:after="156" w:afterLines="50" w:line="360" w:lineRule="auto"/>
              <w:jc w:val="both"/>
              <w:rPr>
                <w:rFonts w:hint="eastAsia"/>
                <w:lang w:eastAsia="zh-CN"/>
              </w:rPr>
            </w:pPr>
            <w:r>
              <w:drawing>
                <wp:inline distT="0" distB="0" distL="114300" distR="114300">
                  <wp:extent cx="4756150" cy="4137025"/>
                  <wp:effectExtent l="0" t="0" r="13970"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4756150" cy="4137025"/>
                          </a:xfrm>
                          <a:prstGeom prst="rect">
                            <a:avLst/>
                          </a:prstGeom>
                          <a:noFill/>
                          <a:ln>
                            <a:noFill/>
                          </a:ln>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drawing>
                <wp:inline distT="0" distB="0" distL="114300" distR="114300">
                  <wp:extent cx="5269230" cy="2719070"/>
                  <wp:effectExtent l="0" t="0" r="381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69230" cy="2719070"/>
                          </a:xfrm>
                          <a:prstGeom prst="rect">
                            <a:avLst/>
                          </a:prstGeom>
                          <a:noFill/>
                          <a:ln>
                            <a:noFill/>
                          </a:ln>
                        </pic:spPr>
                      </pic:pic>
                    </a:graphicData>
                  </a:graphic>
                </wp:inline>
              </w:drawing>
            </w:r>
          </w:p>
        </w:tc>
      </w:tr>
    </w:tbl>
    <w:p>
      <w:pPr>
        <w:pStyle w:val="12"/>
        <w:numPr>
          <w:ilvl w:val="0"/>
          <w:numId w:val="1"/>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供</w:t>
      </w:r>
      <w:r>
        <w:rPr>
          <w:rFonts w:hint="eastAsia" w:ascii="微软雅黑" w:hAnsi="微软雅黑" w:eastAsia="微软雅黑"/>
          <w:color w:val="000000" w:themeColor="text1"/>
          <w14:textFill>
            <w14:solidFill>
              <w14:schemeClr w14:val="tx1"/>
            </w14:solidFill>
          </w14:textFill>
        </w:rPr>
        <w:t>应商的法定代表人或负责人为同一人或者存在控股、管理关系的不同供应商，不得参加同一标段或者未划分标段的同一采购项目响应（提供承诺函）；</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示例如下</w:t>
            </w:r>
            <w:r>
              <w:rPr>
                <w:rFonts w:hint="eastAsia" w:ascii="微软雅黑" w:hAnsi="微软雅黑" w:eastAsia="微软雅黑"/>
                <w:color w:val="000000" w:themeColor="text1"/>
                <w:lang w:eastAsia="zh-CN"/>
                <w14:textFill>
                  <w14:solidFill>
                    <w14:schemeClr w14:val="tx1"/>
                  </w14:solidFill>
                </w14:textFill>
              </w:rPr>
              <w:t>）</w:t>
            </w:r>
          </w:p>
          <w:p>
            <w:pPr>
              <w:pStyle w:val="12"/>
              <w:adjustRightInd w:val="0"/>
              <w:snapToGrid w:val="0"/>
              <w:spacing w:before="156" w:beforeLines="50" w:after="156" w:afterLines="50" w:line="360" w:lineRule="auto"/>
              <w:jc w:val="center"/>
              <w:rPr>
                <w:rFonts w:hint="eastAsia" w:ascii="微软雅黑" w:hAnsi="微软雅黑" w:eastAsia="微软雅黑"/>
                <w:b/>
                <w:bCs/>
                <w:color w:val="000000" w:themeColor="text1"/>
                <w:lang w:val="en-US" w:eastAsia="zh-CN"/>
                <w14:textFill>
                  <w14:solidFill>
                    <w14:schemeClr w14:val="tx1"/>
                  </w14:solidFill>
                </w14:textFill>
              </w:rPr>
            </w:pPr>
            <w:r>
              <w:rPr>
                <w:rFonts w:hint="eastAsia" w:ascii="微软雅黑" w:hAnsi="微软雅黑" w:eastAsia="微软雅黑"/>
                <w:b/>
                <w:bCs/>
                <w:color w:val="000000" w:themeColor="text1"/>
                <w:lang w:val="en-US" w:eastAsia="zh-CN"/>
                <w14:textFill>
                  <w14:solidFill>
                    <w14:schemeClr w14:val="tx1"/>
                  </w14:solidFill>
                </w14:textFill>
              </w:rPr>
              <w:t>承诺函</w:t>
            </w:r>
          </w:p>
          <w:p>
            <w:pPr>
              <w:spacing w:line="360" w:lineRule="auto"/>
              <w:rPr>
                <w:rFonts w:hint="eastAsia" w:hAnsi="宋体"/>
                <w:sz w:val="24"/>
                <w:szCs w:val="21"/>
                <w:lang w:val="en-US" w:eastAsia="zh-CN"/>
              </w:rPr>
            </w:pPr>
            <w:r>
              <w:rPr>
                <w:rFonts w:hint="eastAsia" w:hAnsi="宋体"/>
                <w:sz w:val="24"/>
                <w:szCs w:val="21"/>
                <w:u w:val="single"/>
                <w:lang w:val="en-US" w:eastAsia="zh-CN"/>
              </w:rPr>
              <w:t xml:space="preserve">            </w:t>
            </w:r>
            <w:r>
              <w:rPr>
                <w:rFonts w:hint="eastAsia" w:hAnsi="宋体"/>
                <w:sz w:val="24"/>
                <w:szCs w:val="21"/>
                <w:lang w:val="en-US" w:eastAsia="zh-CN"/>
              </w:rPr>
              <w:t>（采购人）：</w:t>
            </w:r>
          </w:p>
          <w:p>
            <w:pPr>
              <w:spacing w:line="360" w:lineRule="auto"/>
              <w:ind w:firstLine="480" w:firstLineChars="200"/>
              <w:rPr>
                <w:rFonts w:hint="eastAsia" w:hAnsi="宋体"/>
                <w:sz w:val="24"/>
                <w:szCs w:val="21"/>
                <w:lang w:val="en-US" w:eastAsia="zh-CN"/>
              </w:rPr>
            </w:pPr>
            <w:r>
              <w:rPr>
                <w:rFonts w:hint="eastAsia" w:hAnsi="宋体"/>
                <w:sz w:val="24"/>
                <w:szCs w:val="21"/>
                <w:lang w:val="en-US" w:eastAsia="zh-CN"/>
              </w:rPr>
              <w:t>我公司承诺满足以下要求：</w:t>
            </w:r>
          </w:p>
          <w:p>
            <w:pPr>
              <w:spacing w:line="360" w:lineRule="auto"/>
              <w:ind w:firstLine="480" w:firstLineChars="200"/>
              <w:rPr>
                <w:rFonts w:hint="eastAsia" w:hAnsi="宋体"/>
                <w:sz w:val="24"/>
                <w:szCs w:val="21"/>
                <w:lang w:eastAsia="zh-CN"/>
              </w:rPr>
            </w:pPr>
            <w:r>
              <w:rPr>
                <w:rFonts w:hint="eastAsia" w:hAnsi="宋体"/>
                <w:sz w:val="24"/>
                <w:szCs w:val="21"/>
                <w:lang w:val="en-US" w:eastAsia="zh-CN"/>
              </w:rPr>
              <w:t>供应商</w:t>
            </w:r>
            <w:r>
              <w:rPr>
                <w:rFonts w:hint="eastAsia" w:hAnsi="宋体"/>
                <w:sz w:val="24"/>
                <w:szCs w:val="21"/>
                <w:lang w:eastAsia="zh-CN"/>
              </w:rPr>
              <w:t>的法定代表人或负责人为同一人或者存在控股、管理关系的不同供应商，不得参加同一标段或者未划分标段的同一采购项目响应。</w:t>
            </w:r>
          </w:p>
          <w:p>
            <w:pPr>
              <w:spacing w:line="360" w:lineRule="auto"/>
              <w:ind w:firstLine="480" w:firstLineChars="200"/>
              <w:rPr>
                <w:rFonts w:hint="eastAsia" w:hAnsi="宋体"/>
                <w:sz w:val="24"/>
                <w:szCs w:val="21"/>
                <w:lang w:val="en-US" w:eastAsia="zh-CN"/>
              </w:rPr>
            </w:pPr>
            <w:r>
              <w:rPr>
                <w:rFonts w:hint="eastAsia" w:hAnsi="宋体"/>
                <w:sz w:val="24"/>
                <w:szCs w:val="21"/>
                <w:lang w:val="en-US" w:eastAsia="zh-CN"/>
              </w:rPr>
              <w:t>如出现上述情况，采购人有权取消成交供应商的成交资格。</w:t>
            </w:r>
          </w:p>
          <w:p>
            <w:pPr>
              <w:spacing w:line="360" w:lineRule="auto"/>
              <w:ind w:firstLine="480" w:firstLineChars="200"/>
              <w:rPr>
                <w:rFonts w:hint="eastAsia" w:hAnsi="宋体"/>
                <w:sz w:val="24"/>
                <w:szCs w:val="21"/>
                <w:lang w:val="en-US" w:eastAsia="zh-CN"/>
              </w:rPr>
            </w:pPr>
            <w:r>
              <w:rPr>
                <w:rFonts w:hint="eastAsia" w:hAnsi="宋体"/>
                <w:sz w:val="24"/>
                <w:szCs w:val="21"/>
                <w:lang w:val="en-US" w:eastAsia="zh-CN"/>
              </w:rPr>
              <w:t>特此承诺。</w:t>
            </w:r>
          </w:p>
          <w:p>
            <w:pPr>
              <w:spacing w:line="360" w:lineRule="auto"/>
              <w:ind w:firstLine="480" w:firstLineChars="200"/>
              <w:rPr>
                <w:rFonts w:hint="eastAsia" w:hAnsi="宋体"/>
                <w:sz w:val="24"/>
                <w:szCs w:val="21"/>
                <w:lang w:val="en-US" w:eastAsia="zh-CN"/>
              </w:rPr>
            </w:pPr>
          </w:p>
          <w:p>
            <w:pPr>
              <w:spacing w:line="360" w:lineRule="auto"/>
              <w:ind w:firstLine="480" w:firstLineChars="200"/>
              <w:rPr>
                <w:rFonts w:hint="default" w:hAnsi="宋体"/>
                <w:sz w:val="24"/>
                <w:szCs w:val="21"/>
                <w:lang w:val="en-US" w:eastAsia="zh-CN"/>
              </w:rPr>
            </w:pP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pStyle w:val="12"/>
              <w:wordWrap w:val="0"/>
              <w:adjustRightInd w:val="0"/>
              <w:snapToGrid w:val="0"/>
              <w:spacing w:before="156" w:beforeLines="50" w:after="156" w:afterLines="50" w:line="360" w:lineRule="auto"/>
              <w:ind w:firstLine="480" w:firstLineChars="200"/>
              <w:jc w:val="right"/>
              <w:rPr>
                <w:rFonts w:hint="default" w:hAnsi="宋体" w:eastAsia="宋体"/>
                <w:sz w:val="24"/>
                <w:szCs w:val="21"/>
                <w:lang w:val="en-US" w:eastAsia="zh-CN"/>
              </w:rPr>
            </w:pPr>
            <w:r>
              <w:rPr>
                <w:rFonts w:hAnsi="宋体"/>
                <w:sz w:val="24"/>
                <w:szCs w:val="21"/>
              </w:rPr>
              <w:t>法定代表人</w:t>
            </w:r>
            <w:r>
              <w:rPr>
                <w:rFonts w:hint="eastAsia" w:hAnsi="宋体"/>
                <w:sz w:val="24"/>
                <w:szCs w:val="21"/>
                <w:lang w:val="en-US" w:eastAsia="zh-CN"/>
              </w:rPr>
              <w:t>或</w:t>
            </w:r>
            <w:r>
              <w:rPr>
                <w:rFonts w:hAnsi="宋体"/>
                <w:sz w:val="24"/>
                <w:szCs w:val="21"/>
              </w:rPr>
              <w:t>代理人</w:t>
            </w:r>
            <w:r>
              <w:rPr>
                <w:rFonts w:hint="eastAsia" w:hAnsi="宋体"/>
                <w:sz w:val="24"/>
                <w:szCs w:val="21"/>
              </w:rPr>
              <w:t>签字：</w:t>
            </w:r>
            <w:r>
              <w:rPr>
                <w:rFonts w:hint="eastAsia"/>
                <w:sz w:val="24"/>
                <w:szCs w:val="21"/>
                <w:lang w:val="en-US" w:eastAsia="zh-CN"/>
              </w:rPr>
              <w:t xml:space="preserve">          </w:t>
            </w:r>
          </w:p>
          <w:p>
            <w:pPr>
              <w:pStyle w:val="12"/>
              <w:adjustRightInd w:val="0"/>
              <w:snapToGrid w:val="0"/>
              <w:spacing w:before="156" w:beforeLines="50" w:after="156" w:afterLines="50" w:line="360" w:lineRule="auto"/>
              <w:ind w:firstLine="480" w:firstLineChars="200"/>
              <w:jc w:val="right"/>
              <w:rPr>
                <w:rFonts w:hint="default" w:hAnsi="宋体" w:eastAsia="宋体"/>
                <w:sz w:val="24"/>
                <w:szCs w:val="21"/>
                <w:lang w:val="en-US" w:eastAsia="zh-CN"/>
              </w:rPr>
            </w:pPr>
            <w:r>
              <w:rPr>
                <w:rFonts w:hint="eastAsia"/>
                <w:sz w:val="24"/>
                <w:szCs w:val="21"/>
                <w:lang w:val="en-US" w:eastAsia="zh-CN"/>
              </w:rPr>
              <w:t>年  月  日</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提供建设行政主管部门核发的机电工程施工总承包乙级及以上资质或建筑机电工程专业承包乙级及以上资质（或原有效期内的机电工程施工总承包三级及以上资质或建筑机电安装工程专业承包三级及以上资质）</w:t>
      </w:r>
      <w:r>
        <w:rPr>
          <w:rFonts w:hint="eastAsia" w:ascii="微软雅黑" w:hAnsi="微软雅黑" w:eastAsia="微软雅黑"/>
          <w:color w:val="000000" w:themeColor="text1"/>
          <w:lang w:eastAsia="zh-CN"/>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法定代表人</w:t>
      </w:r>
      <w:r>
        <w:rPr>
          <w:rFonts w:hint="eastAsia" w:hAnsi="宋体"/>
          <w:sz w:val="24"/>
          <w:szCs w:val="21"/>
          <w:lang w:val="en-US" w:eastAsia="zh-CN"/>
        </w:rPr>
        <w:t>或</w:t>
      </w:r>
      <w:r>
        <w:rPr>
          <w:rFonts w:hAnsi="宋体"/>
          <w:sz w:val="24"/>
          <w:szCs w:val="21"/>
        </w:rPr>
        <w:t>代理人</w:t>
      </w:r>
      <w:r>
        <w:rPr>
          <w:rFonts w:hint="eastAsia" w:hAnsi="宋体"/>
          <w:sz w:val="24"/>
          <w:szCs w:val="21"/>
        </w:rPr>
        <w:t>签字：</w:t>
      </w:r>
    </w:p>
    <w:tbl>
      <w:tblPr>
        <w:tblStyle w:val="1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5"/>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w:t>
      </w:r>
      <w:r>
        <w:rPr>
          <w:rFonts w:hint="eastAsia" w:ascii="微软雅黑" w:hAnsi="微软雅黑" w:eastAsia="微软雅黑"/>
          <w:color w:val="000000" w:themeColor="text1"/>
          <w:lang w:eastAsia="zh-CN"/>
          <w14:textFill>
            <w14:solidFill>
              <w14:schemeClr w14:val="tx1"/>
            </w14:solidFill>
          </w14:textFill>
        </w:rPr>
        <w:t>。</w:t>
      </w:r>
    </w:p>
    <w:tbl>
      <w:tblPr>
        <w:tblStyle w:val="15"/>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987"/>
        <w:gridCol w:w="3053"/>
        <w:gridCol w:w="587"/>
        <w:gridCol w:w="626"/>
        <w:gridCol w:w="1389"/>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7" w:type="dxa"/>
            <w:vAlign w:val="center"/>
          </w:tcPr>
          <w:p>
            <w:pPr>
              <w:pStyle w:val="12"/>
              <w:wordWrap w:val="0"/>
              <w:spacing w:before="0" w:beforeAutospacing="0" w:after="0" w:afterAutospacing="0" w:line="360" w:lineRule="auto"/>
              <w:jc w:val="center"/>
              <w:rPr>
                <w:rFonts w:hint="default" w:cs="Calibri"/>
                <w:b/>
                <w:bCs/>
                <w:color w:val="333333"/>
                <w:sz w:val="18"/>
                <w:szCs w:val="18"/>
                <w:highlight w:val="none"/>
                <w:vertAlign w:val="baseline"/>
                <w:lang w:val="en-US" w:eastAsia="zh-CN"/>
              </w:rPr>
            </w:pPr>
            <w:r>
              <w:rPr>
                <w:rFonts w:hint="eastAsia" w:cs="Calibri"/>
                <w:b/>
                <w:bCs/>
                <w:color w:val="333333"/>
                <w:sz w:val="18"/>
                <w:szCs w:val="18"/>
                <w:highlight w:val="none"/>
                <w:vertAlign w:val="baseline"/>
                <w:lang w:val="en-US" w:eastAsia="zh-CN"/>
              </w:rPr>
              <w:t>序号</w:t>
            </w:r>
          </w:p>
        </w:tc>
        <w:tc>
          <w:tcPr>
            <w:tcW w:w="1987" w:type="dxa"/>
            <w:vAlign w:val="center"/>
          </w:tcPr>
          <w:p>
            <w:pPr>
              <w:pStyle w:val="12"/>
              <w:wordWrap w:val="0"/>
              <w:spacing w:before="0" w:beforeAutospacing="0" w:after="0" w:afterAutospacing="0" w:line="360" w:lineRule="auto"/>
              <w:jc w:val="center"/>
              <w:rPr>
                <w:rFonts w:hint="default" w:cs="Calibri"/>
                <w:b/>
                <w:bCs/>
                <w:color w:val="333333"/>
                <w:sz w:val="18"/>
                <w:szCs w:val="18"/>
                <w:highlight w:val="none"/>
                <w:vertAlign w:val="baseline"/>
                <w:lang w:val="en-US" w:eastAsia="zh-CN"/>
              </w:rPr>
            </w:pPr>
            <w:r>
              <w:rPr>
                <w:rFonts w:hint="eastAsia" w:cs="Calibri"/>
                <w:b/>
                <w:bCs/>
                <w:color w:val="333333"/>
                <w:sz w:val="18"/>
                <w:szCs w:val="18"/>
                <w:highlight w:val="none"/>
                <w:vertAlign w:val="baseline"/>
                <w:lang w:val="en-US" w:eastAsia="zh-CN"/>
              </w:rPr>
              <w:t>名称</w:t>
            </w:r>
          </w:p>
        </w:tc>
        <w:tc>
          <w:tcPr>
            <w:tcW w:w="3053" w:type="dxa"/>
            <w:vAlign w:val="center"/>
          </w:tcPr>
          <w:p>
            <w:pPr>
              <w:pStyle w:val="12"/>
              <w:wordWrap w:val="0"/>
              <w:spacing w:before="0" w:beforeAutospacing="0" w:after="0" w:afterAutospacing="0" w:line="360" w:lineRule="auto"/>
              <w:jc w:val="center"/>
              <w:rPr>
                <w:rFonts w:hint="default" w:cs="Calibri"/>
                <w:b/>
                <w:bCs/>
                <w:color w:val="333333"/>
                <w:sz w:val="18"/>
                <w:szCs w:val="18"/>
                <w:highlight w:val="none"/>
                <w:vertAlign w:val="baseline"/>
                <w:lang w:val="en-US" w:eastAsia="zh-CN"/>
              </w:rPr>
            </w:pPr>
            <w:r>
              <w:rPr>
                <w:rFonts w:hint="eastAsia" w:cs="Calibri"/>
                <w:b/>
                <w:bCs/>
                <w:color w:val="333333"/>
                <w:sz w:val="18"/>
                <w:szCs w:val="18"/>
                <w:highlight w:val="none"/>
                <w:vertAlign w:val="baseline"/>
                <w:lang w:val="en-US" w:eastAsia="zh-CN"/>
              </w:rPr>
              <w:t>规格型号</w:t>
            </w:r>
          </w:p>
        </w:tc>
        <w:tc>
          <w:tcPr>
            <w:tcW w:w="587" w:type="dxa"/>
            <w:vAlign w:val="center"/>
          </w:tcPr>
          <w:p>
            <w:pPr>
              <w:pStyle w:val="12"/>
              <w:wordWrap w:val="0"/>
              <w:spacing w:before="0" w:beforeAutospacing="0" w:after="0" w:afterAutospacing="0" w:line="360" w:lineRule="auto"/>
              <w:jc w:val="center"/>
              <w:rPr>
                <w:rFonts w:hint="default" w:cs="Calibri"/>
                <w:b/>
                <w:bCs/>
                <w:color w:val="333333"/>
                <w:sz w:val="18"/>
                <w:szCs w:val="18"/>
                <w:highlight w:val="none"/>
                <w:vertAlign w:val="baseline"/>
                <w:lang w:val="en-US" w:eastAsia="zh-CN"/>
              </w:rPr>
            </w:pPr>
            <w:r>
              <w:rPr>
                <w:rFonts w:hint="eastAsia" w:cs="Calibri"/>
                <w:b/>
                <w:bCs/>
                <w:color w:val="333333"/>
                <w:sz w:val="18"/>
                <w:szCs w:val="18"/>
                <w:highlight w:val="none"/>
                <w:vertAlign w:val="baseline"/>
                <w:lang w:val="en-US" w:eastAsia="zh-CN"/>
              </w:rPr>
              <w:t>单位</w:t>
            </w:r>
          </w:p>
        </w:tc>
        <w:tc>
          <w:tcPr>
            <w:tcW w:w="626" w:type="dxa"/>
            <w:vAlign w:val="center"/>
          </w:tcPr>
          <w:p>
            <w:pPr>
              <w:pStyle w:val="12"/>
              <w:wordWrap w:val="0"/>
              <w:spacing w:before="0" w:beforeAutospacing="0" w:after="0" w:afterAutospacing="0" w:line="360" w:lineRule="auto"/>
              <w:jc w:val="center"/>
              <w:rPr>
                <w:rFonts w:hint="default" w:cs="Calibri"/>
                <w:b/>
                <w:bCs/>
                <w:color w:val="333333"/>
                <w:sz w:val="18"/>
                <w:szCs w:val="18"/>
                <w:highlight w:val="none"/>
                <w:vertAlign w:val="baseline"/>
                <w:lang w:val="en-US" w:eastAsia="zh-CN"/>
              </w:rPr>
            </w:pPr>
            <w:r>
              <w:rPr>
                <w:rFonts w:hint="eastAsia" w:cs="Calibri"/>
                <w:b/>
                <w:bCs/>
                <w:color w:val="333333"/>
                <w:sz w:val="18"/>
                <w:szCs w:val="18"/>
                <w:highlight w:val="none"/>
                <w:vertAlign w:val="baseline"/>
                <w:lang w:val="en-US" w:eastAsia="zh-CN"/>
              </w:rPr>
              <w:t>数量</w:t>
            </w:r>
          </w:p>
        </w:tc>
        <w:tc>
          <w:tcPr>
            <w:tcW w:w="1389" w:type="dxa"/>
            <w:vAlign w:val="center"/>
          </w:tcPr>
          <w:p>
            <w:pPr>
              <w:pStyle w:val="12"/>
              <w:wordWrap w:val="0"/>
              <w:spacing w:before="0" w:beforeAutospacing="0" w:after="0" w:afterAutospacing="0" w:line="360" w:lineRule="auto"/>
              <w:jc w:val="center"/>
              <w:rPr>
                <w:rFonts w:hint="default" w:cs="Calibri"/>
                <w:b/>
                <w:bCs/>
                <w:color w:val="333333"/>
                <w:sz w:val="18"/>
                <w:szCs w:val="18"/>
                <w:highlight w:val="none"/>
                <w:vertAlign w:val="baseline"/>
                <w:lang w:val="en-US" w:eastAsia="zh-CN"/>
              </w:rPr>
            </w:pPr>
            <w:r>
              <w:rPr>
                <w:rFonts w:hint="eastAsia" w:cs="Calibri"/>
                <w:b/>
                <w:bCs/>
                <w:color w:val="333333"/>
                <w:sz w:val="18"/>
                <w:szCs w:val="18"/>
                <w:highlight w:val="none"/>
                <w:vertAlign w:val="baseline"/>
                <w:lang w:val="en-US" w:eastAsia="zh-CN"/>
              </w:rPr>
              <w:t>单价报价（元）</w:t>
            </w:r>
          </w:p>
        </w:tc>
        <w:tc>
          <w:tcPr>
            <w:tcW w:w="1389" w:type="dxa"/>
            <w:vAlign w:val="center"/>
          </w:tcPr>
          <w:p>
            <w:pPr>
              <w:pStyle w:val="12"/>
              <w:wordWrap w:val="0"/>
              <w:spacing w:before="0" w:beforeAutospacing="0" w:after="0" w:afterAutospacing="0" w:line="360" w:lineRule="auto"/>
              <w:jc w:val="center"/>
              <w:rPr>
                <w:rFonts w:hint="default" w:cs="Calibri"/>
                <w:b/>
                <w:bCs/>
                <w:color w:val="333333"/>
                <w:sz w:val="18"/>
                <w:szCs w:val="18"/>
                <w:highlight w:val="none"/>
                <w:vertAlign w:val="baseline"/>
                <w:lang w:val="en-US" w:eastAsia="zh-CN"/>
              </w:rPr>
            </w:pPr>
            <w:r>
              <w:rPr>
                <w:rFonts w:hint="eastAsia" w:cs="Calibri"/>
                <w:b/>
                <w:bCs/>
                <w:color w:val="333333"/>
                <w:sz w:val="18"/>
                <w:szCs w:val="18"/>
                <w:highlight w:val="none"/>
                <w:vertAlign w:val="baseline"/>
                <w:lang w:val="en-US" w:eastAsia="zh-CN"/>
              </w:rPr>
              <w:t>总价报价（元）（单价报价*数量）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1</w:t>
            </w:r>
          </w:p>
        </w:tc>
        <w:tc>
          <w:tcPr>
            <w:tcW w:w="19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新增深井泵25kW控制柜</w:t>
            </w:r>
          </w:p>
        </w:tc>
        <w:tc>
          <w:tcPr>
            <w:tcW w:w="3053"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碳钢喷涂柜体、ABB变频器，尺寸依据现有柜体尺寸，按预留空间放置，连接至动力柜及信号柜</w:t>
            </w:r>
          </w:p>
        </w:tc>
        <w:tc>
          <w:tcPr>
            <w:tcW w:w="5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台</w:t>
            </w:r>
          </w:p>
        </w:tc>
        <w:tc>
          <w:tcPr>
            <w:tcW w:w="626"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1</w:t>
            </w: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val="en-US" w:eastAsia="zh-CN"/>
              </w:rPr>
            </w:pP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2</w:t>
            </w:r>
          </w:p>
        </w:tc>
        <w:tc>
          <w:tcPr>
            <w:tcW w:w="19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2#井、5#井更换变频器</w:t>
            </w:r>
          </w:p>
        </w:tc>
        <w:tc>
          <w:tcPr>
            <w:tcW w:w="3053"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ACS510-30kW，含光口转换器</w:t>
            </w:r>
          </w:p>
        </w:tc>
        <w:tc>
          <w:tcPr>
            <w:tcW w:w="5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台</w:t>
            </w:r>
          </w:p>
        </w:tc>
        <w:tc>
          <w:tcPr>
            <w:tcW w:w="626"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2</w:t>
            </w: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eastAsia="zh-CN"/>
              </w:rPr>
            </w:pP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3</w:t>
            </w:r>
          </w:p>
        </w:tc>
        <w:tc>
          <w:tcPr>
            <w:tcW w:w="19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75kW变频器</w:t>
            </w:r>
          </w:p>
        </w:tc>
        <w:tc>
          <w:tcPr>
            <w:tcW w:w="3053"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ACS510-75kW</w:t>
            </w:r>
          </w:p>
        </w:tc>
        <w:tc>
          <w:tcPr>
            <w:tcW w:w="5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台</w:t>
            </w:r>
          </w:p>
        </w:tc>
        <w:tc>
          <w:tcPr>
            <w:tcW w:w="626"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8</w:t>
            </w: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eastAsia="zh-CN"/>
              </w:rPr>
            </w:pP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4</w:t>
            </w:r>
          </w:p>
        </w:tc>
        <w:tc>
          <w:tcPr>
            <w:tcW w:w="19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高位水池更换变频器、触摸屏</w:t>
            </w:r>
          </w:p>
        </w:tc>
        <w:tc>
          <w:tcPr>
            <w:tcW w:w="3053"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2台变频器、1台触摸屏</w:t>
            </w:r>
          </w:p>
        </w:tc>
        <w:tc>
          <w:tcPr>
            <w:tcW w:w="5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套</w:t>
            </w:r>
          </w:p>
        </w:tc>
        <w:tc>
          <w:tcPr>
            <w:tcW w:w="626"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1</w:t>
            </w: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eastAsia="zh-CN"/>
              </w:rPr>
            </w:pP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5</w:t>
            </w:r>
          </w:p>
        </w:tc>
        <w:tc>
          <w:tcPr>
            <w:tcW w:w="19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工控机维护</w:t>
            </w:r>
          </w:p>
        </w:tc>
        <w:tc>
          <w:tcPr>
            <w:tcW w:w="3053"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维护现有程序</w:t>
            </w:r>
          </w:p>
        </w:tc>
        <w:tc>
          <w:tcPr>
            <w:tcW w:w="5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套</w:t>
            </w:r>
          </w:p>
        </w:tc>
        <w:tc>
          <w:tcPr>
            <w:tcW w:w="626"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1</w:t>
            </w: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val="en-US" w:eastAsia="zh-CN"/>
              </w:rPr>
            </w:pP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6</w:t>
            </w:r>
          </w:p>
        </w:tc>
        <w:tc>
          <w:tcPr>
            <w:tcW w:w="19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资料及培训</w:t>
            </w:r>
          </w:p>
        </w:tc>
        <w:tc>
          <w:tcPr>
            <w:tcW w:w="3053"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更新后电路图、PLC地址图、运行维护资料，1式4份+电子版</w:t>
            </w:r>
          </w:p>
        </w:tc>
        <w:tc>
          <w:tcPr>
            <w:tcW w:w="587"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套</w:t>
            </w:r>
          </w:p>
        </w:tc>
        <w:tc>
          <w:tcPr>
            <w:tcW w:w="626" w:type="dxa"/>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1</w:t>
            </w: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val="en-US" w:eastAsia="zh-CN"/>
              </w:rPr>
            </w:pP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29" w:type="dxa"/>
            <w:gridSpan w:val="6"/>
            <w:vAlign w:val="center"/>
          </w:tcPr>
          <w:p>
            <w:pPr>
              <w:pStyle w:val="12"/>
              <w:wordWrap w:val="0"/>
              <w:spacing w:before="0" w:beforeAutospacing="0" w:after="0" w:afterAutospacing="0" w:line="360" w:lineRule="auto"/>
              <w:jc w:val="center"/>
              <w:rPr>
                <w:rFonts w:hint="default" w:cs="Calibri"/>
                <w:color w:val="333333"/>
                <w:sz w:val="18"/>
                <w:szCs w:val="18"/>
                <w:highlight w:val="none"/>
                <w:vertAlign w:val="baseline"/>
                <w:lang w:val="en-US" w:eastAsia="zh-CN"/>
              </w:rPr>
            </w:pPr>
            <w:r>
              <w:rPr>
                <w:rFonts w:hint="eastAsia" w:cs="Calibri"/>
                <w:color w:val="333333"/>
                <w:sz w:val="18"/>
                <w:szCs w:val="18"/>
                <w:highlight w:val="none"/>
                <w:vertAlign w:val="baseline"/>
                <w:lang w:val="en-US" w:eastAsia="zh-CN"/>
              </w:rPr>
              <w:t>合计（元</w:t>
            </w:r>
            <w:bookmarkStart w:id="0" w:name="_GoBack"/>
            <w:bookmarkEnd w:id="0"/>
            <w:r>
              <w:rPr>
                <w:rFonts w:hint="eastAsia" w:cs="Calibri"/>
                <w:color w:val="333333"/>
                <w:sz w:val="18"/>
                <w:szCs w:val="18"/>
                <w:highlight w:val="none"/>
                <w:vertAlign w:val="baseline"/>
                <w:lang w:val="en-US" w:eastAsia="zh-CN"/>
              </w:rPr>
              <w:t>）</w:t>
            </w:r>
          </w:p>
        </w:tc>
        <w:tc>
          <w:tcPr>
            <w:tcW w:w="1389" w:type="dxa"/>
            <w:vAlign w:val="center"/>
          </w:tcPr>
          <w:p>
            <w:pPr>
              <w:pStyle w:val="12"/>
              <w:wordWrap w:val="0"/>
              <w:spacing w:before="0" w:beforeAutospacing="0" w:after="0" w:afterAutospacing="0" w:line="360" w:lineRule="auto"/>
              <w:jc w:val="center"/>
              <w:rPr>
                <w:rFonts w:hint="eastAsia" w:cs="Calibri"/>
                <w:color w:val="333333"/>
                <w:sz w:val="18"/>
                <w:szCs w:val="18"/>
                <w:highlight w:val="none"/>
                <w:vertAlign w:val="baseline"/>
                <w:lang w:val="en-US" w:eastAsia="zh-CN"/>
              </w:rPr>
            </w:pPr>
          </w:p>
        </w:tc>
      </w:tr>
    </w:tbl>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rPr>
        <w:rStyle w:val="18"/>
      </w:rPr>
      <w:instrText xml:space="preserve"> PAGE </w:instrText>
    </w:r>
    <w:r>
      <w:fldChar w:fldCharType="separate"/>
    </w:r>
    <w:r>
      <w:rPr>
        <w:rStyle w:val="18"/>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227AC998"/>
    <w:multiLevelType w:val="singleLevel"/>
    <w:tmpl w:val="227AC998"/>
    <w:lvl w:ilvl="0" w:tentative="0">
      <w:start w:val="3"/>
      <w:numFmt w:val="chineseCounting"/>
      <w:suff w:val="nothing"/>
      <w:lvlText w:val="%1、"/>
      <w:lvlJc w:val="left"/>
      <w:rPr>
        <w:rFonts w:hint="eastAsia"/>
      </w:rPr>
    </w:lvl>
  </w:abstractNum>
  <w:abstractNum w:abstractNumId="2">
    <w:nsid w:val="77060B0B"/>
    <w:multiLevelType w:val="singleLevel"/>
    <w:tmpl w:val="77060B0B"/>
    <w:lvl w:ilvl="0" w:tentative="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5982DA6"/>
    <w:rsid w:val="0D9756D8"/>
    <w:rsid w:val="13AA206A"/>
    <w:rsid w:val="170220CE"/>
    <w:rsid w:val="1CFC48EF"/>
    <w:rsid w:val="1D756E18"/>
    <w:rsid w:val="22836D67"/>
    <w:rsid w:val="26076B01"/>
    <w:rsid w:val="2CF47971"/>
    <w:rsid w:val="2E34016C"/>
    <w:rsid w:val="2F5A077C"/>
    <w:rsid w:val="32607A69"/>
    <w:rsid w:val="3C9765FD"/>
    <w:rsid w:val="431922A3"/>
    <w:rsid w:val="46D76164"/>
    <w:rsid w:val="4D8D4D74"/>
    <w:rsid w:val="59A21062"/>
    <w:rsid w:val="5DC673A8"/>
    <w:rsid w:val="62A77132"/>
    <w:rsid w:val="676013FA"/>
    <w:rsid w:val="777501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next w:val="5"/>
    <w:link w:val="27"/>
    <w:qFormat/>
    <w:uiPriority w:val="0"/>
    <w:pPr>
      <w:spacing w:after="120"/>
    </w:pPr>
    <w:rPr>
      <w:rFonts w:ascii="Times New Roman" w:hAnsi="Times New Roman"/>
      <w:szCs w:val="24"/>
    </w:rPr>
  </w:style>
  <w:style w:type="paragraph" w:styleId="5">
    <w:name w:val="Body Text First Indent"/>
    <w:basedOn w:val="4"/>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6">
    <w:name w:val="Body Text Indent"/>
    <w:basedOn w:val="1"/>
    <w:link w:val="26"/>
    <w:qFormat/>
    <w:uiPriority w:val="0"/>
    <w:pPr>
      <w:ind w:firstLine="830" w:firstLineChars="352"/>
    </w:pPr>
    <w:rPr>
      <w:rFonts w:ascii="仿宋_GB2312" w:hAnsi="Times New Roman" w:eastAsia="仿宋_GB2312"/>
      <w:sz w:val="32"/>
    </w:rPr>
  </w:style>
  <w:style w:type="paragraph" w:styleId="7">
    <w:name w:val="Plain Text"/>
    <w:basedOn w:val="1"/>
    <w:link w:val="22"/>
    <w:qFormat/>
    <w:uiPriority w:val="0"/>
    <w:rPr>
      <w:rFonts w:ascii="宋体" w:hAnsi="Courier New" w:cs="Courier New"/>
      <w:szCs w:val="21"/>
    </w:rPr>
  </w:style>
  <w:style w:type="paragraph" w:styleId="8">
    <w:name w:val="Date"/>
    <w:basedOn w:val="1"/>
    <w:next w:val="1"/>
    <w:link w:val="23"/>
    <w:qFormat/>
    <w:uiPriority w:val="0"/>
    <w:pPr>
      <w:ind w:left="100" w:leftChars="2500"/>
    </w:pPr>
    <w:rPr>
      <w:rFonts w:ascii="宋体" w:hAnsi="Courier New" w:cs="Courier New"/>
      <w:szCs w:val="21"/>
    </w:rPr>
  </w:style>
  <w:style w:type="paragraph" w:styleId="9">
    <w:name w:val="Balloon Text"/>
    <w:basedOn w:val="1"/>
    <w:link w:val="33"/>
    <w:semiHidden/>
    <w:unhideWhenUsed/>
    <w:qFormat/>
    <w:uiPriority w:val="99"/>
    <w:rPr>
      <w:sz w:val="18"/>
      <w:szCs w:val="18"/>
    </w:rPr>
  </w:style>
  <w:style w:type="paragraph" w:styleId="10">
    <w:name w:val="footer"/>
    <w:basedOn w:val="1"/>
    <w:link w:val="21"/>
    <w:unhideWhenUsed/>
    <w:qFormat/>
    <w:uiPriority w:val="0"/>
    <w:pPr>
      <w:tabs>
        <w:tab w:val="center" w:pos="4153"/>
        <w:tab w:val="right" w:pos="8306"/>
      </w:tabs>
      <w:snapToGrid w:val="0"/>
      <w:jc w:val="left"/>
    </w:pPr>
    <w:rPr>
      <w:sz w:val="18"/>
      <w:szCs w:val="18"/>
    </w:rPr>
  </w:style>
  <w:style w:type="paragraph" w:styleId="11">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3">
    <w:name w:val="Title"/>
    <w:basedOn w:val="1"/>
    <w:next w:val="1"/>
    <w:link w:val="28"/>
    <w:qFormat/>
    <w:uiPriority w:val="0"/>
    <w:pPr>
      <w:spacing w:before="240" w:after="60"/>
      <w:jc w:val="center"/>
      <w:outlineLvl w:val="0"/>
    </w:pPr>
    <w:rPr>
      <w:rFonts w:ascii="Cambria" w:hAnsi="Cambria" w:eastAsia="方正小标宋简体" w:cs="Times New Roman"/>
      <w:b/>
      <w:bCs/>
      <w:sz w:val="44"/>
      <w:szCs w:val="32"/>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page number"/>
    <w:basedOn w:val="16"/>
    <w:qFormat/>
    <w:uiPriority w:val="0"/>
  </w:style>
  <w:style w:type="character" w:customStyle="1" w:styleId="19">
    <w:name w:val="标题 2 Char"/>
    <w:basedOn w:val="16"/>
    <w:link w:val="2"/>
    <w:qFormat/>
    <w:uiPriority w:val="9"/>
    <w:rPr>
      <w:rFonts w:ascii="宋体" w:hAnsi="宋体" w:eastAsia="宋体" w:cs="宋体"/>
      <w:b/>
      <w:bCs/>
      <w:kern w:val="0"/>
      <w:sz w:val="36"/>
      <w:szCs w:val="36"/>
    </w:rPr>
  </w:style>
  <w:style w:type="character" w:customStyle="1" w:styleId="20">
    <w:name w:val="页眉 Char"/>
    <w:basedOn w:val="16"/>
    <w:link w:val="11"/>
    <w:qFormat/>
    <w:uiPriority w:val="0"/>
    <w:rPr>
      <w:sz w:val="18"/>
      <w:szCs w:val="18"/>
    </w:rPr>
  </w:style>
  <w:style w:type="character" w:customStyle="1" w:styleId="21">
    <w:name w:val="页脚 Char"/>
    <w:basedOn w:val="16"/>
    <w:link w:val="10"/>
    <w:qFormat/>
    <w:uiPriority w:val="0"/>
    <w:rPr>
      <w:sz w:val="18"/>
      <w:szCs w:val="18"/>
    </w:rPr>
  </w:style>
  <w:style w:type="character" w:customStyle="1" w:styleId="22">
    <w:name w:val="纯文本 Char"/>
    <w:basedOn w:val="16"/>
    <w:link w:val="7"/>
    <w:qFormat/>
    <w:uiPriority w:val="0"/>
    <w:rPr>
      <w:rFonts w:ascii="宋体" w:hAnsi="Courier New" w:cs="Courier New"/>
      <w:szCs w:val="21"/>
    </w:rPr>
  </w:style>
  <w:style w:type="character" w:customStyle="1" w:styleId="23">
    <w:name w:val="日期 Char"/>
    <w:basedOn w:val="16"/>
    <w:link w:val="8"/>
    <w:qFormat/>
    <w:uiPriority w:val="0"/>
    <w:rPr>
      <w:rFonts w:ascii="宋体" w:hAnsi="Courier New" w:cs="Courier New"/>
      <w:szCs w:val="21"/>
    </w:rPr>
  </w:style>
  <w:style w:type="character" w:customStyle="1" w:styleId="24">
    <w:name w:val="日期 Char1"/>
    <w:basedOn w:val="16"/>
    <w:semiHidden/>
    <w:qFormat/>
    <w:uiPriority w:val="99"/>
  </w:style>
  <w:style w:type="character" w:customStyle="1" w:styleId="25">
    <w:name w:val="纯文本 Char1"/>
    <w:basedOn w:val="16"/>
    <w:semiHidden/>
    <w:qFormat/>
    <w:uiPriority w:val="99"/>
    <w:rPr>
      <w:rFonts w:ascii="宋体" w:hAnsi="Courier New" w:eastAsia="宋体" w:cs="Courier New"/>
      <w:szCs w:val="21"/>
    </w:rPr>
  </w:style>
  <w:style w:type="character" w:customStyle="1" w:styleId="26">
    <w:name w:val="正文文本缩进 Char"/>
    <w:basedOn w:val="16"/>
    <w:link w:val="6"/>
    <w:qFormat/>
    <w:uiPriority w:val="0"/>
    <w:rPr>
      <w:rFonts w:ascii="仿宋_GB2312" w:hAnsi="Times New Roman" w:eastAsia="仿宋_GB2312"/>
      <w:sz w:val="32"/>
    </w:rPr>
  </w:style>
  <w:style w:type="character" w:customStyle="1" w:styleId="27">
    <w:name w:val="正文文本 Char"/>
    <w:basedOn w:val="16"/>
    <w:link w:val="4"/>
    <w:qFormat/>
    <w:uiPriority w:val="0"/>
    <w:rPr>
      <w:rFonts w:ascii="Times New Roman" w:hAnsi="Times New Roman"/>
      <w:szCs w:val="24"/>
    </w:rPr>
  </w:style>
  <w:style w:type="character" w:customStyle="1" w:styleId="28">
    <w:name w:val="标题 Char1"/>
    <w:basedOn w:val="16"/>
    <w:link w:val="13"/>
    <w:qFormat/>
    <w:uiPriority w:val="0"/>
    <w:rPr>
      <w:rFonts w:ascii="Cambria" w:hAnsi="Cambria" w:eastAsia="方正小标宋简体" w:cs="Times New Roman"/>
      <w:b/>
      <w:bCs/>
      <w:sz w:val="44"/>
      <w:szCs w:val="32"/>
    </w:rPr>
  </w:style>
  <w:style w:type="character" w:customStyle="1" w:styleId="29">
    <w:name w:val="标题 Char"/>
    <w:basedOn w:val="16"/>
    <w:qFormat/>
    <w:uiPriority w:val="10"/>
    <w:rPr>
      <w:rFonts w:eastAsia="宋体" w:asciiTheme="majorHAnsi" w:hAnsiTheme="majorHAnsi" w:cstheme="majorBidi"/>
      <w:b/>
      <w:bCs/>
      <w:sz w:val="32"/>
      <w:szCs w:val="32"/>
    </w:rPr>
  </w:style>
  <w:style w:type="character" w:customStyle="1" w:styleId="30">
    <w:name w:val="正文文本缩进 Char1"/>
    <w:basedOn w:val="16"/>
    <w:semiHidden/>
    <w:qFormat/>
    <w:uiPriority w:val="99"/>
  </w:style>
  <w:style w:type="character" w:customStyle="1" w:styleId="31">
    <w:name w:val="正文文本 Char1"/>
    <w:basedOn w:val="16"/>
    <w:semiHidden/>
    <w:qFormat/>
    <w:uiPriority w:val="99"/>
  </w:style>
  <w:style w:type="paragraph" w:customStyle="1" w:styleId="32">
    <w:name w:val="1 Char"/>
    <w:basedOn w:val="1"/>
    <w:semiHidden/>
    <w:qFormat/>
    <w:uiPriority w:val="0"/>
    <w:rPr>
      <w:rFonts w:ascii="Times New Roman" w:hAnsi="Times New Roman" w:eastAsia="宋体" w:cs="Times New Roman"/>
      <w:szCs w:val="24"/>
    </w:rPr>
  </w:style>
  <w:style w:type="character" w:customStyle="1" w:styleId="33">
    <w:name w:val="批注框文本 Char"/>
    <w:basedOn w:val="16"/>
    <w:link w:val="9"/>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1</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关宇恒</cp:lastModifiedBy>
  <dcterms:modified xsi:type="dcterms:W3CDTF">2022-09-19T10:25:00Z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