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在中华人民共和国境内依法注册的法人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或自然人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</w:rPr>
        <w:t>，具</w:t>
      </w:r>
      <w:r>
        <w:rPr>
          <w:rFonts w:hint="eastAsia" w:ascii="微软雅黑" w:hAnsi="微软雅黑" w:eastAsia="微软雅黑" w:cs="宋体"/>
          <w:color w:val="000000" w:themeColor="text1"/>
          <w:kern w:val="0"/>
          <w:sz w:val="24"/>
          <w:szCs w:val="24"/>
          <w:lang w:val="en-US" w:eastAsia="zh-CN"/>
        </w:rPr>
        <w:t>备独立承担民事责任的能力</w:t>
      </w:r>
      <w:bookmarkStart w:id="1" w:name="_GoBack"/>
      <w:bookmarkEnd w:id="1"/>
      <w:r>
        <w:rPr>
          <w:rFonts w:hint="eastAsia" w:ascii="微软雅黑" w:hAnsi="微软雅黑" w:eastAsia="微软雅黑"/>
          <w:color w:val="000000" w:themeColor="text1"/>
        </w:rPr>
        <w:t>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二、供应商承担过同类项目的业绩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三、《竞价授权报名表》、《承诺书及声明》、《报价分项明细单》按要求填写完整，且按要求签字并盖公章。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199C7FE9"/>
    <w:rsid w:val="2F5A077C"/>
    <w:rsid w:val="32607A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2022-10-08T04:11:32Z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87D29ACE1F764BE185E38BAF78D8B910</vt:lpwstr>
  </property>
</Properties>
</file>