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940" w:rsidRDefault="00933D56">
      <w:pPr>
        <w:pStyle w:val="1"/>
        <w:spacing w:line="360" w:lineRule="auto"/>
        <w:ind w:left="420"/>
      </w:pPr>
      <w:bookmarkStart w:id="0" w:name="_Toc14812"/>
      <w:bookmarkStart w:id="1" w:name="_Toc23859_WPSOffice_Level1"/>
      <w:bookmarkStart w:id="2" w:name="_Toc14980"/>
      <w:r>
        <w:rPr>
          <w:rFonts w:hint="eastAsia"/>
        </w:rPr>
        <w:t>通江路精品街道景观灯具技术文件</w:t>
      </w:r>
    </w:p>
    <w:p w:rsidR="00AB1940" w:rsidRDefault="00AB1940"/>
    <w:p w:rsidR="00AB1940" w:rsidRDefault="00933D56">
      <w:pPr>
        <w:pStyle w:val="1"/>
        <w:spacing w:line="360" w:lineRule="auto"/>
      </w:pPr>
      <w:r>
        <w:rPr>
          <w:rFonts w:hint="eastAsia"/>
        </w:rPr>
        <w:t>一、清单</w:t>
      </w:r>
    </w:p>
    <w:p w:rsidR="00AB1940" w:rsidRDefault="00AB1940">
      <w:pPr>
        <w:rPr>
          <w:b/>
        </w:rPr>
      </w:pPr>
    </w:p>
    <w:tbl>
      <w:tblPr>
        <w:tblW w:w="88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39"/>
        <w:gridCol w:w="4120"/>
        <w:gridCol w:w="990"/>
        <w:gridCol w:w="680"/>
        <w:gridCol w:w="868"/>
        <w:gridCol w:w="1523"/>
      </w:tblGrid>
      <w:tr w:rsidR="00AB1940">
        <w:trPr>
          <w:trHeight w:val="90"/>
          <w:tblHeader/>
          <w:jc w:val="center"/>
        </w:trPr>
        <w:tc>
          <w:tcPr>
            <w:tcW w:w="639" w:type="dxa"/>
            <w:tcBorders>
              <w:tl2br w:val="nil"/>
              <w:tr2bl w:val="nil"/>
            </w:tcBorders>
            <w:shd w:val="clear" w:color="auto" w:fill="F2F2F2" w:themeFill="background1" w:themeFillShade="F2"/>
            <w:vAlign w:val="center"/>
          </w:tcPr>
          <w:p w:rsidR="00AB1940" w:rsidRDefault="00933D56">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序号</w:t>
            </w:r>
          </w:p>
        </w:tc>
        <w:tc>
          <w:tcPr>
            <w:tcW w:w="4120" w:type="dxa"/>
            <w:tcBorders>
              <w:tl2br w:val="nil"/>
              <w:tr2bl w:val="nil"/>
            </w:tcBorders>
            <w:shd w:val="clear" w:color="auto" w:fill="F2F2F2" w:themeFill="background1" w:themeFillShade="F2"/>
            <w:vAlign w:val="center"/>
          </w:tcPr>
          <w:p w:rsidR="00AB1940" w:rsidRDefault="00933D56">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名称</w:t>
            </w:r>
          </w:p>
        </w:tc>
        <w:tc>
          <w:tcPr>
            <w:tcW w:w="990" w:type="dxa"/>
            <w:tcBorders>
              <w:tl2br w:val="nil"/>
              <w:tr2bl w:val="nil"/>
            </w:tcBorders>
            <w:shd w:val="clear" w:color="auto" w:fill="F2F2F2" w:themeFill="background1" w:themeFillShade="F2"/>
            <w:vAlign w:val="center"/>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数量</w:t>
            </w:r>
          </w:p>
        </w:tc>
        <w:tc>
          <w:tcPr>
            <w:tcW w:w="680" w:type="dxa"/>
            <w:tcBorders>
              <w:tl2br w:val="nil"/>
              <w:tr2bl w:val="nil"/>
            </w:tcBorders>
            <w:shd w:val="clear" w:color="auto" w:fill="F2F2F2" w:themeFill="background1" w:themeFillShade="F2"/>
            <w:vAlign w:val="center"/>
          </w:tcPr>
          <w:p w:rsidR="00AB1940" w:rsidRDefault="00933D56">
            <w:pPr>
              <w:widowControl/>
              <w:jc w:val="center"/>
              <w:textAlignment w:val="top"/>
              <w:rPr>
                <w:rFonts w:ascii="仿宋_GB2312" w:eastAsia="仿宋_GB2312" w:hAnsi="仿宋_GB2312" w:cs="仿宋_GB2312"/>
                <w:szCs w:val="21"/>
              </w:rPr>
            </w:pPr>
            <w:r>
              <w:rPr>
                <w:rFonts w:ascii="仿宋_GB2312" w:eastAsia="仿宋_GB2312" w:hAnsi="仿宋_GB2312" w:cs="仿宋_GB2312" w:hint="eastAsia"/>
                <w:kern w:val="0"/>
                <w:szCs w:val="21"/>
              </w:rPr>
              <w:t>单位</w:t>
            </w:r>
          </w:p>
        </w:tc>
        <w:tc>
          <w:tcPr>
            <w:tcW w:w="868" w:type="dxa"/>
            <w:tcBorders>
              <w:tl2br w:val="nil"/>
              <w:tr2bl w:val="nil"/>
            </w:tcBorders>
            <w:shd w:val="clear" w:color="auto" w:fill="F2F2F2" w:themeFill="background1" w:themeFillShade="F2"/>
            <w:vAlign w:val="center"/>
          </w:tcPr>
          <w:p w:rsidR="00AB1940" w:rsidRDefault="00933D56">
            <w:pPr>
              <w:widowControl/>
              <w:jc w:val="center"/>
              <w:textAlignment w:val="top"/>
              <w:rPr>
                <w:rFonts w:ascii="仿宋_GB2312" w:eastAsia="仿宋_GB2312" w:hAnsi="仿宋_GB2312" w:cs="仿宋_GB2312"/>
                <w:color w:val="FF0000"/>
                <w:kern w:val="0"/>
                <w:szCs w:val="21"/>
              </w:rPr>
            </w:pPr>
            <w:r>
              <w:rPr>
                <w:rFonts w:ascii="仿宋_GB2312" w:eastAsia="仿宋_GB2312" w:hAnsi="仿宋_GB2312" w:cs="仿宋_GB2312" w:hint="eastAsia"/>
                <w:kern w:val="0"/>
                <w:szCs w:val="21"/>
              </w:rPr>
              <w:t>防水要求</w:t>
            </w:r>
          </w:p>
        </w:tc>
        <w:tc>
          <w:tcPr>
            <w:tcW w:w="1523" w:type="dxa"/>
            <w:tcBorders>
              <w:tl2br w:val="nil"/>
              <w:tr2bl w:val="nil"/>
            </w:tcBorders>
            <w:shd w:val="clear" w:color="auto" w:fill="F2F2F2" w:themeFill="background1" w:themeFillShade="F2"/>
            <w:vAlign w:val="center"/>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编码</w:t>
            </w:r>
          </w:p>
        </w:tc>
      </w:tr>
      <w:tr w:rsidR="00AB1940">
        <w:trPr>
          <w:trHeight w:val="90"/>
          <w:jc w:val="center"/>
        </w:trPr>
        <w:tc>
          <w:tcPr>
            <w:tcW w:w="639" w:type="dxa"/>
            <w:tcBorders>
              <w:tl2br w:val="nil"/>
              <w:tr2bl w:val="nil"/>
            </w:tcBorders>
            <w:shd w:val="clear" w:color="auto" w:fill="auto"/>
            <w:vAlign w:val="center"/>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1</w:t>
            </w:r>
          </w:p>
        </w:tc>
        <w:tc>
          <w:tcPr>
            <w:tcW w:w="412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3W圆形LED造型灯具（RGB）</w:t>
            </w:r>
          </w:p>
        </w:tc>
        <w:tc>
          <w:tcPr>
            <w:tcW w:w="99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26</w:t>
            </w:r>
          </w:p>
        </w:tc>
        <w:tc>
          <w:tcPr>
            <w:tcW w:w="680" w:type="dxa"/>
            <w:tcBorders>
              <w:tl2br w:val="nil"/>
              <w:tr2bl w:val="nil"/>
            </w:tcBorders>
            <w:shd w:val="clear" w:color="auto" w:fill="auto"/>
            <w:vAlign w:val="center"/>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套</w:t>
            </w:r>
          </w:p>
        </w:tc>
        <w:tc>
          <w:tcPr>
            <w:tcW w:w="868" w:type="dxa"/>
            <w:tcBorders>
              <w:tl2br w:val="nil"/>
              <w:tr2bl w:val="nil"/>
            </w:tcBorders>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IP65</w:t>
            </w:r>
          </w:p>
        </w:tc>
        <w:tc>
          <w:tcPr>
            <w:tcW w:w="1523" w:type="dxa"/>
            <w:tcBorders>
              <w:tl2br w:val="nil"/>
              <w:tr2bl w:val="nil"/>
            </w:tcBorders>
            <w:vAlign w:val="center"/>
          </w:tcPr>
          <w:p w:rsidR="00AB1940" w:rsidRDefault="00933D56">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0201140301</w:t>
            </w:r>
          </w:p>
        </w:tc>
      </w:tr>
      <w:tr w:rsidR="00AB1940">
        <w:trPr>
          <w:trHeight w:val="90"/>
          <w:jc w:val="center"/>
        </w:trPr>
        <w:tc>
          <w:tcPr>
            <w:tcW w:w="639" w:type="dxa"/>
            <w:tcBorders>
              <w:tl2br w:val="nil"/>
              <w:tr2bl w:val="nil"/>
            </w:tcBorders>
            <w:shd w:val="clear" w:color="auto" w:fill="auto"/>
            <w:vAlign w:val="center"/>
          </w:tcPr>
          <w:p w:rsidR="00AB1940" w:rsidRDefault="00933D56">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2</w:t>
            </w:r>
          </w:p>
        </w:tc>
        <w:tc>
          <w:tcPr>
            <w:tcW w:w="412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6W圆形LED造型灯具（RGB）</w:t>
            </w:r>
          </w:p>
        </w:tc>
        <w:tc>
          <w:tcPr>
            <w:tcW w:w="99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6</w:t>
            </w:r>
          </w:p>
        </w:tc>
        <w:tc>
          <w:tcPr>
            <w:tcW w:w="680" w:type="dxa"/>
            <w:tcBorders>
              <w:tl2br w:val="nil"/>
              <w:tr2bl w:val="nil"/>
            </w:tcBorders>
            <w:shd w:val="clear" w:color="auto" w:fill="auto"/>
            <w:vAlign w:val="center"/>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套</w:t>
            </w:r>
          </w:p>
        </w:tc>
        <w:tc>
          <w:tcPr>
            <w:tcW w:w="868" w:type="dxa"/>
            <w:tcBorders>
              <w:tl2br w:val="nil"/>
              <w:tr2bl w:val="nil"/>
            </w:tcBorders>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IP65</w:t>
            </w:r>
          </w:p>
        </w:tc>
        <w:tc>
          <w:tcPr>
            <w:tcW w:w="1523" w:type="dxa"/>
            <w:tcBorders>
              <w:tl2br w:val="nil"/>
              <w:tr2bl w:val="nil"/>
            </w:tcBorders>
            <w:vAlign w:val="center"/>
          </w:tcPr>
          <w:p w:rsidR="00AB1940" w:rsidRDefault="00933D56">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0201140601</w:t>
            </w:r>
          </w:p>
        </w:tc>
      </w:tr>
      <w:tr w:rsidR="00AB1940">
        <w:trPr>
          <w:trHeight w:val="90"/>
          <w:jc w:val="center"/>
        </w:trPr>
        <w:tc>
          <w:tcPr>
            <w:tcW w:w="639" w:type="dxa"/>
            <w:tcBorders>
              <w:tl2br w:val="nil"/>
              <w:tr2bl w:val="nil"/>
            </w:tcBorders>
            <w:shd w:val="clear" w:color="auto" w:fill="auto"/>
            <w:vAlign w:val="center"/>
          </w:tcPr>
          <w:p w:rsidR="00AB1940" w:rsidRDefault="00933D56">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3</w:t>
            </w:r>
          </w:p>
        </w:tc>
        <w:tc>
          <w:tcPr>
            <w:tcW w:w="412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20W LED造型灯具（4000K）</w:t>
            </w:r>
          </w:p>
        </w:tc>
        <w:tc>
          <w:tcPr>
            <w:tcW w:w="99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2</w:t>
            </w:r>
          </w:p>
        </w:tc>
        <w:tc>
          <w:tcPr>
            <w:tcW w:w="680" w:type="dxa"/>
            <w:tcBorders>
              <w:tl2br w:val="nil"/>
              <w:tr2bl w:val="nil"/>
            </w:tcBorders>
            <w:shd w:val="clear" w:color="auto" w:fill="auto"/>
            <w:vAlign w:val="center"/>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套</w:t>
            </w:r>
          </w:p>
        </w:tc>
        <w:tc>
          <w:tcPr>
            <w:tcW w:w="868" w:type="dxa"/>
            <w:tcBorders>
              <w:tl2br w:val="nil"/>
              <w:tr2bl w:val="nil"/>
            </w:tcBorders>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IP65</w:t>
            </w:r>
          </w:p>
        </w:tc>
        <w:tc>
          <w:tcPr>
            <w:tcW w:w="1523" w:type="dxa"/>
            <w:tcBorders>
              <w:tl2br w:val="nil"/>
              <w:tr2bl w:val="nil"/>
            </w:tcBorders>
            <w:vAlign w:val="center"/>
          </w:tcPr>
          <w:p w:rsidR="00AB1940" w:rsidRDefault="00933D56">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0201142040</w:t>
            </w:r>
          </w:p>
        </w:tc>
      </w:tr>
      <w:tr w:rsidR="00AB1940">
        <w:trPr>
          <w:trHeight w:val="90"/>
          <w:jc w:val="center"/>
        </w:trPr>
        <w:tc>
          <w:tcPr>
            <w:tcW w:w="639" w:type="dxa"/>
            <w:tcBorders>
              <w:tl2br w:val="nil"/>
              <w:tr2bl w:val="nil"/>
            </w:tcBorders>
            <w:shd w:val="clear" w:color="auto" w:fill="auto"/>
            <w:vAlign w:val="center"/>
          </w:tcPr>
          <w:p w:rsidR="00AB1940" w:rsidRDefault="00933D56">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4</w:t>
            </w:r>
          </w:p>
        </w:tc>
        <w:tc>
          <w:tcPr>
            <w:tcW w:w="412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42W LED造型灯具（4000K）</w:t>
            </w:r>
          </w:p>
        </w:tc>
        <w:tc>
          <w:tcPr>
            <w:tcW w:w="99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1</w:t>
            </w:r>
          </w:p>
        </w:tc>
        <w:tc>
          <w:tcPr>
            <w:tcW w:w="680" w:type="dxa"/>
            <w:tcBorders>
              <w:tl2br w:val="nil"/>
              <w:tr2bl w:val="nil"/>
            </w:tcBorders>
            <w:shd w:val="clear" w:color="auto" w:fill="auto"/>
            <w:vAlign w:val="center"/>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套</w:t>
            </w:r>
          </w:p>
        </w:tc>
        <w:tc>
          <w:tcPr>
            <w:tcW w:w="868" w:type="dxa"/>
            <w:tcBorders>
              <w:tl2br w:val="nil"/>
              <w:tr2bl w:val="nil"/>
            </w:tcBorders>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IP65</w:t>
            </w:r>
          </w:p>
        </w:tc>
        <w:tc>
          <w:tcPr>
            <w:tcW w:w="1523" w:type="dxa"/>
            <w:tcBorders>
              <w:tl2br w:val="nil"/>
              <w:tr2bl w:val="nil"/>
            </w:tcBorders>
            <w:vAlign w:val="center"/>
          </w:tcPr>
          <w:p w:rsidR="00AB1940" w:rsidRDefault="00933D56">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0201144240</w:t>
            </w:r>
          </w:p>
        </w:tc>
      </w:tr>
      <w:tr w:rsidR="00AB1940">
        <w:trPr>
          <w:trHeight w:val="90"/>
          <w:jc w:val="center"/>
        </w:trPr>
        <w:tc>
          <w:tcPr>
            <w:tcW w:w="639" w:type="dxa"/>
            <w:tcBorders>
              <w:tl2br w:val="nil"/>
              <w:tr2bl w:val="nil"/>
            </w:tcBorders>
            <w:shd w:val="clear" w:color="auto" w:fill="auto"/>
            <w:vAlign w:val="center"/>
          </w:tcPr>
          <w:p w:rsidR="00AB1940" w:rsidRDefault="00933D56">
            <w:pPr>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5</w:t>
            </w:r>
          </w:p>
        </w:tc>
        <w:tc>
          <w:tcPr>
            <w:tcW w:w="412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90W LED造型灯具（4000K）</w:t>
            </w:r>
          </w:p>
        </w:tc>
        <w:tc>
          <w:tcPr>
            <w:tcW w:w="990" w:type="dxa"/>
            <w:tcBorders>
              <w:tl2br w:val="nil"/>
              <w:tr2bl w:val="nil"/>
            </w:tcBorders>
            <w:shd w:val="clear" w:color="auto" w:fill="auto"/>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2</w:t>
            </w:r>
          </w:p>
        </w:tc>
        <w:tc>
          <w:tcPr>
            <w:tcW w:w="680" w:type="dxa"/>
            <w:tcBorders>
              <w:tl2br w:val="nil"/>
              <w:tr2bl w:val="nil"/>
            </w:tcBorders>
            <w:shd w:val="clear" w:color="auto" w:fill="auto"/>
            <w:vAlign w:val="center"/>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套</w:t>
            </w:r>
          </w:p>
        </w:tc>
        <w:tc>
          <w:tcPr>
            <w:tcW w:w="868" w:type="dxa"/>
            <w:tcBorders>
              <w:tl2br w:val="nil"/>
              <w:tr2bl w:val="nil"/>
            </w:tcBorders>
          </w:tcPr>
          <w:p w:rsidR="00AB1940" w:rsidRDefault="00933D56">
            <w:pPr>
              <w:widowControl/>
              <w:jc w:val="center"/>
              <w:textAlignment w:val="top"/>
              <w:rPr>
                <w:rFonts w:ascii="仿宋_GB2312" w:eastAsia="仿宋_GB2312" w:hAnsi="仿宋_GB2312" w:cs="仿宋_GB2312"/>
                <w:kern w:val="0"/>
                <w:szCs w:val="21"/>
              </w:rPr>
            </w:pPr>
            <w:r>
              <w:rPr>
                <w:rFonts w:ascii="仿宋_GB2312" w:eastAsia="仿宋_GB2312" w:hAnsi="仿宋_GB2312" w:cs="仿宋_GB2312" w:hint="eastAsia"/>
                <w:kern w:val="0"/>
                <w:szCs w:val="21"/>
              </w:rPr>
              <w:t>IP65</w:t>
            </w:r>
          </w:p>
        </w:tc>
        <w:tc>
          <w:tcPr>
            <w:tcW w:w="1523" w:type="dxa"/>
            <w:tcBorders>
              <w:tl2br w:val="nil"/>
              <w:tr2bl w:val="nil"/>
            </w:tcBorders>
            <w:vAlign w:val="center"/>
          </w:tcPr>
          <w:p w:rsidR="00AB1940" w:rsidRDefault="00933D56">
            <w:pPr>
              <w:autoSpaceDE w:val="0"/>
              <w:autoSpaceDN w:val="0"/>
              <w:adjustRightInd w:val="0"/>
              <w:jc w:val="center"/>
              <w:rPr>
                <w:rFonts w:ascii="仿宋_GB2312" w:eastAsia="仿宋_GB2312" w:hAnsi="仿宋_GB2312" w:cs="仿宋_GB2312"/>
                <w:szCs w:val="21"/>
              </w:rPr>
            </w:pPr>
            <w:r>
              <w:rPr>
                <w:rFonts w:ascii="仿宋_GB2312" w:eastAsia="仿宋_GB2312" w:hAnsi="仿宋_GB2312" w:cs="仿宋_GB2312" w:hint="eastAsia"/>
                <w:szCs w:val="21"/>
              </w:rPr>
              <w:t>0201147240</w:t>
            </w:r>
          </w:p>
        </w:tc>
      </w:tr>
    </w:tbl>
    <w:p w:rsidR="00AB1940" w:rsidRDefault="00AB1940">
      <w:pPr>
        <w:rPr>
          <w:b/>
        </w:rPr>
      </w:pPr>
    </w:p>
    <w:p w:rsidR="00AB1940" w:rsidRDefault="00AB1940">
      <w:pPr>
        <w:rPr>
          <w:b/>
        </w:rPr>
      </w:pPr>
    </w:p>
    <w:p w:rsidR="00AB1940" w:rsidRDefault="00AB1940">
      <w:pPr>
        <w:rPr>
          <w:b/>
        </w:rPr>
      </w:pPr>
    </w:p>
    <w:p w:rsidR="00AB1940" w:rsidRDefault="00AB1940">
      <w:pPr>
        <w:rPr>
          <w:b/>
        </w:rPr>
      </w:pPr>
    </w:p>
    <w:p w:rsidR="00AB1940" w:rsidRDefault="00AB1940">
      <w:pPr>
        <w:rPr>
          <w:b/>
        </w:rPr>
      </w:pPr>
    </w:p>
    <w:p w:rsidR="00AB1940" w:rsidRDefault="00AB1940">
      <w:pPr>
        <w:pStyle w:val="1"/>
        <w:spacing w:line="360" w:lineRule="auto"/>
        <w:rPr>
          <w:kern w:val="2"/>
          <w:sz w:val="21"/>
        </w:rPr>
      </w:pPr>
    </w:p>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933D56">
      <w:pPr>
        <w:pStyle w:val="1"/>
        <w:spacing w:before="156" w:after="468" w:line="360" w:lineRule="auto"/>
        <w:ind w:left="420"/>
        <w:rPr>
          <w:rFonts w:ascii="黑体" w:eastAsia="黑体" w:hAnsi="黑体" w:cs="黑体"/>
          <w:sz w:val="40"/>
          <w:szCs w:val="40"/>
        </w:rPr>
      </w:pPr>
      <w:r>
        <w:rPr>
          <w:rFonts w:hint="eastAsia"/>
        </w:rPr>
        <w:lastRenderedPageBreak/>
        <w:t>二、</w:t>
      </w:r>
      <w:bookmarkEnd w:id="0"/>
      <w:r>
        <w:rPr>
          <w:rFonts w:ascii="黑体" w:eastAsia="黑体" w:hAnsi="黑体" w:cs="黑体" w:hint="eastAsia"/>
          <w:sz w:val="40"/>
          <w:szCs w:val="40"/>
        </w:rPr>
        <w:t>投标须知</w:t>
      </w:r>
    </w:p>
    <w:p w:rsidR="00AB1940" w:rsidRDefault="00933D56">
      <w:pPr>
        <w:pStyle w:val="2"/>
        <w:numPr>
          <w:ilvl w:val="0"/>
          <w:numId w:val="1"/>
        </w:numPr>
        <w:spacing w:line="360" w:lineRule="auto"/>
        <w:rPr>
          <w:rFonts w:ascii="仿宋_GB2312" w:eastAsia="仿宋_GB2312" w:hAnsi="仿宋_GB2312" w:cs="仿宋_GB2312"/>
        </w:rPr>
      </w:pPr>
      <w:r>
        <w:rPr>
          <w:rFonts w:ascii="仿宋_GB2312" w:eastAsia="仿宋_GB2312" w:hAnsi="仿宋_GB2312" w:cs="仿宋_GB2312" w:hint="eastAsia"/>
        </w:rPr>
        <w:t>常规要求</w:t>
      </w:r>
    </w:p>
    <w:p w:rsidR="00AB1940" w:rsidRDefault="00933D56">
      <w:pPr>
        <w:numPr>
          <w:ilvl w:val="0"/>
          <w:numId w:val="2"/>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报价</w:t>
      </w:r>
    </w:p>
    <w:p w:rsidR="00AB1940" w:rsidRDefault="00933D56">
      <w:pPr>
        <w:numPr>
          <w:ilvl w:val="0"/>
          <w:numId w:val="3"/>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景观灯具报价</w:t>
      </w:r>
      <w:r>
        <w:rPr>
          <w:rFonts w:ascii="仿宋_GB2312" w:eastAsia="仿宋_GB2312" w:hAnsi="仿宋_GB2312" w:cs="仿宋_GB2312" w:hint="eastAsia"/>
          <w:color w:val="FF0000"/>
          <w:szCs w:val="21"/>
        </w:rPr>
        <w:t>含分控、信号放大器、驱动电源（功率在灯具总功率的两倍范围以内的）、软件系统</w:t>
      </w:r>
      <w:r>
        <w:rPr>
          <w:rFonts w:ascii="仿宋_GB2312" w:eastAsia="仿宋_GB2312" w:hAnsi="仿宋_GB2312" w:cs="仿宋_GB2312" w:hint="eastAsia"/>
          <w:szCs w:val="21"/>
        </w:rPr>
        <w:t>，具体的数量、型号、颜色等参数应当与甲方提供的技术性文件一致或由甲方审核确认。若由于缺失配件而无法满足现场安装条件所产生的额外安装、更换费用由供应商承担，并可在履约保证金中扣除。</w:t>
      </w:r>
    </w:p>
    <w:p w:rsidR="00AB1940" w:rsidRDefault="00933D56">
      <w:pPr>
        <w:numPr>
          <w:ilvl w:val="0"/>
          <w:numId w:val="3"/>
        </w:numPr>
        <w:spacing w:line="360" w:lineRule="auto"/>
        <w:rPr>
          <w:rFonts w:ascii="仿宋_GB2312" w:eastAsia="仿宋_GB2312" w:hAnsi="仿宋_GB2312" w:cs="仿宋_GB2312"/>
          <w:szCs w:val="21"/>
        </w:rPr>
      </w:pPr>
      <w:r>
        <w:rPr>
          <w:rFonts w:ascii="仿宋_GB2312" w:eastAsia="仿宋_GB2312" w:hAnsi="仿宋_GB2312" w:cs="仿宋_GB2312" w:hint="eastAsia"/>
          <w:color w:val="FF0000"/>
          <w:szCs w:val="21"/>
        </w:rPr>
        <w:t>灯与灯之间的控制及电源的插拔件、连接线、延长线、公母头、三通等线缆及辅材由投标单位提供</w:t>
      </w:r>
      <w:r>
        <w:rPr>
          <w:rFonts w:ascii="仿宋_GB2312" w:eastAsia="仿宋_GB2312" w:hAnsi="仿宋_GB2312" w:cs="仿宋_GB2312" w:hint="eastAsia"/>
          <w:szCs w:val="21"/>
        </w:rPr>
        <w:t>，价格含在灯具投标价格中，具体规格和数量应当满足主采购合同中相应数量灯具的安装。若由于缺失辅材而无法满足现场安装条件所产生的额外安装、更换费用由供应商承担，并可在履约保证金中扣除。</w:t>
      </w:r>
    </w:p>
    <w:p w:rsidR="00AB1940" w:rsidRDefault="00933D56">
      <w:pPr>
        <w:numPr>
          <w:ilvl w:val="0"/>
          <w:numId w:val="3"/>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输入电压为非220V的低压灯具，配置恒压驱动电源。报价中所指的驱动电源为：其功率在灯具总功率两倍范围以内的，且300W～350W的驱动电源占比超过70%。</w:t>
      </w:r>
    </w:p>
    <w:p w:rsidR="00AB1940" w:rsidRDefault="00933D56">
      <w:pPr>
        <w:numPr>
          <w:ilvl w:val="0"/>
          <w:numId w:val="3"/>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灯具效果调试等事宜的全部费用含在灯具投标价格中。</w:t>
      </w:r>
    </w:p>
    <w:p w:rsidR="00AB1940" w:rsidRDefault="00933D56">
      <w:pPr>
        <w:numPr>
          <w:ilvl w:val="0"/>
          <w:numId w:val="3"/>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由于供应商的原因造成灯具及配件的质量、效果不符合要求的，所产生的返工更换等全部费用含在灯具投标价格中。造成误工延期的，承担相应误工费用。</w:t>
      </w:r>
    </w:p>
    <w:p w:rsidR="00AB1940" w:rsidRDefault="00933D56">
      <w:pPr>
        <w:numPr>
          <w:ilvl w:val="0"/>
          <w:numId w:val="3"/>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报价包含运输至采购单位仓库或采购单位指定地点入库检验的相关费用（包含一次装卸费用）。在运输、装卸等环节，必须做好成品保护，确保货物完好无损。所有措施费用含在投标报价中。</w:t>
      </w:r>
    </w:p>
    <w:p w:rsidR="00AB1940" w:rsidRDefault="00933D56">
      <w:pPr>
        <w:pStyle w:val="2"/>
        <w:numPr>
          <w:ilvl w:val="0"/>
          <w:numId w:val="1"/>
        </w:numPr>
        <w:spacing w:line="360" w:lineRule="auto"/>
        <w:rPr>
          <w:rFonts w:ascii="仿宋_GB2312" w:eastAsia="仿宋_GB2312" w:hAnsi="仿宋_GB2312" w:cs="仿宋_GB2312"/>
        </w:rPr>
      </w:pPr>
      <w:r>
        <w:rPr>
          <w:rFonts w:ascii="仿宋_GB2312" w:eastAsia="仿宋_GB2312" w:hAnsi="仿宋_GB2312" w:cs="仿宋_GB2312" w:hint="eastAsia"/>
        </w:rPr>
        <w:t>服务要求</w:t>
      </w:r>
    </w:p>
    <w:p w:rsidR="00AB1940" w:rsidRDefault="00933D56">
      <w:pPr>
        <w:numPr>
          <w:ilvl w:val="0"/>
          <w:numId w:val="4"/>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深化设计</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color w:val="FF0000"/>
          <w:szCs w:val="21"/>
        </w:rPr>
        <w:t>中标单位应根据采购单位提供的相关资料深化设计，根据照明效果和施工图，深化控制系统图，明确控制器、信号放大器等的数量和安装方式，并通过采购单位最终确认。</w:t>
      </w:r>
    </w:p>
    <w:p w:rsidR="00AB1940" w:rsidRDefault="00933D56">
      <w:pPr>
        <w:numPr>
          <w:ilvl w:val="0"/>
          <w:numId w:val="4"/>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供货要求</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中标单位自收到订单2日内提供详细的供货计划表，未按计划表供应相关材料所导致的人员、机械窝工、工期延误等经济损失由中标单位承担。中标单位自订单收到起</w:t>
      </w:r>
      <w:r w:rsidR="009407CD">
        <w:rPr>
          <w:rFonts w:ascii="仿宋_GB2312" w:eastAsia="仿宋_GB2312" w:hAnsi="仿宋_GB2312" w:cs="仿宋_GB2312"/>
          <w:szCs w:val="21"/>
        </w:rPr>
        <w:t>13</w:t>
      </w:r>
      <w:r>
        <w:rPr>
          <w:rFonts w:ascii="仿宋_GB2312" w:eastAsia="仿宋_GB2312" w:hAnsi="仿宋_GB2312" w:cs="仿宋_GB2312" w:hint="eastAsia"/>
          <w:szCs w:val="21"/>
        </w:rPr>
        <w:t>天完成供货，供货地点为采购单位指定地点，签收日期为采购单位签收日期。</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灯具、配件和附件等应同时提供，未同时供货的视为未按要求供货，其中灯具、支架、防坠落装置应是已组装状态。</w:t>
      </w:r>
      <w:bookmarkStart w:id="3" w:name="_GoBack"/>
      <w:bookmarkEnd w:id="3"/>
    </w:p>
    <w:p w:rsidR="00AB1940" w:rsidRDefault="00933D56">
      <w:pPr>
        <w:numPr>
          <w:ilvl w:val="0"/>
          <w:numId w:val="4"/>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lastRenderedPageBreak/>
        <w:t>施工过程中的服务</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中标单位需明确现场服务的技术人员名单。在采购单位施工期间提供调试、配合服务工作，人员数量和调试进度应符合现场需求，否则由此产生的误工等费用从质保金中扣除，中标单位的响应时间为24小时。</w:t>
      </w:r>
    </w:p>
    <w:p w:rsidR="00AB1940" w:rsidRDefault="00933D56">
      <w:pPr>
        <w:numPr>
          <w:ilvl w:val="0"/>
          <w:numId w:val="4"/>
        </w:numPr>
        <w:spacing w:line="360" w:lineRule="auto"/>
        <w:rPr>
          <w:rFonts w:ascii="楷体_GB2312" w:eastAsia="楷体_GB2312" w:hAnsi="楷体_GB2312" w:cs="楷体_GB2312"/>
          <w:b/>
          <w:bCs/>
          <w:szCs w:val="21"/>
        </w:rPr>
      </w:pPr>
      <w:r>
        <w:rPr>
          <w:rFonts w:ascii="楷体_GB2312" w:eastAsia="楷体_GB2312" w:hAnsi="楷体_GB2312" w:cs="楷体_GB2312" w:hint="eastAsia"/>
          <w:b/>
          <w:bCs/>
          <w:szCs w:val="21"/>
        </w:rPr>
        <w:t>质保期责任</w:t>
      </w:r>
    </w:p>
    <w:p w:rsidR="00AB1940" w:rsidRDefault="00933D56">
      <w:pPr>
        <w:spacing w:line="360" w:lineRule="auto"/>
        <w:ind w:firstLineChars="200" w:firstLine="420"/>
        <w:rPr>
          <w:rFonts w:ascii="仿宋_GB2312" w:eastAsia="仿宋_GB2312" w:hAnsi="仿宋_GB2312" w:cs="仿宋_GB2312"/>
          <w:color w:val="FF0000"/>
          <w:szCs w:val="21"/>
        </w:rPr>
      </w:pPr>
      <w:r>
        <w:rPr>
          <w:rFonts w:ascii="仿宋_GB2312" w:eastAsia="仿宋_GB2312" w:hAnsi="仿宋_GB2312" w:cs="仿宋_GB2312" w:hint="eastAsia"/>
          <w:color w:val="FF0000"/>
          <w:szCs w:val="21"/>
        </w:rPr>
        <w:t>质保期内，出现灯具损坏等质量问题的，由乙方无条件更换并承担相关维修费用（含人工、机械、管理等费用），乙方应提供充足的备品备件，且不得低于每笔订单同款灯具总量的2%，必须在接到甲方通知12小时内响应、48小时内送至甲方指定地点。乙方未按前述期限内完成的，甲方有权另行采购、维修，相关费用（产品采购费用、更换维修费用）由乙方承担，并有权直接从剩余应付货款、质保金中扣除。</w:t>
      </w:r>
    </w:p>
    <w:p w:rsidR="00AB1940" w:rsidRDefault="00933D56">
      <w:pPr>
        <w:pStyle w:val="1"/>
        <w:spacing w:before="156" w:after="468" w:line="360" w:lineRule="auto"/>
        <w:ind w:left="420"/>
        <w:rPr>
          <w:rFonts w:ascii="黑体" w:eastAsia="黑体" w:hAnsi="黑体" w:cs="黑体"/>
          <w:sz w:val="40"/>
          <w:szCs w:val="40"/>
        </w:rPr>
      </w:pPr>
      <w:r>
        <w:rPr>
          <w:rFonts w:ascii="黑体" w:eastAsia="黑体" w:hAnsi="黑体" w:cs="黑体" w:hint="eastAsia"/>
          <w:sz w:val="40"/>
          <w:szCs w:val="40"/>
        </w:rPr>
        <w:t>三、技术通则要求</w:t>
      </w:r>
    </w:p>
    <w:p w:rsidR="00AB1940" w:rsidRDefault="00933D56">
      <w:pPr>
        <w:pStyle w:val="2"/>
        <w:numPr>
          <w:ilvl w:val="0"/>
          <w:numId w:val="5"/>
        </w:num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灯具应符合的技术标准</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凡是不注日期的引用文件，其最新版本（包括所有的修改单）适用于本文件。同时包括其他国家及江苏省现行标准规范、图集等；以及相关的灯具的现行的国家规范和标准。</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GB7000.1灯具 第1部分：一般要求与试验</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GB7000.203灯具 第2-3部分：特殊要求 道路与街路照明灯具</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GB7000.7投光灯具安全要求</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GB7000.10固定式通用灯具安全要求</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 4208外壳防护等级（IP代码）</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GB17743电气照明和类似设备的无线电骚扰特性的限值和测量方法</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GB17625.1电磁兼限值谐波电流发射限值容</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GB/T18595一般照明用设备电磁兼容抗扰度要求</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 l7625.1电磁兼容限值谐波电流发射限值(设备每相输入电流≤16A)</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QB/T1551灯具油漆涂层</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QB/T3741灯具电镀、化学覆盖层</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GB/T33721 LED灯具可靠性试验方法</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CJJ45 城市道路照明设计标准</w:t>
      </w:r>
    </w:p>
    <w:p w:rsidR="00AB1940" w:rsidRDefault="00933D56">
      <w:pPr>
        <w:numPr>
          <w:ilvl w:val="0"/>
          <w:numId w:val="6"/>
        </w:numPr>
        <w:spacing w:line="360" w:lineRule="auto"/>
        <w:ind w:firstLine="403"/>
        <w:rPr>
          <w:rFonts w:ascii="仿宋_GB2312" w:eastAsia="仿宋_GB2312" w:hAnsi="仿宋_GB2312" w:cs="仿宋_GB2312"/>
          <w:szCs w:val="21"/>
        </w:rPr>
      </w:pPr>
      <w:r>
        <w:rPr>
          <w:rFonts w:ascii="仿宋_GB2312" w:eastAsia="仿宋_GB2312" w:hAnsi="仿宋_GB2312" w:cs="仿宋_GB2312" w:hint="eastAsia"/>
          <w:szCs w:val="21"/>
        </w:rPr>
        <w:t>JGJ/T 163 城市夜景照明设计规范</w:t>
      </w:r>
    </w:p>
    <w:p w:rsidR="00AB1940" w:rsidRDefault="00933D56">
      <w:pPr>
        <w:pStyle w:val="2"/>
        <w:numPr>
          <w:ilvl w:val="0"/>
          <w:numId w:val="5"/>
        </w:numPr>
        <w:spacing w:line="360" w:lineRule="auto"/>
        <w:rPr>
          <w:rFonts w:ascii="仿宋_GB2312" w:eastAsia="仿宋_GB2312" w:hAnsi="仿宋_GB2312" w:cs="仿宋_GB2312"/>
          <w:sz w:val="28"/>
          <w:szCs w:val="28"/>
        </w:rPr>
      </w:pPr>
      <w:bookmarkStart w:id="4" w:name="_Toc1793"/>
      <w:r>
        <w:rPr>
          <w:rFonts w:ascii="仿宋_GB2312" w:eastAsia="仿宋_GB2312" w:hAnsi="仿宋_GB2312" w:cs="仿宋_GB2312" w:hint="eastAsia"/>
          <w:sz w:val="28"/>
          <w:szCs w:val="28"/>
        </w:rPr>
        <w:lastRenderedPageBreak/>
        <w:t>灯具通则要求</w:t>
      </w:r>
      <w:bookmarkEnd w:id="4"/>
    </w:p>
    <w:p w:rsidR="00AB1940" w:rsidRDefault="00933D56">
      <w:pPr>
        <w:pStyle w:val="3"/>
        <w:numPr>
          <w:ilvl w:val="0"/>
          <w:numId w:val="7"/>
        </w:numPr>
        <w:spacing w:line="360" w:lineRule="auto"/>
        <w:ind w:leftChars="0" w:firstLineChars="0" w:hanging="5"/>
        <w:rPr>
          <w:rFonts w:ascii="仿宋_GB2312" w:eastAsia="仿宋_GB2312" w:hAnsi="仿宋_GB2312" w:cs="仿宋_GB2312"/>
          <w:sz w:val="21"/>
          <w:szCs w:val="21"/>
        </w:rPr>
      </w:pPr>
      <w:bookmarkStart w:id="5" w:name="_Toc2014"/>
      <w:r>
        <w:rPr>
          <w:rFonts w:ascii="仿宋_GB2312" w:eastAsia="仿宋_GB2312" w:hAnsi="仿宋_GB2312" w:cs="仿宋_GB2312" w:hint="eastAsia"/>
          <w:sz w:val="21"/>
          <w:szCs w:val="21"/>
        </w:rPr>
        <w:t>一般要求</w:t>
      </w:r>
      <w:bookmarkEnd w:id="5"/>
    </w:p>
    <w:p w:rsidR="00AB1940" w:rsidRDefault="00933D56">
      <w:pPr>
        <w:numPr>
          <w:ilvl w:val="0"/>
          <w:numId w:val="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技术文件详参有规定的，按详参规定执行，没有详参规定的，按照本通则执行。</w:t>
      </w:r>
    </w:p>
    <w:p w:rsidR="00AB1940" w:rsidRDefault="00933D56">
      <w:pPr>
        <w:numPr>
          <w:ilvl w:val="0"/>
          <w:numId w:val="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权权利瑕疵的起诉。</w:t>
      </w:r>
    </w:p>
    <w:p w:rsidR="00AB1940" w:rsidRDefault="00933D56">
      <w:pPr>
        <w:numPr>
          <w:ilvl w:val="0"/>
          <w:numId w:val="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本次投标报价包含本技术文件所要求的所有配件及附件。室外的螺杆、螺栓、垫片必须使用304不锈钢材质。</w:t>
      </w:r>
    </w:p>
    <w:p w:rsidR="00AB1940" w:rsidRDefault="00933D56">
      <w:pPr>
        <w:numPr>
          <w:ilvl w:val="0"/>
          <w:numId w:val="8"/>
        </w:numPr>
        <w:spacing w:line="360" w:lineRule="auto"/>
        <w:ind w:firstLineChars="200" w:firstLine="420"/>
        <w:rPr>
          <w:rFonts w:ascii="仿宋_GB2312" w:eastAsia="仿宋_GB2312" w:hAnsi="仿宋_GB2312" w:cs="仿宋_GB2312"/>
          <w:szCs w:val="21"/>
        </w:rPr>
      </w:pPr>
      <w:bookmarkStart w:id="6" w:name="_Toc24646"/>
      <w:r>
        <w:rPr>
          <w:rFonts w:ascii="仿宋_GB2312" w:eastAsia="仿宋_GB2312" w:hAnsi="仿宋_GB2312" w:cs="仿宋_GB2312" w:hint="eastAsia"/>
          <w:szCs w:val="21"/>
        </w:rPr>
        <w:t>中标后，中标单位踏勘现场，根据灯具安装条件，深化灯具颜色安装支架灯零配件的设计，按照采购单位的要求和项目具体的实施情况及时调整。所有灯具按规定提供灯具实样一款，经采购单位目视检验最终确认后，才能按照灯具订单批量提供灯具，并提供灯具安装说明书。</w:t>
      </w:r>
      <w:bookmarkStart w:id="7" w:name="_Toc15096"/>
    </w:p>
    <w:p w:rsidR="00AB1940" w:rsidRDefault="00933D56">
      <w:pPr>
        <w:numPr>
          <w:ilvl w:val="0"/>
          <w:numId w:val="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中标后灯具供应阶段，投标人确定的灯具抽样送国家权威机构检测。</w:t>
      </w:r>
    </w:p>
    <w:p w:rsidR="00AB1940" w:rsidRDefault="00933D56">
      <w:pPr>
        <w:numPr>
          <w:ilvl w:val="0"/>
          <w:numId w:val="8"/>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灯具的工作环境温度： -20~60°C。湿度： 0~87%。在此工作温度、湿度下灯具可连续正常工作，并符合相应的国家灯具规范。</w:t>
      </w:r>
    </w:p>
    <w:p w:rsidR="00AB1940" w:rsidRDefault="00933D56">
      <w:pPr>
        <w:pStyle w:val="3"/>
        <w:numPr>
          <w:ilvl w:val="0"/>
          <w:numId w:val="7"/>
        </w:numPr>
        <w:spacing w:line="360" w:lineRule="auto"/>
        <w:ind w:leftChars="0" w:firstLineChars="0" w:hanging="5"/>
        <w:rPr>
          <w:rFonts w:ascii="仿宋_GB2312" w:eastAsia="仿宋_GB2312" w:hAnsi="仿宋_GB2312" w:cs="仿宋_GB2312"/>
          <w:sz w:val="21"/>
          <w:szCs w:val="21"/>
        </w:rPr>
      </w:pPr>
      <w:r>
        <w:rPr>
          <w:rFonts w:ascii="仿宋_GB2312" w:eastAsia="仿宋_GB2312" w:hAnsi="仿宋_GB2312" w:cs="仿宋_GB2312" w:hint="eastAsia"/>
          <w:sz w:val="21"/>
          <w:szCs w:val="21"/>
        </w:rPr>
        <w:t>LED光源要求</w:t>
      </w:r>
      <w:bookmarkEnd w:id="7"/>
    </w:p>
    <w:p w:rsidR="00AB1940" w:rsidRDefault="00933D56">
      <w:pPr>
        <w:numPr>
          <w:ilvl w:val="0"/>
          <w:numId w:val="9"/>
        </w:numPr>
        <w:spacing w:line="360" w:lineRule="auto"/>
        <w:ind w:firstLineChars="200" w:firstLine="422"/>
        <w:rPr>
          <w:rFonts w:ascii="仿宋_GB2312" w:eastAsia="仿宋_GB2312" w:hAnsi="仿宋_GB2312" w:cs="仿宋_GB2312"/>
          <w:b/>
          <w:bCs/>
          <w:szCs w:val="21"/>
        </w:rPr>
      </w:pPr>
      <w:r>
        <w:rPr>
          <w:rFonts w:ascii="仿宋_GB2312" w:eastAsia="仿宋_GB2312" w:hAnsi="仿宋_GB2312" w:cs="仿宋_GB2312" w:hint="eastAsia"/>
          <w:b/>
          <w:bCs/>
          <w:szCs w:val="21"/>
        </w:rPr>
        <w:t>该类灯具的主要原材料光源封装颗粒品牌推荐科锐（CREE）、飞利浦</w:t>
      </w:r>
      <w:r>
        <w:rPr>
          <w:rFonts w:ascii="仿宋_GB2312" w:eastAsia="仿宋_GB2312" w:hAnsi="仿宋_GB2312" w:cs="仿宋_GB2312" w:hint="eastAsia"/>
          <w:b/>
          <w:bCs/>
          <w:kern w:val="0"/>
          <w:szCs w:val="21"/>
        </w:rPr>
        <w:t>LUMILEDS</w:t>
      </w:r>
      <w:r>
        <w:rPr>
          <w:rFonts w:ascii="仿宋_GB2312" w:eastAsia="仿宋_GB2312" w:hAnsi="仿宋_GB2312" w:cs="仿宋_GB2312" w:hint="eastAsia"/>
          <w:b/>
          <w:bCs/>
          <w:szCs w:val="21"/>
        </w:rPr>
        <w:t>）、欧司朗（OSRAM）、日亚（NICHIA）。</w:t>
      </w:r>
    </w:p>
    <w:p w:rsidR="00AB1940" w:rsidRDefault="00933D56">
      <w:pPr>
        <w:numPr>
          <w:ilvl w:val="0"/>
          <w:numId w:val="9"/>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LED单色芯片的色差必须符合下表的要求。</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
        <w:gridCol w:w="4028"/>
        <w:gridCol w:w="3570"/>
      </w:tblGrid>
      <w:tr w:rsidR="00AB1940">
        <w:trPr>
          <w:tblHeader/>
          <w:jc w:val="center"/>
        </w:trPr>
        <w:tc>
          <w:tcPr>
            <w:tcW w:w="922" w:type="dxa"/>
            <w:shd w:val="clear" w:color="auto" w:fill="D8D8D8" w:themeFill="background1" w:themeFillShade="D8"/>
            <w:vAlign w:val="center"/>
          </w:tcPr>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序号</w:t>
            </w:r>
          </w:p>
        </w:tc>
        <w:tc>
          <w:tcPr>
            <w:tcW w:w="4028" w:type="dxa"/>
            <w:shd w:val="clear" w:color="auto" w:fill="D8D8D8" w:themeFill="background1" w:themeFillShade="D8"/>
            <w:vAlign w:val="center"/>
          </w:tcPr>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色温/色彩</w:t>
            </w:r>
          </w:p>
        </w:tc>
        <w:tc>
          <w:tcPr>
            <w:tcW w:w="3570" w:type="dxa"/>
            <w:shd w:val="clear" w:color="auto" w:fill="D8D8D8" w:themeFill="background1" w:themeFillShade="D8"/>
          </w:tcPr>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偏差</w:t>
            </w:r>
          </w:p>
        </w:tc>
      </w:tr>
      <w:tr w:rsidR="00AB1940">
        <w:trPr>
          <w:jc w:val="center"/>
        </w:trPr>
        <w:tc>
          <w:tcPr>
            <w:tcW w:w="922" w:type="dxa"/>
            <w:vAlign w:val="center"/>
          </w:tcPr>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1</w:t>
            </w:r>
          </w:p>
        </w:tc>
        <w:tc>
          <w:tcPr>
            <w:tcW w:w="4028" w:type="dxa"/>
            <w:vAlign w:val="center"/>
          </w:tcPr>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3001K-5000K</w:t>
            </w:r>
          </w:p>
        </w:tc>
        <w:tc>
          <w:tcPr>
            <w:tcW w:w="3570" w:type="dxa"/>
            <w:vAlign w:val="center"/>
          </w:tcPr>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±150K</w:t>
            </w:r>
          </w:p>
        </w:tc>
      </w:tr>
      <w:tr w:rsidR="00AB1940">
        <w:trPr>
          <w:jc w:val="center"/>
        </w:trPr>
        <w:tc>
          <w:tcPr>
            <w:tcW w:w="922" w:type="dxa"/>
            <w:vAlign w:val="center"/>
          </w:tcPr>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2</w:t>
            </w:r>
          </w:p>
        </w:tc>
        <w:tc>
          <w:tcPr>
            <w:tcW w:w="4028" w:type="dxa"/>
            <w:vAlign w:val="center"/>
          </w:tcPr>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RGB/RGBW W=3000K或4000K</w:t>
            </w:r>
          </w:p>
        </w:tc>
        <w:tc>
          <w:tcPr>
            <w:tcW w:w="3570" w:type="dxa"/>
            <w:vAlign w:val="center"/>
          </w:tcPr>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±3nm ±50K</w:t>
            </w:r>
          </w:p>
        </w:tc>
      </w:tr>
    </w:tbl>
    <w:p w:rsidR="00AB1940" w:rsidRDefault="00933D56">
      <w:pPr>
        <w:numPr>
          <w:ilvl w:val="0"/>
          <w:numId w:val="9"/>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白光LED灯具的色容差应符合以下规定：同型号白光LED灯具，色容差不应大于5SDCM。</w:t>
      </w:r>
    </w:p>
    <w:p w:rsidR="00AB1940" w:rsidRDefault="00933D56">
      <w:pPr>
        <w:numPr>
          <w:ilvl w:val="0"/>
          <w:numId w:val="9"/>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当照射对象为纯色物体时，灯具色容差不应大于5SDCM。</w:t>
      </w:r>
    </w:p>
    <w:p w:rsidR="00AB1940" w:rsidRDefault="00933D56">
      <w:pPr>
        <w:numPr>
          <w:ilvl w:val="0"/>
          <w:numId w:val="9"/>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LED颗粒应满足拥有LM-80认证，颗粒寿命不低于5万小时。</w:t>
      </w:r>
    </w:p>
    <w:p w:rsidR="00AB1940" w:rsidRDefault="00933D56">
      <w:pPr>
        <w:numPr>
          <w:ilvl w:val="0"/>
          <w:numId w:val="9"/>
        </w:numPr>
        <w:spacing w:line="360" w:lineRule="auto"/>
        <w:ind w:firstLineChars="200" w:firstLine="422"/>
        <w:rPr>
          <w:rFonts w:ascii="仿宋_GB2312" w:eastAsia="仿宋_GB2312" w:hAnsi="仿宋_GB2312" w:cs="仿宋_GB2312"/>
          <w:b/>
          <w:bCs/>
          <w:szCs w:val="21"/>
          <w:highlight w:val="yellow"/>
        </w:rPr>
      </w:pPr>
      <w:r>
        <w:rPr>
          <w:rFonts w:ascii="仿宋_GB2312" w:eastAsia="仿宋_GB2312" w:hAnsi="仿宋_GB2312" w:cs="仿宋_GB2312" w:hint="eastAsia"/>
          <w:b/>
          <w:bCs/>
          <w:szCs w:val="21"/>
          <w:highlight w:val="yellow"/>
        </w:rPr>
        <w:t>LED颗粒的显色指数（CRI）：白光LED一般显色指数Ra≥80，且R9＞0。</w:t>
      </w:r>
    </w:p>
    <w:p w:rsidR="00AB1940" w:rsidRDefault="00933D56">
      <w:pPr>
        <w:pStyle w:val="3"/>
        <w:numPr>
          <w:ilvl w:val="0"/>
          <w:numId w:val="7"/>
        </w:numPr>
        <w:spacing w:line="360" w:lineRule="auto"/>
        <w:ind w:leftChars="0" w:firstLineChars="0" w:hanging="5"/>
        <w:rPr>
          <w:rFonts w:ascii="仿宋_GB2312" w:eastAsia="仿宋_GB2312" w:hAnsi="仿宋_GB2312" w:cs="仿宋_GB2312"/>
          <w:sz w:val="21"/>
          <w:szCs w:val="21"/>
        </w:rPr>
      </w:pPr>
      <w:bookmarkStart w:id="8" w:name="_Toc517"/>
      <w:r>
        <w:rPr>
          <w:rFonts w:ascii="仿宋_GB2312" w:eastAsia="仿宋_GB2312" w:hAnsi="仿宋_GB2312" w:cs="仿宋_GB2312" w:hint="eastAsia"/>
          <w:sz w:val="21"/>
          <w:szCs w:val="21"/>
        </w:rPr>
        <w:t>LED灯具输入电压要求</w:t>
      </w:r>
      <w:bookmarkEnd w:id="8"/>
    </w:p>
    <w:p w:rsidR="00AB1940" w:rsidRDefault="00933D56">
      <w:pPr>
        <w:numPr>
          <w:ilvl w:val="0"/>
          <w:numId w:val="10"/>
        </w:numPr>
        <w:spacing w:line="360" w:lineRule="auto"/>
        <w:ind w:firstLineChars="200" w:firstLine="422"/>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t>详细参数标明输入电压为220V的灯具为内置驱动电源。详细参数未标明输入电压的为外置驱动电源集中供电。</w:t>
      </w:r>
    </w:p>
    <w:p w:rsidR="00AB1940" w:rsidRDefault="00933D56">
      <w:pPr>
        <w:numPr>
          <w:ilvl w:val="0"/>
          <w:numId w:val="10"/>
        </w:numPr>
        <w:spacing w:line="360" w:lineRule="auto"/>
        <w:ind w:firstLineChars="200" w:firstLine="422"/>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lastRenderedPageBreak/>
        <w:t>详细参数未标明输入电压的，其输入电压必须为DC24V。详细参数标明输入电压的，按详细参数执行。</w:t>
      </w:r>
    </w:p>
    <w:p w:rsidR="00AB1940" w:rsidRDefault="00933D56">
      <w:pPr>
        <w:pStyle w:val="3"/>
        <w:numPr>
          <w:ilvl w:val="0"/>
          <w:numId w:val="7"/>
        </w:numPr>
        <w:spacing w:line="360" w:lineRule="auto"/>
        <w:ind w:leftChars="0" w:firstLineChars="0" w:hanging="5"/>
        <w:rPr>
          <w:rFonts w:ascii="仿宋_GB2312" w:eastAsia="仿宋_GB2312" w:hAnsi="仿宋_GB2312" w:cs="仿宋_GB2312"/>
          <w:sz w:val="21"/>
          <w:szCs w:val="21"/>
        </w:rPr>
      </w:pPr>
      <w:bookmarkStart w:id="9" w:name="_Toc18301"/>
      <w:bookmarkStart w:id="10" w:name="_Toc13353"/>
      <w:r>
        <w:rPr>
          <w:rFonts w:ascii="仿宋_GB2312" w:eastAsia="仿宋_GB2312" w:hAnsi="仿宋_GB2312" w:cs="仿宋_GB2312" w:hint="eastAsia"/>
          <w:sz w:val="21"/>
          <w:szCs w:val="21"/>
        </w:rPr>
        <w:t>动态LED灯具要求</w:t>
      </w:r>
      <w:bookmarkEnd w:id="9"/>
    </w:p>
    <w:p w:rsidR="00AB1940" w:rsidRDefault="00933D56">
      <w:pPr>
        <w:numPr>
          <w:ilvl w:val="0"/>
          <w:numId w:val="11"/>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灯具要求有动态变化的，必须配置符合采购文件要求的控制系统及其所有附件，除主控外，其他设备均价格含在灯具中。</w:t>
      </w:r>
    </w:p>
    <w:p w:rsidR="00AB1940" w:rsidRDefault="00933D56">
      <w:pPr>
        <w:numPr>
          <w:ilvl w:val="0"/>
          <w:numId w:val="11"/>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所有动态（带控）灯具，必须采用DMX512-A标准控制协议，或兼容于上述协议。</w:t>
      </w:r>
    </w:p>
    <w:p w:rsidR="00AB1940" w:rsidRDefault="00933D56">
      <w:pPr>
        <w:numPr>
          <w:ilvl w:val="0"/>
          <w:numId w:val="11"/>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动态LED灯具，动态的速率可调，可缓慢连续变化也可跳变。芯片亮度可从0%-100%变化。动态LED灯具灰度级别必须达到256*256*256位灰度。灰度刷新频率不小于1000HZ。彩色的LED灯具必须发出1670万种真彩色。实现全场景同步色彩渐变及追光等各种动感色彩效果，色彩过渡要平稳、圆润，色彩还原要求逼真、细腻、自然。</w:t>
      </w:r>
      <w:r>
        <w:rPr>
          <w:rFonts w:ascii="仿宋_GB2312" w:eastAsia="仿宋_GB2312" w:hAnsi="仿宋_GB2312" w:cs="仿宋_GB2312" w:hint="eastAsia"/>
          <w:szCs w:val="21"/>
          <w:shd w:val="clear" w:color="auto" w:fill="FFFF00"/>
        </w:rPr>
        <w:t>灯具要求3阶起灰。同一栋建筑上，不同功率的RGB/RGBW灯具，需要整体联动变色时，灯具的控制位数为16 bit，保证所有型号灯具色彩、亮度变化一致。其他应用场景，灯具的控制位数为8bit。</w:t>
      </w:r>
    </w:p>
    <w:p w:rsidR="00AB1940" w:rsidRDefault="00933D56">
      <w:pPr>
        <w:numPr>
          <w:ilvl w:val="0"/>
          <w:numId w:val="11"/>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系统运行时，单个灯的故障必须只表现为它本身的故障，不得引起其他灯连带故障而扩大故障面。</w:t>
      </w:r>
    </w:p>
    <w:p w:rsidR="00AB1940" w:rsidRDefault="00933D56">
      <w:pPr>
        <w:spacing w:line="360" w:lineRule="auto"/>
        <w:ind w:firstLineChars="147" w:firstLine="309"/>
        <w:rPr>
          <w:rFonts w:ascii="仿宋_GB2312" w:eastAsia="仿宋_GB2312" w:hAnsi="仿宋_GB2312" w:cs="仿宋_GB2312"/>
          <w:szCs w:val="21"/>
        </w:rPr>
      </w:pPr>
      <w:r>
        <w:rPr>
          <w:rFonts w:ascii="仿宋_GB2312" w:eastAsia="仿宋_GB2312" w:hAnsi="仿宋_GB2312" w:cs="仿宋_GB2312" w:hint="eastAsia"/>
          <w:szCs w:val="21"/>
        </w:rPr>
        <w:t>带控制灯具需可被上级分控系统调试、调用。</w:t>
      </w:r>
    </w:p>
    <w:p w:rsidR="00AB1940" w:rsidRDefault="00933D56">
      <w:pPr>
        <w:pStyle w:val="3"/>
        <w:spacing w:line="360" w:lineRule="auto"/>
        <w:ind w:leftChars="0" w:left="562" w:firstLineChars="0" w:firstLine="0"/>
        <w:rPr>
          <w:rFonts w:ascii="仿宋_GB2312" w:eastAsia="仿宋_GB2312" w:hAnsi="仿宋_GB2312" w:cs="仿宋_GB2312"/>
          <w:sz w:val="21"/>
          <w:szCs w:val="21"/>
        </w:rPr>
      </w:pPr>
      <w:r>
        <w:rPr>
          <w:rFonts w:ascii="仿宋_GB2312" w:eastAsia="仿宋_GB2312" w:hAnsi="仿宋_GB2312" w:cs="仿宋_GB2312" w:hint="eastAsia"/>
          <w:sz w:val="21"/>
          <w:szCs w:val="21"/>
        </w:rPr>
        <w:t>6)外观及结构要求</w:t>
      </w:r>
      <w:bookmarkEnd w:id="10"/>
    </w:p>
    <w:p w:rsidR="00AB1940" w:rsidRDefault="00933D56">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外观质量：灯具的表面应光滑，以防污物堆积和便于清洗;无损伤、变形、涂层剥落，玻璃罩应无气泡、明显划痕和裂纹等缺陷。</w:t>
      </w:r>
    </w:p>
    <w:p w:rsidR="00AB1940" w:rsidRDefault="00933D56">
      <w:pPr>
        <w:numPr>
          <w:ilvl w:val="0"/>
          <w:numId w:val="12"/>
        </w:numPr>
        <w:spacing w:line="360" w:lineRule="auto"/>
        <w:ind w:firstLineChars="200" w:firstLine="420"/>
        <w:rPr>
          <w:rFonts w:ascii="仿宋_GB2312" w:eastAsia="仿宋_GB2312" w:hAnsi="仿宋_GB2312" w:cs="仿宋_GB2312"/>
          <w:b/>
          <w:bCs/>
          <w:szCs w:val="21"/>
          <w:u w:val="single"/>
        </w:rPr>
      </w:pPr>
      <w:r>
        <w:rPr>
          <w:rFonts w:ascii="仿宋_GB2312" w:eastAsia="仿宋_GB2312" w:hAnsi="仿宋_GB2312" w:cs="仿宋_GB2312" w:hint="eastAsia"/>
          <w:szCs w:val="21"/>
        </w:rPr>
        <w:t>外形尺寸：允许偏差范围标明区间的（例如：有≥、≤、±等符号）灯具尺寸在要求范围内为满足要求；未标明尺寸允许偏差范围的灯具尺寸上下浮动10%为满足要求。</w:t>
      </w:r>
    </w:p>
    <w:p w:rsidR="00AB1940" w:rsidRDefault="00933D56">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安装和位置尺寸：未标明尺寸允许偏差范围的按照GB-T1804的精度M级别标准执行。</w:t>
      </w:r>
    </w:p>
    <w:p w:rsidR="00AB1940" w:rsidRDefault="00933D56">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应安装方便，灯具出线方式不能影响现场安装。投光类灯具安装角度应能灵活调节。确定安装角度后，灯具有锁死固定功能。灯具应有特设的导线出(入)口密封装置。灯具内应有电源接线端子，外部接线和内部接线穿过硬质材料时应有保护措施。灯具应配备一个耐温度骤变、废气、烟雾和其他化学物质的钢化玻璃罩。</w:t>
      </w:r>
    </w:p>
    <w:p w:rsidR="00AB1940" w:rsidRDefault="00933D56">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所有LED灯具引出线线径应符合GB7000.1（灯具 第1部分：一般要求与试验）的要求，引出线长度按照现场安装情况提供，确保灯与灯之间连线符合最优化。一个回路的灯具可成串提供，灯具引出线满足现场安装要求。 芯线颜色必须符合国标要求，且有明显区别。</w:t>
      </w:r>
    </w:p>
    <w:p w:rsidR="00AB1940" w:rsidRDefault="00933D56">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控制线采用专用RS485超五类屏蔽总线。接头必须具有防水措施、连接方便易操作。</w:t>
      </w:r>
    </w:p>
    <w:p w:rsidR="00AB1940" w:rsidRDefault="00933D56">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有针对感应雷击及静电的专用防护元件，器件性能符合IEC61000-4-4（电磁兼容-第4-4部分:试验和测量技术-电快速瞬变脉冲群抗扰度试验）的检测标准。</w:t>
      </w:r>
    </w:p>
    <w:p w:rsidR="00AB1940" w:rsidRDefault="00933D56">
      <w:pPr>
        <w:numPr>
          <w:ilvl w:val="0"/>
          <w:numId w:val="1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lastRenderedPageBreak/>
        <w:t>明装灯具及其安装附件及嵌装灯具的颜色纹理需与背景墙面颜色一致，由设计方与甲方共同确定色卡号。</w:t>
      </w:r>
    </w:p>
    <w:p w:rsidR="00AB1940" w:rsidRDefault="00933D56">
      <w:pPr>
        <w:numPr>
          <w:ilvl w:val="0"/>
          <w:numId w:val="12"/>
        </w:numPr>
        <w:spacing w:line="360" w:lineRule="auto"/>
        <w:ind w:firstLineChars="200" w:firstLine="422"/>
        <w:rPr>
          <w:rFonts w:ascii="仿宋_GB2312" w:eastAsia="仿宋_GB2312" w:hAnsi="仿宋_GB2312" w:cs="仿宋_GB2312"/>
          <w:szCs w:val="21"/>
        </w:rPr>
      </w:pPr>
      <w:r>
        <w:rPr>
          <w:rFonts w:ascii="仿宋_GB2312" w:eastAsia="仿宋_GB2312" w:hAnsi="仿宋_GB2312" w:cs="仿宋_GB2312" w:hint="eastAsia"/>
          <w:b/>
          <w:bCs/>
          <w:szCs w:val="21"/>
          <w:u w:val="single"/>
        </w:rPr>
        <w:t>灯具必须采用结构防水，防护等级不小于IP65。</w:t>
      </w:r>
      <w:r>
        <w:rPr>
          <w:rFonts w:ascii="仿宋_GB2312" w:eastAsia="仿宋_GB2312" w:hAnsi="仿宋_GB2312" w:cs="仿宋_GB2312" w:hint="eastAsia"/>
          <w:szCs w:val="21"/>
        </w:rPr>
        <w:t>灯具防尘防水等级（IP等级）指：防水接头、接线、匹配电源、灯具四部分的防尘防水等级。公母头、三通等辅材的</w:t>
      </w:r>
      <w:r>
        <w:rPr>
          <w:rFonts w:ascii="仿宋_GB2312" w:eastAsia="仿宋_GB2312" w:hAnsi="仿宋_GB2312" w:cs="仿宋_GB2312" w:hint="eastAsia"/>
          <w:b/>
          <w:bCs/>
          <w:szCs w:val="21"/>
          <w:u w:val="single"/>
        </w:rPr>
        <w:t>防护等级不小于IP66。</w:t>
      </w:r>
    </w:p>
    <w:p w:rsidR="00AB1940" w:rsidRDefault="00933D56">
      <w:pPr>
        <w:pStyle w:val="3"/>
        <w:spacing w:line="360" w:lineRule="auto"/>
        <w:ind w:leftChars="0" w:left="562" w:firstLineChars="0" w:firstLine="0"/>
        <w:rPr>
          <w:rFonts w:ascii="仿宋_GB2312" w:eastAsia="仿宋_GB2312" w:hAnsi="仿宋_GB2312" w:cs="仿宋_GB2312"/>
          <w:sz w:val="21"/>
          <w:szCs w:val="21"/>
        </w:rPr>
      </w:pPr>
      <w:bookmarkStart w:id="11" w:name="_Toc20504"/>
      <w:r>
        <w:rPr>
          <w:rFonts w:ascii="仿宋_GB2312" w:eastAsia="仿宋_GB2312" w:hAnsi="仿宋_GB2312" w:cs="仿宋_GB2312" w:hint="eastAsia"/>
          <w:sz w:val="21"/>
          <w:szCs w:val="21"/>
        </w:rPr>
        <w:t>7)材料要求</w:t>
      </w:r>
      <w:bookmarkEnd w:id="11"/>
    </w:p>
    <w:p w:rsidR="00AB1940" w:rsidRDefault="00933D56">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要求为不锈钢的材质，必须采用304/2B不锈钢标号；所有要求为铝材的，必须采用高镁防锈3404标号或同等、优于该材料。灯具所采用的电线(缆)、LED和其他电子部件均应符合相应的国家标准或行业标准的规定要求。</w:t>
      </w:r>
    </w:p>
    <w:p w:rsidR="00AB1940" w:rsidRDefault="00933D56">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 xml:space="preserve">灯具密封圈需采用抗老化硅橡胶圈或同等、优于上标准。应耐温、耐老化和耐道路上可能出现的腐蚀性气体，并应方便更换。灯具密封若采用灌胶形式，灌胶材料必须采用有机硅胶或同等、优于以上标准。 </w:t>
      </w:r>
    </w:p>
    <w:p w:rsidR="00AB1940" w:rsidRDefault="00933D56">
      <w:pPr>
        <w:numPr>
          <w:ilvl w:val="0"/>
          <w:numId w:val="1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的插销、铰链、螺钉和其他外部构件应用304/2B不锈钢或高镁防锈3404铝合金，其安装构件应不受混凝土的化学反应腐蚀。膨胀管、膨胀螺栓（含螺栓、胀管、平垫圈、弹簧垫和六角螺母等）必须采用不锈钢304/2B材料，且不受混凝土的化学反应腐蚀。</w:t>
      </w:r>
    </w:p>
    <w:p w:rsidR="00AB1940" w:rsidRDefault="00933D56">
      <w:pPr>
        <w:pStyle w:val="3"/>
        <w:spacing w:line="360" w:lineRule="auto"/>
        <w:ind w:leftChars="0" w:left="562" w:firstLineChars="0" w:firstLine="0"/>
        <w:rPr>
          <w:rFonts w:ascii="仿宋_GB2312" w:eastAsia="仿宋_GB2312" w:hAnsi="仿宋_GB2312" w:cs="仿宋_GB2312"/>
          <w:sz w:val="21"/>
          <w:szCs w:val="21"/>
        </w:rPr>
      </w:pPr>
      <w:bookmarkStart w:id="12" w:name="_Toc19172"/>
      <w:r>
        <w:rPr>
          <w:rFonts w:ascii="仿宋_GB2312" w:eastAsia="仿宋_GB2312" w:hAnsi="仿宋_GB2312" w:cs="仿宋_GB2312" w:hint="eastAsia"/>
          <w:sz w:val="21"/>
          <w:szCs w:val="21"/>
        </w:rPr>
        <w:t>8)耐腐蚀性要求</w:t>
      </w:r>
      <w:bookmarkEnd w:id="12"/>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灯具应具有良好的耐腐蚀性能；灯具上的涂层部件，涂层应符合QB/T 1551（《灯具油漆涂层》国家标准）中II类（恶劣的使用环境，如含有工业废气或盐分，潮湿的使用场所）使用条件的要求；灯具上的电镀或化学覆盖件，覆盖层应符合QB/T3741（《灯具电镀、化学覆盖层》轻工行业标准）中Ⅲ类（严酷的使用条件，如空气中含有工业废气或盐分潮湿的环境）使用条件的要求。灯具灯体材质表面应有耐腐蚀、抗破坏处理手段，处理工艺需达10年使用寿命。压克力材料部分保证5年不发黄。</w:t>
      </w:r>
    </w:p>
    <w:p w:rsidR="00AB1940" w:rsidRDefault="00933D56">
      <w:pPr>
        <w:pStyle w:val="3"/>
        <w:spacing w:line="360" w:lineRule="auto"/>
        <w:ind w:leftChars="0" w:left="562" w:firstLineChars="0" w:firstLine="0"/>
        <w:rPr>
          <w:rFonts w:ascii="仿宋_GB2312" w:eastAsia="仿宋_GB2312" w:hAnsi="仿宋_GB2312" w:cs="仿宋_GB2312"/>
          <w:sz w:val="21"/>
          <w:szCs w:val="21"/>
        </w:rPr>
      </w:pPr>
      <w:bookmarkStart w:id="13" w:name="_Toc2295"/>
      <w:bookmarkStart w:id="14" w:name="_Toc9926"/>
      <w:bookmarkStart w:id="15" w:name="_Toc4937"/>
      <w:bookmarkStart w:id="16" w:name="_Toc6693"/>
      <w:bookmarkStart w:id="17" w:name="_Toc20838"/>
      <w:r>
        <w:rPr>
          <w:rFonts w:ascii="仿宋_GB2312" w:eastAsia="仿宋_GB2312" w:hAnsi="仿宋_GB2312" w:cs="仿宋_GB2312" w:hint="eastAsia"/>
          <w:sz w:val="21"/>
          <w:szCs w:val="21"/>
        </w:rPr>
        <w:t>9)电磁兼容</w:t>
      </w:r>
      <w:bookmarkEnd w:id="13"/>
      <w:bookmarkEnd w:id="14"/>
      <w:bookmarkEnd w:id="15"/>
      <w:bookmarkEnd w:id="16"/>
      <w:r>
        <w:rPr>
          <w:rFonts w:ascii="仿宋_GB2312" w:eastAsia="仿宋_GB2312" w:hAnsi="仿宋_GB2312" w:cs="仿宋_GB2312" w:hint="eastAsia"/>
          <w:sz w:val="21"/>
          <w:szCs w:val="21"/>
        </w:rPr>
        <w:t>要求</w:t>
      </w:r>
      <w:bookmarkEnd w:id="17"/>
    </w:p>
    <w:p w:rsidR="00AB1940" w:rsidRDefault="00933D56">
      <w:pPr>
        <w:numPr>
          <w:ilvl w:val="0"/>
          <w:numId w:val="1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灯具的无线电骚扰特性应符合GB 17743的要求。</w:t>
      </w:r>
    </w:p>
    <w:p w:rsidR="00AB1940" w:rsidRDefault="00933D56">
      <w:pPr>
        <w:numPr>
          <w:ilvl w:val="0"/>
          <w:numId w:val="1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灯具电磁兼容抗扰度应符合GB/T 18595 的要求。</w:t>
      </w:r>
    </w:p>
    <w:p w:rsidR="00AB1940" w:rsidRDefault="00933D56">
      <w:pPr>
        <w:numPr>
          <w:ilvl w:val="0"/>
          <w:numId w:val="1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灯具的输入电流谐波应符合GB l7625.1的要求。</w:t>
      </w:r>
    </w:p>
    <w:p w:rsidR="00AB1940" w:rsidRDefault="00933D56">
      <w:pPr>
        <w:numPr>
          <w:ilvl w:val="0"/>
          <w:numId w:val="1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LED电子控制装置应采用高压输出的LED电子控制装置，输出电流不超过1.5A。并应符合GB 19510.14的规定。</w:t>
      </w:r>
    </w:p>
    <w:p w:rsidR="00AB1940" w:rsidRDefault="00933D56">
      <w:pPr>
        <w:numPr>
          <w:ilvl w:val="0"/>
          <w:numId w:val="14"/>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LED灯具的蓝光控制应符合GB 7000.1的规定。</w:t>
      </w:r>
    </w:p>
    <w:p w:rsidR="00AB1940" w:rsidRDefault="00933D56">
      <w:pPr>
        <w:pStyle w:val="3"/>
        <w:spacing w:line="360" w:lineRule="auto"/>
        <w:ind w:leftChars="0" w:left="562" w:firstLineChars="0" w:firstLine="0"/>
        <w:rPr>
          <w:rFonts w:ascii="仿宋_GB2312" w:eastAsia="仿宋_GB2312" w:hAnsi="仿宋_GB2312" w:cs="仿宋_GB2312"/>
          <w:sz w:val="21"/>
          <w:szCs w:val="21"/>
        </w:rPr>
      </w:pPr>
      <w:bookmarkStart w:id="18" w:name="_Toc28959"/>
      <w:r>
        <w:rPr>
          <w:rFonts w:ascii="仿宋_GB2312" w:eastAsia="仿宋_GB2312" w:hAnsi="仿宋_GB2312" w:cs="仿宋_GB2312" w:hint="eastAsia"/>
          <w:sz w:val="21"/>
          <w:szCs w:val="21"/>
        </w:rPr>
        <w:t>10)灯具寿命、光衰、散热等要求</w:t>
      </w:r>
      <w:bookmarkEnd w:id="18"/>
    </w:p>
    <w:p w:rsidR="00AB1940" w:rsidRDefault="00933D56">
      <w:pPr>
        <w:numPr>
          <w:ilvl w:val="0"/>
          <w:numId w:val="15"/>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灯的光源寿命不低于5万小时。灯具的平均寿命应不低于3万小时。</w:t>
      </w:r>
    </w:p>
    <w:p w:rsidR="00AB1940" w:rsidRDefault="00933D56">
      <w:pPr>
        <w:numPr>
          <w:ilvl w:val="0"/>
          <w:numId w:val="15"/>
        </w:numPr>
        <w:spacing w:line="360" w:lineRule="auto"/>
        <w:ind w:firstLineChars="131" w:firstLine="275"/>
        <w:rPr>
          <w:rFonts w:ascii="仿宋_GB2312" w:eastAsia="仿宋_GB2312" w:hAnsi="仿宋_GB2312" w:cs="仿宋_GB2312"/>
          <w:szCs w:val="21"/>
        </w:rPr>
      </w:pPr>
      <w:r>
        <w:rPr>
          <w:rFonts w:ascii="仿宋_GB2312" w:eastAsia="仿宋_GB2312" w:hAnsi="仿宋_GB2312" w:cs="仿宋_GB2312" w:hint="eastAsia"/>
          <w:szCs w:val="21"/>
        </w:rPr>
        <w:t>灯在燃点3千小时时，其光通维持率应不低于96%；在燃点6千小时时，其光通维持率应不低于92%。</w:t>
      </w:r>
    </w:p>
    <w:p w:rsidR="00AB1940" w:rsidRDefault="00933D56">
      <w:pPr>
        <w:numPr>
          <w:ilvl w:val="0"/>
          <w:numId w:val="15"/>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lastRenderedPageBreak/>
        <w:t>灯的初始光通量（灯具入库或到达安装现场的时间点）可由制造商或销售商标称，但其实测值不得低于标称值的95%，不得高于标称值的105%。</w:t>
      </w:r>
    </w:p>
    <w:p w:rsidR="00AB1940" w:rsidRDefault="00933D56">
      <w:pPr>
        <w:numPr>
          <w:ilvl w:val="0"/>
          <w:numId w:val="15"/>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所有LED灯具外壳温度满载负荷两小时候后，温度升高不大于30℃。现场安装后抽检灯具的外壳温度。芯片引脚满载两小时后，温度升高不大于60℃。</w:t>
      </w:r>
    </w:p>
    <w:p w:rsidR="00AB1940" w:rsidRDefault="00933D56">
      <w:pPr>
        <w:pStyle w:val="2"/>
        <w:numPr>
          <w:ilvl w:val="0"/>
          <w:numId w:val="1"/>
        </w:numPr>
        <w:spacing w:line="360" w:lineRule="auto"/>
        <w:rPr>
          <w:rFonts w:ascii="仿宋_GB2312" w:eastAsia="仿宋_GB2312" w:hAnsi="仿宋_GB2312" w:cs="仿宋_GB2312"/>
          <w:sz w:val="24"/>
        </w:rPr>
      </w:pPr>
      <w:bookmarkStart w:id="19" w:name="_Toc11963"/>
      <w:bookmarkStart w:id="20" w:name="_Toc10067"/>
      <w:bookmarkEnd w:id="6"/>
      <w:r>
        <w:rPr>
          <w:rFonts w:ascii="仿宋_GB2312" w:eastAsia="仿宋_GB2312" w:hAnsi="仿宋_GB2312" w:cs="仿宋_GB2312" w:hint="eastAsia"/>
          <w:sz w:val="24"/>
        </w:rPr>
        <w:t>灯具附属开关电源（驱动电源）技术通则</w:t>
      </w:r>
      <w:bookmarkEnd w:id="19"/>
    </w:p>
    <w:p w:rsidR="00AB1940" w:rsidRDefault="00933D56">
      <w:pPr>
        <w:pStyle w:val="3"/>
        <w:numPr>
          <w:ilvl w:val="0"/>
          <w:numId w:val="16"/>
        </w:numPr>
        <w:spacing w:line="360" w:lineRule="auto"/>
        <w:ind w:leftChars="0" w:firstLineChars="0" w:hanging="5"/>
        <w:rPr>
          <w:rFonts w:ascii="仿宋_GB2312" w:eastAsia="仿宋_GB2312" w:hAnsi="仿宋_GB2312" w:cs="仿宋_GB2312"/>
          <w:sz w:val="21"/>
          <w:szCs w:val="21"/>
        </w:rPr>
      </w:pPr>
      <w:bookmarkStart w:id="21" w:name="_Toc30970"/>
      <w:r>
        <w:rPr>
          <w:rFonts w:ascii="仿宋_GB2312" w:eastAsia="仿宋_GB2312" w:hAnsi="仿宋_GB2312" w:cs="仿宋_GB2312" w:hint="eastAsia"/>
          <w:sz w:val="21"/>
          <w:szCs w:val="21"/>
        </w:rPr>
        <w:t>说明</w:t>
      </w:r>
      <w:bookmarkEnd w:id="21"/>
    </w:p>
    <w:p w:rsidR="00AB1940" w:rsidRDefault="00933D56">
      <w:pPr>
        <w:spacing w:line="360" w:lineRule="auto"/>
        <w:ind w:firstLineChars="139" w:firstLine="293"/>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t>灯具必须按照采购单位要求，提供全部驱动电源。</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所有灯具附属驱动电源的深化设计，相关参数按照下表执行。</w:t>
      </w:r>
    </w:p>
    <w:tbl>
      <w:tblPr>
        <w:tblW w:w="7738"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0"/>
        <w:gridCol w:w="1369"/>
        <w:gridCol w:w="5809"/>
      </w:tblGrid>
      <w:tr w:rsidR="00AB1940">
        <w:trPr>
          <w:trHeight w:val="564"/>
          <w:tblHeader/>
        </w:trPr>
        <w:tc>
          <w:tcPr>
            <w:tcW w:w="560" w:type="dxa"/>
            <w:shd w:val="clear" w:color="auto" w:fill="D8D8D8" w:themeFill="background1" w:themeFillShade="D8"/>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序号</w:t>
            </w:r>
          </w:p>
        </w:tc>
        <w:tc>
          <w:tcPr>
            <w:tcW w:w="1369" w:type="dxa"/>
            <w:shd w:val="clear" w:color="auto" w:fill="D8D8D8" w:themeFill="background1" w:themeFillShade="D8"/>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内容</w:t>
            </w:r>
          </w:p>
        </w:tc>
        <w:tc>
          <w:tcPr>
            <w:tcW w:w="5809" w:type="dxa"/>
            <w:shd w:val="clear" w:color="auto" w:fill="D8D8D8" w:themeFill="background1" w:themeFillShade="D8"/>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要求</w:t>
            </w:r>
          </w:p>
        </w:tc>
      </w:tr>
      <w:tr w:rsidR="00AB1940">
        <w:trPr>
          <w:trHeight w:val="564"/>
        </w:trPr>
        <w:tc>
          <w:tcPr>
            <w:tcW w:w="560"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1</w:t>
            </w:r>
          </w:p>
        </w:tc>
        <w:tc>
          <w:tcPr>
            <w:tcW w:w="136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深化设计</w:t>
            </w: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中标单位根据现场安装条件优化使用方案，由业主最终确认</w:t>
            </w:r>
          </w:p>
        </w:tc>
      </w:tr>
      <w:tr w:rsidR="00AB1940">
        <w:trPr>
          <w:trHeight w:val="564"/>
        </w:trPr>
        <w:tc>
          <w:tcPr>
            <w:tcW w:w="560"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2</w:t>
            </w:r>
          </w:p>
        </w:tc>
        <w:tc>
          <w:tcPr>
            <w:tcW w:w="136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型号</w:t>
            </w: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厂家深化，设计确认</w:t>
            </w:r>
          </w:p>
        </w:tc>
      </w:tr>
      <w:tr w:rsidR="00AB1940">
        <w:trPr>
          <w:trHeight w:val="578"/>
        </w:trPr>
        <w:tc>
          <w:tcPr>
            <w:tcW w:w="560" w:type="dxa"/>
            <w:vMerge w:val="restart"/>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3</w:t>
            </w:r>
          </w:p>
        </w:tc>
        <w:tc>
          <w:tcPr>
            <w:tcW w:w="1369" w:type="dxa"/>
            <w:vMerge w:val="restart"/>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输出属性</w:t>
            </w: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详细参数输入电压标明为220V的灯具为内置驱动电源。</w:t>
            </w:r>
          </w:p>
        </w:tc>
      </w:tr>
      <w:tr w:rsidR="00AB1940">
        <w:trPr>
          <w:trHeight w:val="1046"/>
        </w:trPr>
        <w:tc>
          <w:tcPr>
            <w:tcW w:w="560" w:type="dxa"/>
            <w:vMerge/>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1369" w:type="dxa"/>
            <w:vMerge/>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工作电压为安全电压（≤36V）的灯具,必须采用外置驱动电源。</w:t>
            </w:r>
          </w:p>
        </w:tc>
      </w:tr>
      <w:tr w:rsidR="00AB1940">
        <w:trPr>
          <w:trHeight w:val="564"/>
        </w:trPr>
        <w:tc>
          <w:tcPr>
            <w:tcW w:w="560"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4</w:t>
            </w:r>
          </w:p>
        </w:tc>
        <w:tc>
          <w:tcPr>
            <w:tcW w:w="136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功率</w:t>
            </w: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根据现场合理配置</w:t>
            </w:r>
          </w:p>
        </w:tc>
      </w:tr>
      <w:tr w:rsidR="00AB1940">
        <w:trPr>
          <w:trHeight w:val="564"/>
        </w:trPr>
        <w:tc>
          <w:tcPr>
            <w:tcW w:w="560"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5</w:t>
            </w:r>
          </w:p>
        </w:tc>
        <w:tc>
          <w:tcPr>
            <w:tcW w:w="136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功率因数</w:t>
            </w: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≥0.9</w:t>
            </w:r>
          </w:p>
        </w:tc>
      </w:tr>
      <w:tr w:rsidR="00AB1940">
        <w:trPr>
          <w:trHeight w:val="564"/>
        </w:trPr>
        <w:tc>
          <w:tcPr>
            <w:tcW w:w="560"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6</w:t>
            </w:r>
          </w:p>
        </w:tc>
        <w:tc>
          <w:tcPr>
            <w:tcW w:w="136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3C认证</w:t>
            </w: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必须提供</w:t>
            </w:r>
          </w:p>
        </w:tc>
      </w:tr>
      <w:tr w:rsidR="00AB1940">
        <w:trPr>
          <w:trHeight w:val="564"/>
        </w:trPr>
        <w:tc>
          <w:tcPr>
            <w:tcW w:w="560"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7</w:t>
            </w:r>
          </w:p>
        </w:tc>
        <w:tc>
          <w:tcPr>
            <w:tcW w:w="136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效率</w:t>
            </w: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≥90%</w:t>
            </w:r>
          </w:p>
        </w:tc>
      </w:tr>
      <w:tr w:rsidR="00AB1940">
        <w:trPr>
          <w:trHeight w:val="564"/>
        </w:trPr>
        <w:tc>
          <w:tcPr>
            <w:tcW w:w="560" w:type="dxa"/>
            <w:vMerge w:val="restart"/>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8</w:t>
            </w:r>
          </w:p>
        </w:tc>
        <w:tc>
          <w:tcPr>
            <w:tcW w:w="1369" w:type="dxa"/>
            <w:vMerge w:val="restart"/>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防护等级</w:t>
            </w: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输出额定功率≤600W的驱动电源防护等级为IP67</w:t>
            </w:r>
          </w:p>
        </w:tc>
      </w:tr>
      <w:tr w:rsidR="00AB1940">
        <w:trPr>
          <w:trHeight w:val="564"/>
        </w:trPr>
        <w:tc>
          <w:tcPr>
            <w:tcW w:w="560" w:type="dxa"/>
            <w:vMerge/>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1369" w:type="dxa"/>
            <w:vMerge/>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输出额定功率＞600W的驱动电源为非防水电源</w:t>
            </w:r>
          </w:p>
        </w:tc>
      </w:tr>
      <w:tr w:rsidR="00AB1940">
        <w:trPr>
          <w:trHeight w:val="584"/>
        </w:trPr>
        <w:tc>
          <w:tcPr>
            <w:tcW w:w="560"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9</w:t>
            </w:r>
          </w:p>
        </w:tc>
        <w:tc>
          <w:tcPr>
            <w:tcW w:w="136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电磁兼容</w:t>
            </w:r>
          </w:p>
        </w:tc>
        <w:tc>
          <w:tcPr>
            <w:tcW w:w="5809" w:type="dxa"/>
            <w:shd w:val="clear" w:color="auto" w:fill="auto"/>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合格</w:t>
            </w:r>
          </w:p>
        </w:tc>
      </w:tr>
    </w:tbl>
    <w:p w:rsidR="00AB1940" w:rsidRDefault="00933D56">
      <w:pPr>
        <w:pStyle w:val="3"/>
        <w:numPr>
          <w:ilvl w:val="0"/>
          <w:numId w:val="16"/>
        </w:numPr>
        <w:spacing w:line="360" w:lineRule="auto"/>
        <w:ind w:leftChars="0" w:firstLineChars="0" w:hanging="5"/>
        <w:rPr>
          <w:rFonts w:ascii="仿宋_GB2312" w:eastAsia="仿宋_GB2312" w:hAnsi="仿宋_GB2312" w:cs="仿宋_GB2312"/>
          <w:sz w:val="21"/>
          <w:szCs w:val="21"/>
        </w:rPr>
      </w:pPr>
      <w:bookmarkStart w:id="22" w:name="_Toc7509"/>
      <w:r>
        <w:rPr>
          <w:rFonts w:ascii="仿宋_GB2312" w:eastAsia="仿宋_GB2312" w:hAnsi="仿宋_GB2312" w:cs="仿宋_GB2312" w:hint="eastAsia"/>
          <w:sz w:val="21"/>
          <w:szCs w:val="21"/>
        </w:rPr>
        <w:t>驱动电源技术要求</w:t>
      </w:r>
      <w:bookmarkEnd w:id="22"/>
    </w:p>
    <w:p w:rsidR="00AB1940" w:rsidRDefault="00933D56">
      <w:pPr>
        <w:numPr>
          <w:ilvl w:val="0"/>
          <w:numId w:val="17"/>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品牌推荐使用“台湾明纬（MEAN WELL）”、“茂硕”、“英飞特”、“欧司朗（OSRAM）”、“飞利浦（PHILIPS）”、“创联”电源；</w:t>
      </w:r>
    </w:p>
    <w:p w:rsidR="00AB1940" w:rsidRDefault="00933D56">
      <w:pPr>
        <w:numPr>
          <w:ilvl w:val="0"/>
          <w:numId w:val="17"/>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详细参数输入电压标明为220V的灯具为内置驱动电源。详细参数未标明输入电压或标明为安全电</w:t>
      </w:r>
      <w:r>
        <w:rPr>
          <w:rFonts w:ascii="仿宋_GB2312" w:eastAsia="仿宋_GB2312" w:hAnsi="仿宋_GB2312" w:cs="仿宋_GB2312" w:hint="eastAsia"/>
          <w:szCs w:val="21"/>
        </w:rPr>
        <w:lastRenderedPageBreak/>
        <w:t>压（≤36V）的灯具为外置恒压驱动电源集中供电。</w:t>
      </w:r>
    </w:p>
    <w:p w:rsidR="00AB1940" w:rsidRDefault="00933D56">
      <w:pPr>
        <w:numPr>
          <w:ilvl w:val="0"/>
          <w:numId w:val="17"/>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电源必须符合国家相关标准。小于70W的灯具必须配置恒压驱动电源。所有LED灯具必须结合现场安装条件配置适当的防水驱动电源（含内置电源），电源功率及数量由业主根据现场安装条件确定，电源的价格含在灯具总价中。电源数量不作为影响灯具价格的因素。根据具体灯具要求配置内置或外置。该电源必须为灯具标配，不得随意更换。</w:t>
      </w:r>
    </w:p>
    <w:p w:rsidR="00AB1940" w:rsidRDefault="00933D56">
      <w:pPr>
        <w:numPr>
          <w:ilvl w:val="0"/>
          <w:numId w:val="17"/>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外置驱动电源、内置外露驱动电源应考虑一体式防水和散热。</w:t>
      </w:r>
    </w:p>
    <w:p w:rsidR="00AB1940" w:rsidRDefault="00933D56">
      <w:pPr>
        <w:numPr>
          <w:ilvl w:val="0"/>
          <w:numId w:val="17"/>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单颗芯片功率不小于1W的大功率LED灯具电源要有过载过压短路保护，自动温控保护。</w:t>
      </w:r>
    </w:p>
    <w:p w:rsidR="00AB1940" w:rsidRDefault="00933D56">
      <w:pPr>
        <w:numPr>
          <w:ilvl w:val="0"/>
          <w:numId w:val="17"/>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外置电源集中供电时，所提供的电源必须满足现场实际安装需要，每个电源的功率根据现场条件，由设计及业主确定。</w:t>
      </w:r>
    </w:p>
    <w:p w:rsidR="00AB1940" w:rsidRDefault="00933D56">
      <w:pPr>
        <w:numPr>
          <w:ilvl w:val="0"/>
          <w:numId w:val="17"/>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置驱动电源：输入交流电压220VAC，输出直流电压24V/12V/48V恒压（以灯具技术参数为准）；输入输出引出线长不低于0.3米。防护等级IP67。防雷等级线对线4KV、线对地6KV。无风扇设计，自然风冷。功率小于36W的驱动电源效率不低于85%，功率大于36W的驱动电源效率不低于90%，有短路、过电流、过电压、过温度保护。功率因素不小于90%，安规和电磁兼容符合相关国家、国际标准。</w:t>
      </w:r>
    </w:p>
    <w:p w:rsidR="00AB1940" w:rsidRDefault="00933D56">
      <w:pPr>
        <w:numPr>
          <w:ilvl w:val="0"/>
          <w:numId w:val="17"/>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外置驱动电源在电源箱内设置数量3~6个，在干燥、潮湿、淋雨环境下工作温度为-20℃~+60℃，潮湿环境为20~90%RH，质保期不小于5年。</w:t>
      </w:r>
    </w:p>
    <w:p w:rsidR="00AB1940" w:rsidRDefault="00933D56">
      <w:pPr>
        <w:pStyle w:val="2"/>
        <w:numPr>
          <w:ilvl w:val="0"/>
          <w:numId w:val="1"/>
        </w:num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灯具附属控制系统技术通则</w:t>
      </w:r>
    </w:p>
    <w:p w:rsidR="00AB1940" w:rsidRDefault="00933D56">
      <w:pPr>
        <w:pStyle w:val="3"/>
        <w:numPr>
          <w:ilvl w:val="0"/>
          <w:numId w:val="18"/>
        </w:numPr>
        <w:spacing w:line="360" w:lineRule="auto"/>
        <w:ind w:leftChars="0" w:firstLineChars="0" w:hanging="5"/>
        <w:rPr>
          <w:rFonts w:ascii="仿宋_GB2312" w:eastAsia="仿宋_GB2312" w:hAnsi="仿宋_GB2312" w:cs="仿宋_GB2312"/>
          <w:sz w:val="21"/>
          <w:szCs w:val="21"/>
        </w:rPr>
      </w:pPr>
      <w:bookmarkStart w:id="23" w:name="_Toc14069"/>
      <w:r>
        <w:rPr>
          <w:rFonts w:ascii="仿宋_GB2312" w:eastAsia="仿宋_GB2312" w:hAnsi="仿宋_GB2312" w:cs="仿宋_GB2312" w:hint="eastAsia"/>
          <w:sz w:val="21"/>
          <w:szCs w:val="21"/>
        </w:rPr>
        <w:t>说明</w:t>
      </w:r>
      <w:bookmarkEnd w:id="23"/>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技术文件详参有规定的，按详参规定执行，没有详参规定的，按照本通则执行。</w:t>
      </w:r>
    </w:p>
    <w:p w:rsidR="00AB1940" w:rsidRDefault="00933D56">
      <w:pPr>
        <w:spacing w:line="360" w:lineRule="auto"/>
        <w:ind w:firstLineChars="200" w:firstLine="422"/>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t>灯具要求有动态变化的，必须配置符合采购文件要求的控制系统及其所有附件，价格含在灯具中。</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中标单位必须依据设计施工图纸和技术文件要求，本工程项目的材料、设备、施工必须达到现行中华人民共和国及省、市、行业的一切有关法规、规范的要求，如设计施工图纸、技术文件、标准及规范要求有出入则以较严格者为准。</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下列技术参数为各类综合控制系统的总体要求，中标单位应根据所投灯具的情况，按照控制系统不同控制要求合理配置。</w:t>
      </w:r>
    </w:p>
    <w:p w:rsidR="00AB1940" w:rsidRDefault="00933D56">
      <w:pPr>
        <w:pStyle w:val="3"/>
        <w:numPr>
          <w:ilvl w:val="0"/>
          <w:numId w:val="18"/>
        </w:numPr>
        <w:spacing w:line="360" w:lineRule="auto"/>
        <w:ind w:leftChars="0" w:firstLineChars="0" w:hanging="5"/>
        <w:rPr>
          <w:rFonts w:ascii="仿宋_GB2312" w:eastAsia="仿宋_GB2312" w:hAnsi="仿宋_GB2312" w:cs="仿宋_GB2312"/>
          <w:sz w:val="21"/>
          <w:szCs w:val="21"/>
        </w:rPr>
      </w:pPr>
      <w:bookmarkStart w:id="24" w:name="_Toc8710"/>
      <w:r>
        <w:rPr>
          <w:rFonts w:ascii="仿宋_GB2312" w:eastAsia="仿宋_GB2312" w:hAnsi="仿宋_GB2312" w:cs="仿宋_GB2312" w:hint="eastAsia"/>
          <w:sz w:val="21"/>
          <w:szCs w:val="21"/>
        </w:rPr>
        <w:t>通信网络技术要求</w:t>
      </w:r>
      <w:bookmarkEnd w:id="24"/>
    </w:p>
    <w:p w:rsidR="00AB1940" w:rsidRDefault="00933D56">
      <w:pPr>
        <w:numPr>
          <w:ilvl w:val="1"/>
          <w:numId w:val="19"/>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网络架构采用VPN专线方式，具有独立网络安全防范能力。</w:t>
      </w:r>
    </w:p>
    <w:p w:rsidR="00AB1940" w:rsidRDefault="00933D56">
      <w:pPr>
        <w:numPr>
          <w:ilvl w:val="1"/>
          <w:numId w:val="19"/>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各网关接口具有独立IP地址。</w:t>
      </w:r>
    </w:p>
    <w:p w:rsidR="00AB1940" w:rsidRDefault="00933D56">
      <w:pPr>
        <w:numPr>
          <w:ilvl w:val="1"/>
          <w:numId w:val="19"/>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信号传输方式：控制器联机信号接口和信号传输协议是TCP/IP。</w:t>
      </w:r>
    </w:p>
    <w:p w:rsidR="00AB1940" w:rsidRDefault="00933D56">
      <w:pPr>
        <w:numPr>
          <w:ilvl w:val="1"/>
          <w:numId w:val="19"/>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lastRenderedPageBreak/>
        <w:t>网络传输采用有线或4G两种方式。</w:t>
      </w:r>
    </w:p>
    <w:p w:rsidR="00AB1940" w:rsidRDefault="00933D56">
      <w:pPr>
        <w:numPr>
          <w:ilvl w:val="0"/>
          <w:numId w:val="20"/>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主体建筑及主要景观节点必须使用有线的传输方式，时延＜50ms；</w:t>
      </w:r>
    </w:p>
    <w:p w:rsidR="00AB1940" w:rsidRDefault="00933D56">
      <w:pPr>
        <w:numPr>
          <w:ilvl w:val="0"/>
          <w:numId w:val="20"/>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在无法敷设光纤的区域，且能够保证信号强度前提下，可以使用4G。为了保证网络质量，4G需满足以下要求：在设备接入点7*24小时监测情况下，吞吐量≥10M，时延＜100ms，丢包率≤0.1%。</w:t>
      </w:r>
    </w:p>
    <w:p w:rsidR="00AB1940" w:rsidRDefault="00933D56">
      <w:pPr>
        <w:numPr>
          <w:ilvl w:val="1"/>
          <w:numId w:val="19"/>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网络流量和接入速率要求：主控端光纤接入速率≥100Mbps；分控端网络接入速率≥10Mbps；仅含开关控制的节点分控端网络接入速率≥2Mbps。</w:t>
      </w:r>
    </w:p>
    <w:p w:rsidR="00AB1940" w:rsidRDefault="00933D56">
      <w:pPr>
        <w:numPr>
          <w:ilvl w:val="1"/>
          <w:numId w:val="19"/>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采用4G时，参考值：RSRP值优于-80dbm，SINR值优于10。</w:t>
      </w:r>
    </w:p>
    <w:p w:rsidR="00AB1940" w:rsidRDefault="00933D56">
      <w:pPr>
        <w:pStyle w:val="3"/>
        <w:numPr>
          <w:ilvl w:val="0"/>
          <w:numId w:val="18"/>
        </w:numPr>
        <w:spacing w:line="360" w:lineRule="auto"/>
        <w:ind w:leftChars="0" w:firstLineChars="0" w:hanging="5"/>
        <w:rPr>
          <w:rFonts w:ascii="仿宋_GB2312" w:eastAsia="仿宋_GB2312" w:hAnsi="仿宋_GB2312" w:cs="仿宋_GB2312"/>
          <w:sz w:val="21"/>
          <w:szCs w:val="21"/>
        </w:rPr>
      </w:pPr>
      <w:bookmarkStart w:id="25" w:name="_Toc237"/>
      <w:r>
        <w:rPr>
          <w:rFonts w:ascii="仿宋_GB2312" w:eastAsia="仿宋_GB2312" w:hAnsi="仿宋_GB2312" w:cs="仿宋_GB2312" w:hint="eastAsia"/>
          <w:sz w:val="21"/>
          <w:szCs w:val="21"/>
        </w:rPr>
        <w:t>基本要求</w:t>
      </w:r>
      <w:bookmarkEnd w:id="25"/>
    </w:p>
    <w:p w:rsidR="00AB1940" w:rsidRDefault="00933D56">
      <w:pPr>
        <w:numPr>
          <w:ilvl w:val="0"/>
          <w:numId w:val="2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效果相关功能要求：</w:t>
      </w:r>
    </w:p>
    <w:p w:rsidR="00AB1940" w:rsidRDefault="00933D56">
      <w:pPr>
        <w:numPr>
          <w:ilvl w:val="0"/>
          <w:numId w:val="2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统一开关：通过网络连接，实现统一开关灯，统一动画播放的开启；</w:t>
      </w:r>
    </w:p>
    <w:p w:rsidR="00AB1940" w:rsidRDefault="00933D56">
      <w:pPr>
        <w:numPr>
          <w:ilvl w:val="0"/>
          <w:numId w:val="2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场景模式调整：根据设计场景需求调换各种模式；</w:t>
      </w:r>
    </w:p>
    <w:p w:rsidR="00AB1940" w:rsidRDefault="00933D56">
      <w:pPr>
        <w:numPr>
          <w:ilvl w:val="0"/>
          <w:numId w:val="2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日程设置：根据不同季节时令，调整开启时间和流程；</w:t>
      </w:r>
    </w:p>
    <w:p w:rsidR="00AB1940" w:rsidRDefault="00933D56">
      <w:pPr>
        <w:numPr>
          <w:ilvl w:val="0"/>
          <w:numId w:val="2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节目动画内容更改：节目动画片源的自动切分与下发，储存多套节目，根据需求调用节目；</w:t>
      </w:r>
    </w:p>
    <w:p w:rsidR="00AB1940" w:rsidRDefault="00933D56">
      <w:pPr>
        <w:numPr>
          <w:ilvl w:val="0"/>
          <w:numId w:val="2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远程控制：应急需求时，可一键式关停；</w:t>
      </w:r>
    </w:p>
    <w:p w:rsidR="00AB1940" w:rsidRDefault="00933D56">
      <w:pPr>
        <w:numPr>
          <w:ilvl w:val="0"/>
          <w:numId w:val="2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开放性和多元集成：总控制系统具备一定开放性，可集成舞台灯光设备、投影设备、水雾系统、互动系统等各子系统，在总控端具备对各子系统节目的更改、调用、配置等功能。</w:t>
      </w:r>
    </w:p>
    <w:p w:rsidR="00AB1940" w:rsidRDefault="00933D56">
      <w:pPr>
        <w:numPr>
          <w:ilvl w:val="0"/>
          <w:numId w:val="22"/>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与各品牌灯具的兼容性：项目中涉及多类型、多品牌的灯具，控制系统应具备与各家灯具产品的兼容性。</w:t>
      </w:r>
    </w:p>
    <w:p w:rsidR="00AB1940" w:rsidRDefault="00933D56">
      <w:pPr>
        <w:numPr>
          <w:ilvl w:val="0"/>
          <w:numId w:val="21"/>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管理相关功能要求：</w:t>
      </w:r>
    </w:p>
    <w:p w:rsidR="00AB1940" w:rsidRDefault="00933D56">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权限管理：登录账户的管理，分配使用权限的管理功能；</w:t>
      </w:r>
    </w:p>
    <w:p w:rsidR="00AB1940" w:rsidRDefault="00933D56">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数据管理：运行、检测等数据储存、统计、报表生成；</w:t>
      </w:r>
    </w:p>
    <w:p w:rsidR="00AB1940" w:rsidRDefault="00933D56">
      <w:pPr>
        <w:numPr>
          <w:ilvl w:val="0"/>
          <w:numId w:val="23"/>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检测管理（建议项）：实时数据采集（电压、电流等）、设备状态采集、网络信息、传感器、摄像头视频采集、报警管理（报警记录、通知）等。</w:t>
      </w:r>
    </w:p>
    <w:p w:rsidR="00AB1940" w:rsidRDefault="00933D56">
      <w:pPr>
        <w:pStyle w:val="3"/>
        <w:numPr>
          <w:ilvl w:val="0"/>
          <w:numId w:val="18"/>
        </w:numPr>
        <w:spacing w:line="360" w:lineRule="auto"/>
        <w:ind w:leftChars="0" w:firstLineChars="0" w:hanging="5"/>
        <w:rPr>
          <w:rFonts w:ascii="仿宋_GB2312" w:eastAsia="仿宋_GB2312" w:hAnsi="仿宋_GB2312" w:cs="仿宋_GB2312"/>
          <w:sz w:val="21"/>
          <w:szCs w:val="21"/>
        </w:rPr>
      </w:pPr>
      <w:bookmarkStart w:id="26" w:name="_Toc31641"/>
      <w:r>
        <w:rPr>
          <w:rFonts w:ascii="仿宋_GB2312" w:eastAsia="仿宋_GB2312" w:hAnsi="仿宋_GB2312" w:cs="仿宋_GB2312" w:hint="eastAsia"/>
          <w:sz w:val="21"/>
          <w:szCs w:val="21"/>
        </w:rPr>
        <w:t>系统运行基本要求</w:t>
      </w:r>
      <w:bookmarkEnd w:id="26"/>
    </w:p>
    <w:p w:rsidR="00AB1940" w:rsidRDefault="00933D56">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1标准化</w:t>
      </w:r>
    </w:p>
    <w:p w:rsidR="00AB1940" w:rsidRDefault="00933D56">
      <w:pPr>
        <w:pStyle w:val="10"/>
        <w:numPr>
          <w:ilvl w:val="0"/>
          <w:numId w:val="24"/>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数据模型设计遵循业主管理中心统一标准；</w:t>
      </w:r>
    </w:p>
    <w:p w:rsidR="00AB1940" w:rsidRDefault="00933D56">
      <w:pPr>
        <w:pStyle w:val="10"/>
        <w:numPr>
          <w:ilvl w:val="0"/>
          <w:numId w:val="24"/>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系统间接口遵循业主管理中心制定的统一接口标准。</w:t>
      </w:r>
    </w:p>
    <w:p w:rsidR="00AB1940" w:rsidRDefault="00933D56">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2可靠性</w:t>
      </w:r>
    </w:p>
    <w:p w:rsidR="00AB1940" w:rsidRDefault="00933D56">
      <w:pPr>
        <w:pStyle w:val="10"/>
        <w:numPr>
          <w:ilvl w:val="0"/>
          <w:numId w:val="25"/>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总控系统的关键节点应采用合适的冗余策略，在运行过程中不应出现操作失效、数据丢失或数据不一致的情况；</w:t>
      </w:r>
    </w:p>
    <w:p w:rsidR="00AB1940" w:rsidRDefault="00933D56">
      <w:pPr>
        <w:pStyle w:val="10"/>
        <w:numPr>
          <w:ilvl w:val="0"/>
          <w:numId w:val="25"/>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lastRenderedPageBreak/>
        <w:t>对于配置了集群的系统具备集群失效时正常运行的能力；</w:t>
      </w:r>
    </w:p>
    <w:p w:rsidR="00AB1940" w:rsidRDefault="00933D56">
      <w:pPr>
        <w:pStyle w:val="10"/>
        <w:numPr>
          <w:ilvl w:val="0"/>
          <w:numId w:val="25"/>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系统不得因商用数据库的失效而中断运行。</w:t>
      </w:r>
    </w:p>
    <w:p w:rsidR="00AB1940" w:rsidRDefault="00933D56">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3安全性要求</w:t>
      </w:r>
    </w:p>
    <w:p w:rsidR="00AB1940" w:rsidRDefault="00933D56">
      <w:pPr>
        <w:pStyle w:val="10"/>
        <w:numPr>
          <w:ilvl w:val="0"/>
          <w:numId w:val="26"/>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系统应采取严格的措施来确保各项操作的安全性，具有完善的权限管理机制，防止未授权用户非法访问系统、非法获取信息或进行非法操作，确保数据信息的安全。</w:t>
      </w:r>
    </w:p>
    <w:p w:rsidR="00AB1940" w:rsidRDefault="00933D56">
      <w:pPr>
        <w:pStyle w:val="10"/>
        <w:numPr>
          <w:ilvl w:val="0"/>
          <w:numId w:val="26"/>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数据通信采取加密方式，防止数据被截获、破解。</w:t>
      </w:r>
    </w:p>
    <w:p w:rsidR="00AB1940" w:rsidRDefault="00933D56">
      <w:pPr>
        <w:spacing w:line="360" w:lineRule="auto"/>
        <w:ind w:left="4" w:firstLine="416"/>
        <w:rPr>
          <w:rFonts w:ascii="仿宋_GB2312" w:eastAsia="仿宋_GB2312" w:hAnsi="仿宋_GB2312" w:cs="仿宋_GB2312"/>
          <w:szCs w:val="21"/>
        </w:rPr>
      </w:pPr>
      <w:r>
        <w:rPr>
          <w:rFonts w:ascii="仿宋_GB2312" w:eastAsia="仿宋_GB2312" w:hAnsi="仿宋_GB2312" w:cs="仿宋_GB2312" w:hint="eastAsia"/>
          <w:szCs w:val="21"/>
        </w:rPr>
        <w:t>4实时性要求：系统必须保证数据采集、处理、传输、显示，报警、执行控制命令的实时性，满足景观照明运营要求。</w:t>
      </w:r>
    </w:p>
    <w:p w:rsidR="00AB1940" w:rsidRDefault="00933D56">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5实用性要求</w:t>
      </w:r>
    </w:p>
    <w:p w:rsidR="00AB1940" w:rsidRDefault="00933D56">
      <w:pPr>
        <w:pStyle w:val="10"/>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应具备正常运行模式和紧急运行模式；</w:t>
      </w:r>
    </w:p>
    <w:p w:rsidR="00AB1940" w:rsidRDefault="00933D56">
      <w:pPr>
        <w:pStyle w:val="10"/>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应具备完善、实用的各集成互连系统联动功能；</w:t>
      </w:r>
    </w:p>
    <w:p w:rsidR="00AB1940" w:rsidRDefault="00933D56">
      <w:pPr>
        <w:pStyle w:val="10"/>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应具有报警管理功能，报警可分级配置、可过滤；</w:t>
      </w:r>
    </w:p>
    <w:p w:rsidR="00AB1940" w:rsidRDefault="00933D56">
      <w:pPr>
        <w:pStyle w:val="10"/>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应具有完善的历史数据记录、分类、查询、转储、显示、统计分析等管理功能；</w:t>
      </w:r>
    </w:p>
    <w:p w:rsidR="00AB1940" w:rsidRDefault="00933D56">
      <w:pPr>
        <w:pStyle w:val="10"/>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应便于组态、调试；</w:t>
      </w:r>
    </w:p>
    <w:p w:rsidR="00AB1940" w:rsidRDefault="00933D56">
      <w:pPr>
        <w:pStyle w:val="10"/>
        <w:numPr>
          <w:ilvl w:val="0"/>
          <w:numId w:val="27"/>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应有利于制定合理的运营管理模式，提高景观照明的运营管理水平。</w:t>
      </w:r>
    </w:p>
    <w:p w:rsidR="00AB1940" w:rsidRDefault="00933D56">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6可维护性要求</w:t>
      </w:r>
    </w:p>
    <w:p w:rsidR="00AB1940" w:rsidRDefault="00933D56">
      <w:pPr>
        <w:pStyle w:val="10"/>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系统设计应包括有适当的测点及诊断措施，具有自身设备（如计算机、网络设备等）的监视管理系统；</w:t>
      </w:r>
    </w:p>
    <w:p w:rsidR="00AB1940" w:rsidRDefault="00933D56">
      <w:pPr>
        <w:pStyle w:val="10"/>
        <w:numPr>
          <w:ilvl w:val="0"/>
          <w:numId w:val="28"/>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应选用统一的、优化的硬件平台，设备标准化，降低维护、维修成本。</w:t>
      </w:r>
    </w:p>
    <w:p w:rsidR="00AB1940" w:rsidRDefault="00933D56">
      <w:pPr>
        <w:spacing w:line="360" w:lineRule="auto"/>
        <w:ind w:left="424" w:hanging="4"/>
        <w:rPr>
          <w:rFonts w:ascii="仿宋_GB2312" w:eastAsia="仿宋_GB2312" w:hAnsi="仿宋_GB2312" w:cs="仿宋_GB2312"/>
          <w:szCs w:val="21"/>
        </w:rPr>
      </w:pPr>
      <w:r>
        <w:rPr>
          <w:rFonts w:ascii="仿宋_GB2312" w:eastAsia="仿宋_GB2312" w:hAnsi="仿宋_GB2312" w:cs="仿宋_GB2312" w:hint="eastAsia"/>
          <w:szCs w:val="21"/>
        </w:rPr>
        <w:t>7开放性要求</w:t>
      </w:r>
    </w:p>
    <w:p w:rsidR="00AB1940" w:rsidRDefault="00933D56">
      <w:pPr>
        <w:pStyle w:val="10"/>
        <w:numPr>
          <w:ilvl w:val="0"/>
          <w:numId w:val="2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系统应提供统一标准接口，支持第三方应用集成；</w:t>
      </w:r>
    </w:p>
    <w:p w:rsidR="00AB1940" w:rsidRDefault="00933D56">
      <w:pPr>
        <w:pStyle w:val="10"/>
        <w:numPr>
          <w:ilvl w:val="0"/>
          <w:numId w:val="2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系统应具有良好的软件和硬件在线可扩展性；</w:t>
      </w:r>
    </w:p>
    <w:p w:rsidR="00AB1940" w:rsidRDefault="00933D56">
      <w:pPr>
        <w:pStyle w:val="10"/>
        <w:numPr>
          <w:ilvl w:val="0"/>
          <w:numId w:val="29"/>
        </w:numPr>
        <w:spacing w:line="360" w:lineRule="auto"/>
        <w:ind w:firstLine="420"/>
        <w:rPr>
          <w:rFonts w:ascii="仿宋_GB2312" w:eastAsia="仿宋_GB2312" w:hAnsi="仿宋_GB2312" w:cs="仿宋_GB2312"/>
          <w:szCs w:val="21"/>
        </w:rPr>
      </w:pPr>
      <w:r>
        <w:rPr>
          <w:rFonts w:ascii="仿宋_GB2312" w:eastAsia="仿宋_GB2312" w:hAnsi="仿宋_GB2312" w:cs="仿宋_GB2312" w:hint="eastAsia"/>
          <w:szCs w:val="21"/>
        </w:rPr>
        <w:t>系统容量可扩充。</w:t>
      </w:r>
    </w:p>
    <w:p w:rsidR="00AB1940" w:rsidRDefault="00933D56">
      <w:pPr>
        <w:pStyle w:val="3"/>
        <w:numPr>
          <w:ilvl w:val="0"/>
          <w:numId w:val="18"/>
        </w:numPr>
        <w:spacing w:line="360" w:lineRule="auto"/>
        <w:ind w:leftChars="0" w:firstLineChars="0" w:hanging="5"/>
        <w:rPr>
          <w:rFonts w:ascii="仿宋_GB2312" w:eastAsia="仿宋_GB2312" w:hAnsi="仿宋_GB2312" w:cs="仿宋_GB2312"/>
          <w:sz w:val="21"/>
          <w:szCs w:val="21"/>
        </w:rPr>
      </w:pPr>
      <w:bookmarkStart w:id="27" w:name="_Toc7776"/>
      <w:r>
        <w:rPr>
          <w:rFonts w:ascii="仿宋_GB2312" w:eastAsia="仿宋_GB2312" w:hAnsi="仿宋_GB2312" w:cs="仿宋_GB2312" w:hint="eastAsia"/>
          <w:sz w:val="21"/>
          <w:szCs w:val="21"/>
        </w:rPr>
        <w:t>弱电变化控制系统</w:t>
      </w:r>
      <w:bookmarkEnd w:id="27"/>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控制系统网络通信协议使用TCP/IP或UDP数据传输方式。</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控制系统采用标准DMX512及DMX512-A控制协议。</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主控系统支持双机备份功能。</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 xml:space="preserve">主控制器具备≥200万个像素（RGB）控制能力。 </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软硬件设备具备连接其他设备的相应接口。</w:t>
      </w:r>
    </w:p>
    <w:p w:rsidR="00AB1940" w:rsidRDefault="00933D56">
      <w:pPr>
        <w:numPr>
          <w:ilvl w:val="0"/>
          <w:numId w:val="31"/>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控制强电系统的接口；</w:t>
      </w:r>
    </w:p>
    <w:p w:rsidR="00AB1940" w:rsidRDefault="00933D56">
      <w:pPr>
        <w:numPr>
          <w:ilvl w:val="0"/>
          <w:numId w:val="31"/>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lastRenderedPageBreak/>
        <w:t>控制投影秀、光束灯等第三方设备的接口；</w:t>
      </w:r>
    </w:p>
    <w:p w:rsidR="00AB1940" w:rsidRDefault="00933D56">
      <w:pPr>
        <w:numPr>
          <w:ilvl w:val="0"/>
          <w:numId w:val="31"/>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与实现灯光互动功能相关设备对接的接口。</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预留标准TCP/IP、DMX512-A、RS485扩展接口至少2个，可连接其他扩展设备。</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所有动态变化方式可以在总控进行编辑，可在非开灯时间进行下载传输。</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软件界面操作简单，可通过无线终端如iPad/iPhone、专用手机等操作；能够依据需求进行定制，包括文字、图片、Logo、按钮、状态信息等。</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软件系统具有自动更新下载的功能，新的场景或播放列表可以远程更新。</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软件系统可进行定时设置，实现任意时刻的场景自动播放。</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软件系统储存并随时调用＞32套节目，支持短时间内便捷更换节目内容。</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软件系统具备布灯文件，将计算机屏幕上显示的画面通过该文件在LED灯具上显示出来，后期升级软件后，不必重新制作布灯文件。</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软件系统可以实现实时视频文件或图形效果文件的自动切割和分发。</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软件系统具有断网工作能力，在无网络信号的情况下可脱机工作。</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硬件设备就近放置于照明配电箱附近，专用控制箱或者置于配电箱内。</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硬件设备控制端口到第一套灯具的通信距离不小于100米。</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硬件设备要求工作温度温度-20～60℃，相对湿度0％～80％且无人值守的环境下长期稳定工作。</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硬件设备支持防雷及POE，光电隔离浪涌抑制保护的功能。</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硬件设备具备通讯保护功能：控制设备必须具备浪涌抑制保护的功能，静电抑制保护功能，过压、短路、过温保护功能和斜率、空闲保护功能。</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硬件设备与灯具质保期限一致。</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硬件设备应符合国家CCC、EMC/EMI等相应标准。</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主控制器设置密码锁，防止随意篡改程序。</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分控设备具有识别主控功能，不接受其他设备控制。</w:t>
      </w:r>
    </w:p>
    <w:p w:rsidR="00AB1940" w:rsidRDefault="00933D56">
      <w:pPr>
        <w:numPr>
          <w:ilvl w:val="0"/>
          <w:numId w:val="30"/>
        </w:numPr>
        <w:spacing w:line="360" w:lineRule="auto"/>
        <w:rPr>
          <w:rFonts w:ascii="仿宋_GB2312" w:eastAsia="仿宋_GB2312" w:hAnsi="仿宋_GB2312" w:cs="仿宋_GB2312"/>
          <w:szCs w:val="21"/>
        </w:rPr>
      </w:pPr>
      <w:r>
        <w:rPr>
          <w:rFonts w:ascii="仿宋_GB2312" w:eastAsia="仿宋_GB2312" w:hAnsi="仿宋_GB2312" w:cs="仿宋_GB2312" w:hint="eastAsia"/>
          <w:szCs w:val="21"/>
        </w:rPr>
        <w:t>电气负荷为三级负荷，硬件设备具有上电后运行状态自恢复功能，保证在上电后装置能立即恢复到正常的工作状态。</w:t>
      </w:r>
      <w:bookmarkEnd w:id="20"/>
      <w:r>
        <w:rPr>
          <w:rFonts w:ascii="仿宋_GB2312" w:eastAsia="仿宋_GB2312" w:hAnsi="仿宋_GB2312" w:cs="仿宋_GB2312" w:hint="eastAsia"/>
          <w:szCs w:val="21"/>
        </w:rPr>
        <w:t xml:space="preserve"> </w:t>
      </w:r>
      <w:bookmarkStart w:id="28" w:name="_Toc13459"/>
    </w:p>
    <w:p w:rsidR="00AB1940" w:rsidRDefault="00933D56">
      <w:pPr>
        <w:pStyle w:val="2"/>
        <w:spacing w:line="360" w:lineRule="auto"/>
        <w:ind w:left="420"/>
        <w:rPr>
          <w:rFonts w:ascii="仿宋_GB2312" w:eastAsia="仿宋_GB2312" w:hAnsi="仿宋_GB2312" w:cs="仿宋_GB2312"/>
          <w:sz w:val="28"/>
          <w:szCs w:val="28"/>
        </w:rPr>
      </w:pPr>
      <w:r>
        <w:rPr>
          <w:rFonts w:ascii="仿宋_GB2312" w:eastAsia="仿宋_GB2312" w:hAnsi="仿宋_GB2312" w:cs="仿宋_GB2312" w:hint="eastAsia"/>
          <w:sz w:val="28"/>
          <w:szCs w:val="28"/>
        </w:rPr>
        <w:t>（五）景观灯具检测要求</w:t>
      </w:r>
      <w:bookmarkEnd w:id="28"/>
    </w:p>
    <w:p w:rsidR="00AB1940" w:rsidRDefault="00933D56">
      <w:pPr>
        <w:pStyle w:val="3"/>
        <w:numPr>
          <w:ilvl w:val="0"/>
          <w:numId w:val="32"/>
        </w:numPr>
        <w:spacing w:line="360" w:lineRule="auto"/>
        <w:ind w:leftChars="0" w:firstLineChars="0" w:hanging="5"/>
        <w:rPr>
          <w:rFonts w:ascii="仿宋_GB2312" w:eastAsia="仿宋_GB2312" w:hAnsi="仿宋_GB2312" w:cs="仿宋_GB2312"/>
          <w:sz w:val="21"/>
          <w:szCs w:val="21"/>
        </w:rPr>
      </w:pPr>
      <w:bookmarkStart w:id="29" w:name="_Toc30365"/>
      <w:r>
        <w:rPr>
          <w:rFonts w:ascii="仿宋_GB2312" w:eastAsia="仿宋_GB2312" w:hAnsi="仿宋_GB2312" w:cs="仿宋_GB2312" w:hint="eastAsia"/>
          <w:sz w:val="21"/>
          <w:szCs w:val="21"/>
        </w:rPr>
        <w:t>说明</w:t>
      </w:r>
      <w:bookmarkEnd w:id="29"/>
    </w:p>
    <w:p w:rsidR="00AB1940" w:rsidRDefault="00933D56">
      <w:pPr>
        <w:spacing w:line="360" w:lineRule="auto"/>
        <w:ind w:firstLineChars="131" w:firstLine="276"/>
        <w:rPr>
          <w:rFonts w:ascii="仿宋_GB2312" w:eastAsia="仿宋_GB2312" w:hAnsi="仿宋_GB2312" w:cs="仿宋_GB2312"/>
          <w:b/>
          <w:bCs/>
          <w:szCs w:val="21"/>
        </w:rPr>
      </w:pPr>
      <w:r>
        <w:rPr>
          <w:rFonts w:ascii="仿宋_GB2312" w:eastAsia="仿宋_GB2312" w:hAnsi="仿宋_GB2312" w:cs="仿宋_GB2312" w:hint="eastAsia"/>
          <w:b/>
          <w:bCs/>
          <w:szCs w:val="21"/>
        </w:rPr>
        <w:t>所有检测机构均必须为“国家级权威检测机构”。</w:t>
      </w:r>
    </w:p>
    <w:p w:rsidR="00AB1940" w:rsidRDefault="00933D56">
      <w:pPr>
        <w:pStyle w:val="3"/>
        <w:numPr>
          <w:ilvl w:val="0"/>
          <w:numId w:val="32"/>
        </w:numPr>
        <w:spacing w:line="360" w:lineRule="auto"/>
        <w:ind w:leftChars="0" w:firstLineChars="0" w:hanging="5"/>
        <w:rPr>
          <w:rFonts w:ascii="仿宋_GB2312" w:eastAsia="仿宋_GB2312" w:hAnsi="仿宋_GB2312" w:cs="仿宋_GB2312"/>
          <w:sz w:val="21"/>
          <w:szCs w:val="21"/>
        </w:rPr>
      </w:pPr>
      <w:bookmarkStart w:id="30" w:name="_Toc6588"/>
      <w:r>
        <w:rPr>
          <w:rFonts w:ascii="仿宋_GB2312" w:eastAsia="仿宋_GB2312" w:hAnsi="仿宋_GB2312" w:cs="仿宋_GB2312" w:hint="eastAsia"/>
          <w:sz w:val="21"/>
          <w:szCs w:val="21"/>
        </w:rPr>
        <w:lastRenderedPageBreak/>
        <w:t>灯具不同阶段检测项目</w:t>
      </w:r>
      <w:bookmarkEnd w:id="30"/>
    </w:p>
    <w:tbl>
      <w:tblPr>
        <w:tblW w:w="8314" w:type="dxa"/>
        <w:jc w:val="center"/>
        <w:tblLayout w:type="fixed"/>
        <w:tblCellMar>
          <w:left w:w="0" w:type="dxa"/>
          <w:right w:w="0" w:type="dxa"/>
        </w:tblCellMar>
        <w:tblLook w:val="04A0" w:firstRow="1" w:lastRow="0" w:firstColumn="1" w:lastColumn="0" w:noHBand="0" w:noVBand="1"/>
      </w:tblPr>
      <w:tblGrid>
        <w:gridCol w:w="807"/>
        <w:gridCol w:w="5995"/>
        <w:gridCol w:w="1512"/>
      </w:tblGrid>
      <w:tr w:rsidR="00AB1940">
        <w:trPr>
          <w:trHeight w:val="91"/>
          <w:tblHeader/>
          <w:jc w:val="center"/>
        </w:trPr>
        <w:tc>
          <w:tcPr>
            <w:tcW w:w="807" w:type="dxa"/>
            <w:tcBorders>
              <w:top w:val="single" w:sz="4" w:space="0" w:color="000000"/>
              <w:left w:val="single" w:sz="4" w:space="0" w:color="000000"/>
              <w:right w:val="single" w:sz="4" w:space="0" w:color="000000"/>
            </w:tcBorders>
            <w:shd w:val="clear" w:color="auto" w:fill="D8D8D8" w:themeFill="background1" w:themeFillShade="D8"/>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b/>
                <w:bCs/>
                <w:szCs w:val="21"/>
              </w:rPr>
            </w:pPr>
            <w:r>
              <w:rPr>
                <w:rFonts w:ascii="仿宋_GB2312" w:eastAsia="仿宋_GB2312" w:hAnsi="仿宋_GB2312" w:cs="仿宋_GB2312" w:hint="eastAsia"/>
                <w:b/>
                <w:bCs/>
                <w:szCs w:val="21"/>
              </w:rPr>
              <w:t>序号</w:t>
            </w:r>
          </w:p>
        </w:tc>
        <w:tc>
          <w:tcPr>
            <w:tcW w:w="5995"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b/>
                <w:bCs/>
                <w:szCs w:val="21"/>
              </w:rPr>
            </w:pPr>
            <w:r>
              <w:rPr>
                <w:rFonts w:ascii="仿宋_GB2312" w:eastAsia="仿宋_GB2312" w:hAnsi="仿宋_GB2312" w:cs="仿宋_GB2312" w:hint="eastAsia"/>
                <w:b/>
                <w:bCs/>
                <w:szCs w:val="21"/>
              </w:rPr>
              <w:t>检测项目</w:t>
            </w:r>
          </w:p>
        </w:tc>
        <w:tc>
          <w:tcPr>
            <w:tcW w:w="1512" w:type="dxa"/>
            <w:tcBorders>
              <w:top w:val="single" w:sz="4" w:space="0" w:color="000000"/>
              <w:left w:val="nil"/>
              <w:bottom w:val="single" w:sz="4" w:space="0" w:color="auto"/>
              <w:right w:val="single" w:sz="4" w:space="0" w:color="000000"/>
            </w:tcBorders>
            <w:shd w:val="clear" w:color="auto" w:fill="D8D8D8" w:themeFill="background1" w:themeFillShade="D8"/>
            <w:tcMar>
              <w:top w:w="4" w:type="dxa"/>
              <w:left w:w="4" w:type="dxa"/>
              <w:bottom w:w="0" w:type="dxa"/>
              <w:right w:w="4" w:type="dxa"/>
            </w:tcMar>
            <w:vAlign w:val="center"/>
          </w:tcPr>
          <w:p w:rsidR="00AB1940" w:rsidRDefault="00933D56">
            <w:pPr>
              <w:jc w:val="center"/>
              <w:rPr>
                <w:rFonts w:ascii="仿宋_GB2312" w:eastAsia="仿宋_GB2312" w:hAnsi="仿宋_GB2312" w:cs="仿宋_GB2312"/>
                <w:b/>
                <w:bCs/>
                <w:szCs w:val="21"/>
              </w:rPr>
            </w:pPr>
            <w:r>
              <w:rPr>
                <w:rFonts w:ascii="仿宋_GB2312" w:eastAsia="仿宋_GB2312" w:hAnsi="仿宋_GB2312" w:cs="仿宋_GB2312" w:hint="eastAsia"/>
                <w:b/>
                <w:bCs/>
                <w:szCs w:val="21"/>
              </w:rPr>
              <w:t>质保期期间</w:t>
            </w:r>
          </w:p>
          <w:p w:rsidR="00AB1940" w:rsidRDefault="00933D56">
            <w:pPr>
              <w:jc w:val="center"/>
              <w:rPr>
                <w:rFonts w:ascii="仿宋_GB2312" w:eastAsia="仿宋_GB2312" w:hAnsi="仿宋_GB2312" w:cs="仿宋_GB2312"/>
                <w:b/>
                <w:bCs/>
                <w:szCs w:val="21"/>
              </w:rPr>
            </w:pPr>
            <w:r>
              <w:rPr>
                <w:rFonts w:ascii="仿宋_GB2312" w:eastAsia="仿宋_GB2312" w:hAnsi="仿宋_GB2312" w:cs="仿宋_GB2312" w:hint="eastAsia"/>
                <w:b/>
                <w:bCs/>
                <w:szCs w:val="21"/>
              </w:rPr>
              <w:t>全部灯具</w:t>
            </w:r>
          </w:p>
          <w:p w:rsidR="00AB1940" w:rsidRDefault="00933D56">
            <w:pPr>
              <w:jc w:val="center"/>
              <w:rPr>
                <w:rFonts w:ascii="仿宋_GB2312" w:eastAsia="仿宋_GB2312" w:hAnsi="仿宋_GB2312" w:cs="仿宋_GB2312"/>
                <w:b/>
                <w:bCs/>
                <w:szCs w:val="21"/>
              </w:rPr>
            </w:pPr>
            <w:r>
              <w:rPr>
                <w:rFonts w:ascii="仿宋_GB2312" w:eastAsia="仿宋_GB2312" w:hAnsi="仿宋_GB2312" w:cs="仿宋_GB2312" w:hint="eastAsia"/>
                <w:b/>
                <w:bCs/>
                <w:szCs w:val="21"/>
              </w:rPr>
              <w:t>抽检项目</w:t>
            </w:r>
          </w:p>
        </w:tc>
      </w:tr>
      <w:tr w:rsidR="00AB1940">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1</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色度参数：相关色温、波长、色容差（仅2700K-6500K）。</w:t>
            </w:r>
          </w:p>
        </w:tc>
        <w:tc>
          <w:tcPr>
            <w:tcW w:w="1512" w:type="dxa"/>
            <w:tcBorders>
              <w:top w:val="single" w:sz="4" w:space="0" w:color="000000"/>
              <w:left w:val="single" w:sz="4" w:space="0" w:color="auto"/>
              <w:bottom w:val="single" w:sz="4" w:space="0" w:color="auto"/>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AB1940">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2</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电参数： 电压、电流、功率、功率因数（如果为交流供电）</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AB1940">
        <w:trPr>
          <w:trHeight w:val="468"/>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3</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光度参数：配光曲线、光强、光束角/半峰发散角、光通量、整灯光效</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AB1940">
        <w:trPr>
          <w:trHeight w:val="90"/>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4</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外部接线和内部接线</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AB1940">
        <w:trPr>
          <w:trHeight w:val="494"/>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5</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rPr>
                <w:rFonts w:ascii="仿宋_GB2312" w:eastAsia="仿宋_GB2312" w:hAnsi="仿宋_GB2312" w:cs="仿宋_GB2312"/>
                <w:b/>
                <w:bCs/>
                <w:szCs w:val="21"/>
                <w:u w:val="single"/>
              </w:rPr>
            </w:pPr>
            <w:r>
              <w:rPr>
                <w:rFonts w:ascii="仿宋_GB2312" w:eastAsia="仿宋_GB2312" w:hAnsi="仿宋_GB2312" w:cs="仿宋_GB2312" w:hint="eastAsia"/>
                <w:b/>
                <w:bCs/>
                <w:szCs w:val="21"/>
                <w:u w:val="single"/>
              </w:rPr>
              <w:t>防尘、防固体异物和防水：</w:t>
            </w:r>
          </w:p>
          <w:p w:rsidR="00AB1940" w:rsidRDefault="00933D56">
            <w:pPr>
              <w:spacing w:line="360" w:lineRule="auto"/>
              <w:rPr>
                <w:rFonts w:ascii="仿宋_GB2312" w:eastAsia="仿宋_GB2312" w:hAnsi="仿宋_GB2312" w:cs="仿宋_GB2312"/>
                <w:szCs w:val="21"/>
              </w:rPr>
            </w:pPr>
            <w:r>
              <w:rPr>
                <w:rFonts w:ascii="仿宋_GB2312" w:eastAsia="仿宋_GB2312" w:hAnsi="仿宋_GB2312" w:cs="仿宋_GB2312" w:hint="eastAsia"/>
                <w:b/>
                <w:bCs/>
                <w:szCs w:val="21"/>
                <w:u w:val="single"/>
              </w:rPr>
              <w:t>一般灯具≥IP65。</w:t>
            </w:r>
          </w:p>
        </w:tc>
        <w:tc>
          <w:tcPr>
            <w:tcW w:w="1512" w:type="dxa"/>
            <w:tcBorders>
              <w:top w:val="single" w:sz="4" w:space="0" w:color="000000"/>
              <w:left w:val="single" w:sz="4" w:space="0" w:color="auto"/>
              <w:bottom w:val="single" w:sz="4" w:space="0" w:color="000000"/>
              <w:right w:val="single" w:sz="4" w:space="0" w:color="000000"/>
            </w:tcBorders>
            <w:shd w:val="clear" w:color="auto" w:fill="auto"/>
            <w:tcMar>
              <w:top w:w="4" w:type="dxa"/>
              <w:left w:w="4" w:type="dxa"/>
              <w:bottom w:w="0" w:type="dxa"/>
              <w:right w:w="4" w:type="dxa"/>
            </w:tcMar>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w:t>
            </w:r>
          </w:p>
        </w:tc>
      </w:tr>
      <w:tr w:rsidR="00AB1940">
        <w:trPr>
          <w:trHeight w:val="267"/>
          <w:jc w:val="center"/>
        </w:trPr>
        <w:tc>
          <w:tcPr>
            <w:tcW w:w="807" w:type="dxa"/>
            <w:tcBorders>
              <w:top w:val="single" w:sz="4" w:space="0" w:color="auto"/>
              <w:left w:val="single" w:sz="4" w:space="0" w:color="auto"/>
              <w:bottom w:val="single" w:sz="4" w:space="0" w:color="auto"/>
              <w:right w:val="single" w:sz="4" w:space="0" w:color="auto"/>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6</w:t>
            </w:r>
          </w:p>
        </w:tc>
        <w:tc>
          <w:tcPr>
            <w:tcW w:w="5995"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left"/>
              <w:rPr>
                <w:rFonts w:ascii="仿宋_GB2312" w:eastAsia="仿宋_GB2312" w:hAnsi="仿宋_GB2312" w:cs="仿宋_GB2312"/>
                <w:szCs w:val="21"/>
              </w:rPr>
            </w:pPr>
            <w:r>
              <w:rPr>
                <w:rFonts w:ascii="仿宋_GB2312" w:eastAsia="仿宋_GB2312" w:hAnsi="仿宋_GB2312" w:cs="仿宋_GB2312" w:hint="eastAsia"/>
                <w:szCs w:val="21"/>
              </w:rPr>
              <w:t>潮湿后的绝缘电阻和电气强度</w:t>
            </w:r>
          </w:p>
        </w:tc>
        <w:tc>
          <w:tcPr>
            <w:tcW w:w="1512" w:type="dxa"/>
            <w:tcBorders>
              <w:top w:val="single" w:sz="4" w:space="0" w:color="000000"/>
              <w:left w:val="nil"/>
              <w:bottom w:val="single" w:sz="4" w:space="0" w:color="000000"/>
              <w:right w:val="single" w:sz="4" w:space="0" w:color="000000"/>
            </w:tcBorders>
            <w:shd w:val="clear" w:color="auto" w:fill="FFFFFF"/>
            <w:tcMar>
              <w:top w:w="4" w:type="dxa"/>
              <w:left w:w="4" w:type="dxa"/>
              <w:bottom w:w="0" w:type="dxa"/>
              <w:right w:w="4" w:type="dxa"/>
            </w:tcMar>
            <w:vAlign w:val="center"/>
          </w:tcPr>
          <w:p w:rsidR="00AB1940" w:rsidRDefault="00933D56">
            <w:pPr>
              <w:spacing w:line="360" w:lineRule="auto"/>
              <w:jc w:val="center"/>
              <w:rPr>
                <w:rFonts w:ascii="仿宋_GB2312" w:eastAsia="仿宋_GB2312" w:hAnsi="仿宋_GB2312" w:cs="仿宋_GB2312"/>
                <w:szCs w:val="21"/>
              </w:rPr>
            </w:pPr>
            <w:r>
              <w:rPr>
                <w:rFonts w:ascii="仿宋_GB2312" w:eastAsia="仿宋_GB2312" w:hAnsi="仿宋_GB2312" w:cs="仿宋_GB2312" w:hint="eastAsia"/>
                <w:szCs w:val="21"/>
              </w:rPr>
              <w:t>√</w:t>
            </w:r>
          </w:p>
        </w:tc>
      </w:tr>
    </w:tbl>
    <w:p w:rsidR="00AB1940" w:rsidRDefault="00933D56">
      <w:pPr>
        <w:pStyle w:val="3"/>
        <w:numPr>
          <w:ilvl w:val="0"/>
          <w:numId w:val="32"/>
        </w:numPr>
        <w:spacing w:line="360" w:lineRule="auto"/>
        <w:ind w:leftChars="0" w:firstLineChars="0" w:hanging="5"/>
        <w:rPr>
          <w:rFonts w:ascii="仿宋_GB2312" w:eastAsia="仿宋_GB2312" w:hAnsi="仿宋_GB2312" w:cs="仿宋_GB2312"/>
          <w:sz w:val="21"/>
          <w:szCs w:val="21"/>
        </w:rPr>
      </w:pPr>
      <w:bookmarkStart w:id="31" w:name="_Toc12436"/>
      <w:r>
        <w:rPr>
          <w:rFonts w:ascii="仿宋_GB2312" w:eastAsia="仿宋_GB2312" w:hAnsi="仿宋_GB2312" w:cs="仿宋_GB2312" w:hint="eastAsia"/>
          <w:sz w:val="21"/>
          <w:szCs w:val="21"/>
        </w:rPr>
        <w:t>质保期期间灯具其他抽检项目</w:t>
      </w:r>
      <w:bookmarkEnd w:id="31"/>
    </w:p>
    <w:tbl>
      <w:tblPr>
        <w:tblW w:w="8298" w:type="dxa"/>
        <w:jc w:val="center"/>
        <w:tblLayout w:type="fixed"/>
        <w:tblCellMar>
          <w:top w:w="15" w:type="dxa"/>
          <w:left w:w="15" w:type="dxa"/>
          <w:bottom w:w="15" w:type="dxa"/>
          <w:right w:w="15" w:type="dxa"/>
        </w:tblCellMar>
        <w:tblLook w:val="04A0" w:firstRow="1" w:lastRow="0" w:firstColumn="1" w:lastColumn="0" w:noHBand="0" w:noVBand="1"/>
      </w:tblPr>
      <w:tblGrid>
        <w:gridCol w:w="488"/>
        <w:gridCol w:w="1861"/>
        <w:gridCol w:w="5949"/>
      </w:tblGrid>
      <w:tr w:rsidR="00AB1940">
        <w:trPr>
          <w:trHeight w:val="681"/>
          <w:tblHeader/>
          <w:jc w:val="center"/>
        </w:trPr>
        <w:tc>
          <w:tcPr>
            <w:tcW w:w="488"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AB1940" w:rsidRDefault="00933D56">
            <w:pPr>
              <w:spacing w:line="360" w:lineRule="auto"/>
              <w:jc w:val="center"/>
              <w:rPr>
                <w:rFonts w:ascii="仿宋_GB2312" w:eastAsia="仿宋_GB2312" w:hAnsi="仿宋_GB2312" w:cs="仿宋_GB2312"/>
                <w:b/>
                <w:szCs w:val="21"/>
              </w:rPr>
            </w:pPr>
            <w:r>
              <w:rPr>
                <w:rFonts w:ascii="仿宋_GB2312" w:eastAsia="仿宋_GB2312" w:hAnsi="仿宋_GB2312" w:cs="仿宋_GB2312" w:hint="eastAsia"/>
                <w:b/>
                <w:bCs/>
                <w:szCs w:val="21"/>
              </w:rPr>
              <w:t>序号</w:t>
            </w:r>
          </w:p>
        </w:tc>
        <w:tc>
          <w:tcPr>
            <w:tcW w:w="1861"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AB1940" w:rsidRDefault="00933D56">
            <w:pPr>
              <w:spacing w:line="360" w:lineRule="auto"/>
              <w:jc w:val="center"/>
              <w:rPr>
                <w:rFonts w:ascii="仿宋_GB2312" w:eastAsia="仿宋_GB2312" w:hAnsi="仿宋_GB2312" w:cs="仿宋_GB2312"/>
                <w:b/>
                <w:szCs w:val="21"/>
              </w:rPr>
            </w:pPr>
            <w:r>
              <w:rPr>
                <w:rFonts w:ascii="仿宋_GB2312" w:eastAsia="仿宋_GB2312" w:hAnsi="仿宋_GB2312" w:cs="仿宋_GB2312" w:hint="eastAsia"/>
                <w:b/>
                <w:bCs/>
                <w:szCs w:val="21"/>
              </w:rPr>
              <w:t>检测对象</w:t>
            </w:r>
          </w:p>
        </w:tc>
        <w:tc>
          <w:tcPr>
            <w:tcW w:w="5949"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tcPr>
          <w:p w:rsidR="00AB1940" w:rsidRDefault="00933D56">
            <w:pPr>
              <w:widowControl/>
              <w:spacing w:line="360" w:lineRule="auto"/>
              <w:jc w:val="center"/>
              <w:textAlignment w:val="center"/>
              <w:rPr>
                <w:rFonts w:ascii="仿宋_GB2312" w:eastAsia="仿宋_GB2312" w:hAnsi="仿宋_GB2312" w:cs="仿宋_GB2312"/>
                <w:b/>
                <w:szCs w:val="21"/>
              </w:rPr>
            </w:pPr>
            <w:r>
              <w:rPr>
                <w:rFonts w:ascii="仿宋_GB2312" w:eastAsia="仿宋_GB2312" w:hAnsi="仿宋_GB2312" w:cs="仿宋_GB2312" w:hint="eastAsia"/>
                <w:b/>
                <w:bCs/>
                <w:szCs w:val="21"/>
              </w:rPr>
              <w:t>检测项目</w:t>
            </w:r>
          </w:p>
        </w:tc>
      </w:tr>
      <w:tr w:rsidR="00AB1940">
        <w:trPr>
          <w:trHeight w:val="539"/>
          <w:jc w:val="center"/>
        </w:trPr>
        <w:tc>
          <w:tcPr>
            <w:tcW w:w="488" w:type="dxa"/>
            <w:tcBorders>
              <w:top w:val="single" w:sz="4" w:space="0" w:color="000000"/>
              <w:left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w:t>
            </w:r>
          </w:p>
        </w:tc>
        <w:tc>
          <w:tcPr>
            <w:tcW w:w="1861" w:type="dxa"/>
            <w:tcBorders>
              <w:top w:val="single" w:sz="4" w:space="0" w:color="000000"/>
              <w:left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外壳、外露安装支架、螺丝螺帽等附件</w:t>
            </w: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1、必须采用高压铸铝合金、拉伸铝合金、以及304不锈钢等材质。</w:t>
            </w:r>
          </w:p>
        </w:tc>
      </w:tr>
      <w:tr w:rsidR="00AB1940">
        <w:trPr>
          <w:trHeight w:val="536"/>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2</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防水接头、引出线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1、大功率灯具（大于30W）必须有防水接头，材质为不锈钢或铜</w:t>
            </w:r>
          </w:p>
        </w:tc>
      </w:tr>
      <w:tr w:rsidR="00AB1940">
        <w:trPr>
          <w:trHeight w:val="445"/>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2、大功率灯具（大于30W）引出线线径必须不小于1.5mm²</w:t>
            </w:r>
          </w:p>
        </w:tc>
      </w:tr>
      <w:tr w:rsidR="00AB1940">
        <w:trPr>
          <w:trHeight w:val="445"/>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3</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电气安全</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1、外部接线和内部接线</w:t>
            </w:r>
          </w:p>
        </w:tc>
      </w:tr>
      <w:tr w:rsidR="00AB1940">
        <w:trPr>
          <w:trHeight w:val="445"/>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2、接地规定：220V的灯具需检测，24V等安全电压灯具无需检测</w:t>
            </w:r>
          </w:p>
        </w:tc>
      </w:tr>
      <w:tr w:rsidR="00AB1940">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auto"/>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3、潮湿后的绝缘电阻和电气强度</w:t>
            </w:r>
          </w:p>
        </w:tc>
      </w:tr>
      <w:tr w:rsidR="00AB1940">
        <w:trPr>
          <w:trHeight w:val="357"/>
          <w:jc w:val="center"/>
        </w:trPr>
        <w:tc>
          <w:tcPr>
            <w:tcW w:w="488" w:type="dxa"/>
            <w:vMerge/>
            <w:tcBorders>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5949" w:type="dxa"/>
            <w:tcBorders>
              <w:top w:val="single" w:sz="4" w:space="0" w:color="auto"/>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4、其他：防雷击、防静电能力、电磁干扰、灯具外壳温升等</w:t>
            </w:r>
          </w:p>
        </w:tc>
      </w:tr>
      <w:tr w:rsidR="00AB1940">
        <w:trPr>
          <w:trHeight w:val="362"/>
          <w:jc w:val="center"/>
        </w:trPr>
        <w:tc>
          <w:tcPr>
            <w:tcW w:w="488" w:type="dxa"/>
            <w:tcBorders>
              <w:top w:val="single" w:sz="4" w:space="0" w:color="000000"/>
              <w:left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4</w:t>
            </w:r>
          </w:p>
        </w:tc>
        <w:tc>
          <w:tcPr>
            <w:tcW w:w="1861" w:type="dxa"/>
            <w:tcBorders>
              <w:top w:val="single" w:sz="4" w:space="0" w:color="000000"/>
              <w:left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防护等级</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numPr>
                <w:ilvl w:val="0"/>
                <w:numId w:val="33"/>
              </w:numPr>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一般灯具防护等级不小于IP65。</w:t>
            </w:r>
          </w:p>
        </w:tc>
      </w:tr>
      <w:tr w:rsidR="00AB1940">
        <w:trPr>
          <w:trHeight w:val="357"/>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5</w:t>
            </w:r>
          </w:p>
        </w:tc>
        <w:tc>
          <w:tcPr>
            <w:tcW w:w="1861" w:type="dxa"/>
            <w:vMerge w:val="restart"/>
            <w:tcBorders>
              <w:top w:val="single" w:sz="4" w:space="0" w:color="000000"/>
              <w:left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灯具寿命及光衰</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1、颗粒寿命不低于5万小时；</w:t>
            </w:r>
          </w:p>
        </w:tc>
      </w:tr>
      <w:tr w:rsidR="00AB1940">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1861" w:type="dxa"/>
            <w:vMerge/>
            <w:tcBorders>
              <w:left w:val="single" w:sz="4" w:space="0" w:color="000000"/>
              <w:right w:val="single" w:sz="4" w:space="0" w:color="000000"/>
            </w:tcBorders>
            <w:shd w:val="clear" w:color="auto" w:fill="auto"/>
            <w:vAlign w:val="center"/>
          </w:tcPr>
          <w:p w:rsidR="00AB1940" w:rsidRDefault="00AB1940">
            <w:pPr>
              <w:widowControl/>
              <w:spacing w:line="360" w:lineRule="auto"/>
              <w:jc w:val="center"/>
              <w:textAlignment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2、灯具寿命不低于3万小时。</w:t>
            </w:r>
          </w:p>
        </w:tc>
      </w:tr>
      <w:tr w:rsidR="00AB1940">
        <w:trPr>
          <w:trHeight w:val="357"/>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1861" w:type="dxa"/>
            <w:vMerge/>
            <w:tcBorders>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3、灯具光衰符合国标要求。</w:t>
            </w:r>
          </w:p>
        </w:tc>
      </w:tr>
      <w:tr w:rsidR="00AB1940">
        <w:trPr>
          <w:trHeight w:val="468"/>
          <w:jc w:val="center"/>
        </w:trPr>
        <w:tc>
          <w:tcPr>
            <w:tcW w:w="4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lastRenderedPageBreak/>
              <w:t>6</w:t>
            </w: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驱动电源</w:t>
            </w:r>
          </w:p>
        </w:tc>
        <w:tc>
          <w:tcPr>
            <w:tcW w:w="59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品牌推荐使用“台湾明纬(MEAN WELL)”、“茂硕”、“英飞特”、“欧司朗（OSRAM）”、“飞利浦（PHILIPS）”；</w:t>
            </w:r>
          </w:p>
        </w:tc>
      </w:tr>
      <w:tr w:rsidR="00AB1940">
        <w:trPr>
          <w:trHeight w:val="468"/>
          <w:jc w:val="center"/>
        </w:trPr>
        <w:tc>
          <w:tcPr>
            <w:tcW w:w="4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18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AB1940">
            <w:pPr>
              <w:spacing w:line="360" w:lineRule="auto"/>
              <w:jc w:val="center"/>
              <w:rPr>
                <w:rFonts w:ascii="仿宋_GB2312" w:eastAsia="仿宋_GB2312" w:hAnsi="仿宋_GB2312" w:cs="仿宋_GB2312"/>
                <w:szCs w:val="21"/>
              </w:rPr>
            </w:pPr>
          </w:p>
        </w:tc>
        <w:tc>
          <w:tcPr>
            <w:tcW w:w="5949" w:type="dxa"/>
            <w:vMerge/>
            <w:tcBorders>
              <w:top w:val="single" w:sz="4" w:space="0" w:color="000000"/>
              <w:left w:val="single" w:sz="4" w:space="0" w:color="000000"/>
              <w:bottom w:val="single" w:sz="4" w:space="0" w:color="auto"/>
              <w:right w:val="single" w:sz="4" w:space="0" w:color="000000"/>
            </w:tcBorders>
            <w:shd w:val="clear" w:color="auto" w:fill="auto"/>
            <w:vAlign w:val="center"/>
          </w:tcPr>
          <w:p w:rsidR="00AB1940" w:rsidRDefault="00AB1940">
            <w:pPr>
              <w:spacing w:line="360" w:lineRule="auto"/>
              <w:jc w:val="left"/>
              <w:rPr>
                <w:rFonts w:ascii="仿宋_GB2312" w:eastAsia="仿宋_GB2312" w:hAnsi="仿宋_GB2312" w:cs="仿宋_GB2312"/>
                <w:szCs w:val="21"/>
              </w:rPr>
            </w:pPr>
          </w:p>
        </w:tc>
      </w:tr>
      <w:tr w:rsidR="00AB1940">
        <w:trPr>
          <w:trHeight w:val="485"/>
          <w:jc w:val="center"/>
        </w:trPr>
        <w:tc>
          <w:tcPr>
            <w:tcW w:w="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7</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center"/>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配光曲线</w:t>
            </w:r>
          </w:p>
        </w:tc>
        <w:tc>
          <w:tcPr>
            <w:tcW w:w="59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B1940" w:rsidRDefault="00933D56">
            <w:pPr>
              <w:widowControl/>
              <w:spacing w:line="360" w:lineRule="auto"/>
              <w:jc w:val="left"/>
              <w:textAlignment w:val="center"/>
              <w:rPr>
                <w:rFonts w:ascii="仿宋_GB2312" w:eastAsia="仿宋_GB2312" w:hAnsi="仿宋_GB2312" w:cs="仿宋_GB2312"/>
                <w:szCs w:val="21"/>
              </w:rPr>
            </w:pPr>
            <w:r>
              <w:rPr>
                <w:rFonts w:ascii="仿宋_GB2312" w:eastAsia="仿宋_GB2312" w:hAnsi="仿宋_GB2312" w:cs="仿宋_GB2312" w:hint="eastAsia"/>
                <w:kern w:val="0"/>
                <w:szCs w:val="21"/>
              </w:rPr>
              <w:t>光强、光通量、出光角度、色漂移、色容差、色一致性</w:t>
            </w:r>
          </w:p>
        </w:tc>
      </w:tr>
    </w:tbl>
    <w:p w:rsidR="00AB1940" w:rsidRDefault="00933D56">
      <w:pPr>
        <w:pStyle w:val="2"/>
        <w:spacing w:line="360" w:lineRule="auto"/>
        <w:ind w:left="420"/>
        <w:rPr>
          <w:rFonts w:ascii="仿宋_GB2312" w:eastAsia="仿宋_GB2312" w:hAnsi="仿宋_GB2312" w:cs="仿宋_GB2312"/>
          <w:sz w:val="28"/>
          <w:szCs w:val="28"/>
        </w:rPr>
      </w:pPr>
      <w:bookmarkStart w:id="32" w:name="_Toc23670"/>
      <w:r>
        <w:rPr>
          <w:rFonts w:ascii="仿宋_GB2312" w:eastAsia="仿宋_GB2312" w:hAnsi="仿宋_GB2312" w:cs="仿宋_GB2312" w:hint="eastAsia"/>
          <w:sz w:val="28"/>
          <w:szCs w:val="28"/>
        </w:rPr>
        <w:t>（七）室外防水UTP超五类网络电缆及水晶头</w:t>
      </w:r>
    </w:p>
    <w:p w:rsidR="00AB1940" w:rsidRDefault="00933D56">
      <w:pPr>
        <w:numPr>
          <w:ilvl w:val="0"/>
          <w:numId w:val="34"/>
        </w:numPr>
        <w:tabs>
          <w:tab w:val="left" w:pos="360"/>
        </w:tabs>
        <w:outlineLvl w:val="2"/>
        <w:rPr>
          <w:rFonts w:ascii="仿宋_GB2312" w:eastAsia="仿宋_GB2312" w:hAnsi="仿宋_GB2312" w:cs="仿宋_GB2312"/>
          <w:szCs w:val="21"/>
        </w:rPr>
      </w:pPr>
      <w:bookmarkStart w:id="33" w:name="_Toc17164"/>
      <w:bookmarkStart w:id="34" w:name="_Toc16098"/>
      <w:bookmarkEnd w:id="32"/>
      <w:r>
        <w:rPr>
          <w:rFonts w:ascii="仿宋_GB2312" w:eastAsia="仿宋_GB2312" w:hAnsi="仿宋_GB2312" w:cs="仿宋_GB2312" w:hint="eastAsia"/>
          <w:szCs w:val="21"/>
        </w:rPr>
        <w:t>室外防水UTP超五类网络电缆（非屏蔽双绞线UTP）</w:t>
      </w:r>
      <w:bookmarkEnd w:id="33"/>
      <w:bookmarkEnd w:id="34"/>
    </w:p>
    <w:p w:rsidR="00AB1940" w:rsidRDefault="00933D56">
      <w:pP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2364105" cy="1669415"/>
            <wp:effectExtent l="0" t="0" r="17145" b="6985"/>
            <wp:docPr id="199" name="图片 199" descr="5aa8ee39N387e94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5aa8ee39N387e941e"/>
                    <pic:cNvPicPr>
                      <a:picLocks noChangeAspect="1"/>
                    </pic:cNvPicPr>
                  </pic:nvPicPr>
                  <pic:blipFill>
                    <a:blip r:embed="rId7"/>
                    <a:srcRect b="5532"/>
                    <a:stretch>
                      <a:fillRect/>
                    </a:stretch>
                  </pic:blipFill>
                  <pic:spPr>
                    <a:xfrm>
                      <a:off x="0" y="0"/>
                      <a:ext cx="2364105" cy="1669415"/>
                    </a:xfrm>
                    <a:prstGeom prst="rect">
                      <a:avLst/>
                    </a:prstGeom>
                  </pic:spPr>
                </pic:pic>
              </a:graphicData>
            </a:graphic>
          </wp:inline>
        </w:drawing>
      </w:r>
      <w:r>
        <w:rPr>
          <w:rFonts w:ascii="仿宋_GB2312" w:eastAsia="仿宋_GB2312" w:hAnsi="仿宋_GB2312" w:cs="仿宋_GB2312" w:hint="eastAsia"/>
          <w:szCs w:val="21"/>
        </w:rPr>
        <w:t xml:space="preserve">      </w:t>
      </w:r>
      <w:r>
        <w:rPr>
          <w:rFonts w:ascii="仿宋_GB2312" w:eastAsia="仿宋_GB2312" w:hAnsi="仿宋_GB2312" w:cs="仿宋_GB2312" w:hint="eastAsia"/>
          <w:noProof/>
          <w:szCs w:val="21"/>
        </w:rPr>
        <w:drawing>
          <wp:inline distT="0" distB="0" distL="114300" distR="114300">
            <wp:extent cx="2151380" cy="1673225"/>
            <wp:effectExtent l="0" t="0" r="1270" b="3175"/>
            <wp:docPr id="200" name="图片 200" descr="670-14120313524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670-141203135240595"/>
                    <pic:cNvPicPr>
                      <a:picLocks noChangeAspect="1"/>
                    </pic:cNvPicPr>
                  </pic:nvPicPr>
                  <pic:blipFill>
                    <a:blip r:embed="rId8"/>
                    <a:srcRect r="24293" b="16071"/>
                    <a:stretch>
                      <a:fillRect/>
                    </a:stretch>
                  </pic:blipFill>
                  <pic:spPr>
                    <a:xfrm>
                      <a:off x="0" y="0"/>
                      <a:ext cx="2151380" cy="1673225"/>
                    </a:xfrm>
                    <a:prstGeom prst="rect">
                      <a:avLst/>
                    </a:prstGeom>
                  </pic:spPr>
                </pic:pic>
              </a:graphicData>
            </a:graphic>
          </wp:inline>
        </w:drawing>
      </w:r>
    </w:p>
    <w:p w:rsidR="00AB1940" w:rsidRDefault="00933D56">
      <w:pPr>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1896745" cy="669290"/>
            <wp:effectExtent l="0" t="0" r="8255" b="16510"/>
            <wp:docPr id="201" name="图片 201" descr="7437561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74375611_2"/>
                    <pic:cNvPicPr>
                      <a:picLocks noChangeAspect="1"/>
                    </pic:cNvPicPr>
                  </pic:nvPicPr>
                  <pic:blipFill>
                    <a:blip r:embed="rId9"/>
                    <a:srcRect r="43345" b="45064"/>
                    <a:stretch>
                      <a:fillRect/>
                    </a:stretch>
                  </pic:blipFill>
                  <pic:spPr>
                    <a:xfrm>
                      <a:off x="0" y="0"/>
                      <a:ext cx="1896745" cy="669290"/>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2183765" cy="1000125"/>
            <wp:effectExtent l="0" t="0" r="6985" b="9525"/>
            <wp:docPr id="207" name="图片 207" descr="59b0f65eNbf52e5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59b0f65eNbf52e50e"/>
                    <pic:cNvPicPr>
                      <a:picLocks noChangeAspect="1"/>
                    </pic:cNvPicPr>
                  </pic:nvPicPr>
                  <pic:blipFill>
                    <a:blip r:embed="rId10"/>
                    <a:srcRect b="24028"/>
                    <a:stretch>
                      <a:fillRect/>
                    </a:stretch>
                  </pic:blipFill>
                  <pic:spPr>
                    <a:xfrm>
                      <a:off x="0" y="0"/>
                      <a:ext cx="2183765" cy="1000125"/>
                    </a:xfrm>
                    <a:prstGeom prst="rect">
                      <a:avLst/>
                    </a:prstGeom>
                  </pic:spPr>
                </pic:pic>
              </a:graphicData>
            </a:graphic>
          </wp:inline>
        </w:drawing>
      </w:r>
    </w:p>
    <w:p w:rsidR="00AB1940" w:rsidRDefault="00AB1940">
      <w:pPr>
        <w:rPr>
          <w:rFonts w:ascii="仿宋_GB2312" w:eastAsia="仿宋_GB2312" w:hAnsi="仿宋_GB2312" w:cs="仿宋_GB2312"/>
          <w:szCs w:val="21"/>
        </w:rPr>
      </w:pP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由4对双绞线、1条抗拉线和一个塑料外皮构成。有一层绝缘胶皮包裹，组网灵活。具有防水、防冻、防鼠疫、防晒、抗紫外线的特性。</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1.标准。符合100Base-T4标准要求使用全部的4对线进行信号传输。衰减小，串扰少，并且具有更高的衰减与串扰的比值（ACR）和信噪比（Structural Return Loss）、更小的时延误差。标识是“CAT5E”，带宽155M，主要用于千兆位以太网（1000Mbps）。</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2.外观特征。①双绞线应弯曲自然，以方便布线;②电缆中的铜芯具有较好的韧性。为了使双绞线在移动中不至于断线，除外皮保护层外，内部的铜芯还要具有一定的韧性。同时为便于接头的制作和连接可靠，铜芯既不能太软，也不能太硬，太软不易接头的制作，太硬则容易产生接头处断裂;③具有阻燃性。为了避免受高温或起火而引起的线缆损坏，双绞线最外面的一层包皮除应具有很好的抗拉特性外，还应具有阻燃性(可以用火来烧一下测试:如果是正品，胶皮会受热松软，不会起火;如果是假货，一点就着)。④最大单段长度100米。标准长度305米一箱，连包装重量不低于13.5公斤。</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lastRenderedPageBreak/>
        <w:t>3.制造工艺。为了降低信号的干扰，双绞线电缆中的每一线对都是由两根绝缘的铜导线相互扭绕而成，而且同一电缆中的不同线对具有不同的扭绕度(就是扭绕线圈的数量多少)。同时，双绞线电缆中的线对按逆时针方向进行扭绕。严禁出现以下问题:①为了简化制造工艺，电缆中所有线对的扭绕密度相同;②线对中两根绝缘导线的扭绕密度不符合技术要求;③线对的扭绕方向不符合要求。如果存在以上问题，将会引起双绞线的近端串扰(指UTP中两线对之间的信号干扰程度)，从而使传输距离达不到要求。线对的扭绕度超五类要比五类密。除组成双绞线线对的两条绝缘铜导线要按要求进行扭绕外，标准双绞线电缆中的线对之间也要按逆时针方向进行扭绕。否则将会引起电缆电阻的不匹配，限制了传输距离。应符合TIA/EIA568A中的具体规定。</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4.传输速率：1000Mbps。需满足的测试方式：用一条双绞线连接两台100Mbps的设备(网卡到网卡或网卡到HUB)，通信时用Windows 95/98自带的monitor检测工具对其数据传输率进行监测。检验方法为:①选择"开始→程序→附件→系统工具→系统监视器"，将出现"系统监视器"窗口。如果在"系统工具"中没有"系统监视器"工具时，可通过"我的电脑→添加/删除程序→Windows安装程序→系统工具→系统监视器"建立。②在"系统监视器"窗口中设置监视对象。选择"编辑"菜单中的"添加项目"选项，在出现的对话框的"类别"列表中选择"Microsoft网络服务器"或"Microsoft网络客户"(注意:在保证网络连接正常的情况下)，在下一个对话框中选择"写入的字节数/秒"或"读取的字节数/秒"。至于选择"Microsoft网络服务器"或"Microsoft网络客户"，还是"写入的字节数/秒"或"读取的字节数/秒"，读者可任意选择，因为在网络中一个节点发送出的数据应该等于另一个节点接收到的数据。③设置测试数据的输出方式。系统提供了折线图、条形图和数字图三种输出方式，可通过窗口工具栏内的按钮来选择。④进行测试。最有效的办法是从服务器向你进行测试的工作站上拷贝大量的文件(为了测试的准确性，所拷贝的内容一定要足够多)。显示的峰值数值在4M/s以上，就基本可以肯定是五类网络电缆了(3类线所能达到的峰值数值大约为2.5M/s)。</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5.线缆对数。超五类室外防水网络电缆也是采用4个绕对和1条抗拉线。线对的颜色分别为白橙、橙、白绿、绿、白蓝、蓝、白棕和棕。裸铜线径为0.51mm（线规为24AWG），绝缘线径为0.92mm，UTP电缆直径为6.3mm。</w:t>
      </w:r>
    </w:p>
    <w:p w:rsidR="00AB1940" w:rsidRDefault="00933D56">
      <w:pPr>
        <w:jc w:val="left"/>
        <w:rPr>
          <w:rFonts w:ascii="仿宋_GB2312" w:eastAsia="仿宋_GB2312" w:hAnsi="仿宋_GB2312" w:cs="仿宋_GB2312"/>
          <w:szCs w:val="21"/>
        </w:rPr>
      </w:pPr>
      <w:r>
        <w:rPr>
          <w:rFonts w:ascii="仿宋_GB2312" w:eastAsia="仿宋_GB2312" w:hAnsi="仿宋_GB2312" w:cs="仿宋_GB2312" w:hint="eastAsia"/>
          <w:noProof/>
          <w:szCs w:val="21"/>
        </w:rPr>
        <w:lastRenderedPageBreak/>
        <w:drawing>
          <wp:inline distT="0" distB="0" distL="114300" distR="114300">
            <wp:extent cx="1790065" cy="2149475"/>
            <wp:effectExtent l="0" t="0" r="635" b="3175"/>
            <wp:docPr id="208" name="图片 208" descr="微信图片_201901291333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微信图片_20190129133331-1"/>
                    <pic:cNvPicPr>
                      <a:picLocks noChangeAspect="1"/>
                    </pic:cNvPicPr>
                  </pic:nvPicPr>
                  <pic:blipFill>
                    <a:blip r:embed="rId11"/>
                    <a:stretch>
                      <a:fillRect/>
                    </a:stretch>
                  </pic:blipFill>
                  <pic:spPr>
                    <a:xfrm>
                      <a:off x="0" y="0"/>
                      <a:ext cx="1790065" cy="214947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1597660" cy="2108200"/>
            <wp:effectExtent l="0" t="0" r="2540" b="6350"/>
            <wp:docPr id="209" name="图片 209" descr="微信图片_201901291333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微信图片_20190129133347-1"/>
                    <pic:cNvPicPr>
                      <a:picLocks noChangeAspect="1"/>
                    </pic:cNvPicPr>
                  </pic:nvPicPr>
                  <pic:blipFill>
                    <a:blip r:embed="rId12"/>
                    <a:srcRect t="4267"/>
                    <a:stretch>
                      <a:fillRect/>
                    </a:stretch>
                  </pic:blipFill>
                  <pic:spPr>
                    <a:xfrm>
                      <a:off x="0" y="0"/>
                      <a:ext cx="1597660" cy="2108200"/>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1406525" cy="2089785"/>
            <wp:effectExtent l="0" t="0" r="3175" b="5715"/>
            <wp:docPr id="210" name="图片 210" descr="微信图片_20190129133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微信图片_20190129133350-1"/>
                    <pic:cNvPicPr>
                      <a:picLocks noChangeAspect="1"/>
                    </pic:cNvPicPr>
                  </pic:nvPicPr>
                  <pic:blipFill>
                    <a:blip r:embed="rId13"/>
                    <a:srcRect t="4276"/>
                    <a:stretch>
                      <a:fillRect/>
                    </a:stretch>
                  </pic:blipFill>
                  <pic:spPr>
                    <a:xfrm>
                      <a:off x="0" y="0"/>
                      <a:ext cx="1406525" cy="208978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1683385" cy="2436495"/>
            <wp:effectExtent l="0" t="0" r="12065" b="1905"/>
            <wp:docPr id="211" name="图片 211" descr="微信图片_20190221112537副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微信图片_20190221112537副本-1"/>
                    <pic:cNvPicPr>
                      <a:picLocks noChangeAspect="1"/>
                    </pic:cNvPicPr>
                  </pic:nvPicPr>
                  <pic:blipFill>
                    <a:blip r:embed="rId14"/>
                    <a:srcRect t="2352"/>
                    <a:stretch>
                      <a:fillRect/>
                    </a:stretch>
                  </pic:blipFill>
                  <pic:spPr>
                    <a:xfrm>
                      <a:off x="0" y="0"/>
                      <a:ext cx="1683385" cy="243649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1722755" cy="2690495"/>
            <wp:effectExtent l="0" t="0" r="10795" b="14605"/>
            <wp:docPr id="212" name="图片 212" descr="微信图片_20190129133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微信图片_20190129133354-1"/>
                    <pic:cNvPicPr>
                      <a:picLocks noChangeAspect="1"/>
                    </pic:cNvPicPr>
                  </pic:nvPicPr>
                  <pic:blipFill>
                    <a:blip r:embed="rId15"/>
                    <a:stretch>
                      <a:fillRect/>
                    </a:stretch>
                  </pic:blipFill>
                  <pic:spPr>
                    <a:xfrm>
                      <a:off x="0" y="0"/>
                      <a:ext cx="1722755" cy="2690495"/>
                    </a:xfrm>
                    <a:prstGeom prst="rect">
                      <a:avLst/>
                    </a:prstGeom>
                  </pic:spPr>
                </pic:pic>
              </a:graphicData>
            </a:graphic>
          </wp:inline>
        </w:drawing>
      </w:r>
    </w:p>
    <w:p w:rsidR="00AB1940" w:rsidRDefault="00933D56">
      <w:pPr>
        <w:numPr>
          <w:ilvl w:val="0"/>
          <w:numId w:val="34"/>
        </w:numPr>
        <w:tabs>
          <w:tab w:val="left" w:pos="360"/>
        </w:tabs>
        <w:outlineLvl w:val="2"/>
        <w:rPr>
          <w:rStyle w:val="3Char"/>
          <w:rFonts w:ascii="仿宋_GB2312" w:eastAsia="仿宋_GB2312" w:hAnsi="仿宋_GB2312" w:cs="仿宋_GB2312"/>
          <w:sz w:val="21"/>
          <w:szCs w:val="21"/>
        </w:rPr>
      </w:pPr>
      <w:bookmarkStart w:id="35" w:name="_Toc7320"/>
      <w:r>
        <w:rPr>
          <w:rStyle w:val="3Char"/>
          <w:rFonts w:ascii="仿宋_GB2312" w:eastAsia="仿宋_GB2312" w:hAnsi="仿宋_GB2312" w:cs="仿宋_GB2312" w:hint="eastAsia"/>
          <w:sz w:val="21"/>
          <w:szCs w:val="21"/>
        </w:rPr>
        <w:t>水晶头</w:t>
      </w:r>
      <w:bookmarkEnd w:id="35"/>
    </w:p>
    <w:p w:rsidR="00AB1940" w:rsidRDefault="00933D56">
      <w:pPr>
        <w:ind w:firstLineChars="200" w:firstLine="420"/>
        <w:rPr>
          <w:rFonts w:ascii="仿宋_GB2312" w:eastAsia="仿宋_GB2312" w:hAnsi="仿宋_GB2312" w:cs="仿宋_GB2312"/>
          <w:szCs w:val="21"/>
        </w:rPr>
      </w:pPr>
      <w:r>
        <w:rPr>
          <w:rFonts w:ascii="仿宋_GB2312" w:eastAsia="仿宋_GB2312" w:hAnsi="仿宋_GB2312" w:cs="仿宋_GB2312" w:hint="eastAsia"/>
          <w:noProof/>
          <w:szCs w:val="21"/>
        </w:rPr>
        <w:drawing>
          <wp:inline distT="0" distB="0" distL="114300" distR="114300">
            <wp:extent cx="1092200" cy="1468755"/>
            <wp:effectExtent l="0" t="0" r="12700" b="17145"/>
            <wp:docPr id="205" name="图片 205" descr="53b4f50eNfbadee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53b4f50eNfbadeea0"/>
                    <pic:cNvPicPr>
                      <a:picLocks noChangeAspect="1"/>
                    </pic:cNvPicPr>
                  </pic:nvPicPr>
                  <pic:blipFill>
                    <a:blip r:embed="rId16"/>
                    <a:srcRect l="11334" r="14267"/>
                    <a:stretch>
                      <a:fillRect/>
                    </a:stretch>
                  </pic:blipFill>
                  <pic:spPr>
                    <a:xfrm>
                      <a:off x="0" y="0"/>
                      <a:ext cx="1092200" cy="1468755"/>
                    </a:xfrm>
                    <a:prstGeom prst="rect">
                      <a:avLst/>
                    </a:prstGeom>
                  </pic:spPr>
                </pic:pic>
              </a:graphicData>
            </a:graphic>
          </wp:inline>
        </w:drawing>
      </w:r>
      <w:r>
        <w:rPr>
          <w:rFonts w:ascii="仿宋_GB2312" w:eastAsia="仿宋_GB2312" w:hAnsi="仿宋_GB2312" w:cs="仿宋_GB2312" w:hint="eastAsia"/>
          <w:noProof/>
          <w:szCs w:val="21"/>
        </w:rPr>
        <w:drawing>
          <wp:inline distT="0" distB="0" distL="114300" distR="114300">
            <wp:extent cx="3435985" cy="1503045"/>
            <wp:effectExtent l="0" t="0" r="12065" b="1905"/>
            <wp:docPr id="206" name="图片 206" descr="t013e3ab382272a02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t013e3ab382272a02d8"/>
                    <pic:cNvPicPr>
                      <a:picLocks noChangeAspect="1"/>
                    </pic:cNvPicPr>
                  </pic:nvPicPr>
                  <pic:blipFill>
                    <a:blip r:embed="rId17"/>
                    <a:stretch>
                      <a:fillRect/>
                    </a:stretch>
                  </pic:blipFill>
                  <pic:spPr>
                    <a:xfrm>
                      <a:off x="0" y="0"/>
                      <a:ext cx="3435985" cy="1503045"/>
                    </a:xfrm>
                    <a:prstGeom prst="rect">
                      <a:avLst/>
                    </a:prstGeom>
                  </pic:spPr>
                </pic:pic>
              </a:graphicData>
            </a:graphic>
          </wp:inline>
        </w:drawing>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 xml:space="preserve">应符合的技术标准：1、YD/T 577-19294《室内电话机插头座》；2、YD/T926；3.《大楼通信综合布线系统第3部分：连接硬件和接插软线技术要求》 </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技术详参：</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1、外观：水晶头外观应为无色透明、色泽均匀且不含杂质、无气泡，塑料弹性良好。水晶头与通信线咬合紧密，不易脱落；</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2、结构尺寸：RJ45应符合TIA／EIA568A和TIA／E1A568AB线序，8个位置（8针）的模块化插孔，应符合规范要求长X宽X高，即21.34×11.68×8.00；</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lastRenderedPageBreak/>
        <w:t>3、材料要求：外壳材料为环保PC材料，水晶头金片果用0.35m磷青铜或高强度黄（≥65％含铜量），结构三叉，表面经整体锞后镀金，厚度0.0254至1.27；</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4、导线拉脱力：应≥70N；</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5、直流电阻：常态≤20mΩ；温热试验后：增值≤5mΩ；</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6、绝缘电阻：常态＞1000mΩ；湿热试验后：＞1000mΩ；</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7、耐压试验：湿热试验前后，簧片与簧片间：直流1000V或交流700V不击穿：所有簧片与安装板或地间：直流1500V或交流1000V不击穿；</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8、插技试验：50次机械寿命合格；</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9、塑料扣寿命：塑料锁扣90度弯折试验10次，仍具有弹性；</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10、高温试验：试验时间：48h，试验温度：（85+2）℃，塑壳无熔化、变形现象，试验后须做电气特性试验并满足相关要求；</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11、温热试验：40℃，92%，8h，插针表面无发绿、氧化现象；试验后须做电气特性试验并满足相关要求；</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12、阻燃性能：应达到V0等级；</w:t>
      </w:r>
    </w:p>
    <w:p w:rsidR="00AB1940" w:rsidRDefault="00933D56">
      <w:pPr>
        <w:pStyle w:val="2"/>
        <w:spacing w:line="360" w:lineRule="auto"/>
        <w:ind w:left="420"/>
        <w:rPr>
          <w:rFonts w:ascii="仿宋_GB2312" w:eastAsia="仿宋_GB2312" w:hAnsi="仿宋_GB2312" w:cs="仿宋_GB2312"/>
          <w:sz w:val="28"/>
          <w:szCs w:val="28"/>
        </w:rPr>
      </w:pPr>
      <w:bookmarkStart w:id="36" w:name="_Toc694"/>
      <w:r>
        <w:rPr>
          <w:rFonts w:ascii="仿宋_GB2312" w:eastAsia="仿宋_GB2312" w:hAnsi="仿宋_GB2312" w:cs="仿宋_GB2312" w:hint="eastAsia"/>
          <w:sz w:val="28"/>
          <w:szCs w:val="28"/>
        </w:rPr>
        <w:t>（八）所有设施运输要求</w:t>
      </w:r>
      <w:bookmarkEnd w:id="36"/>
    </w:p>
    <w:p w:rsidR="00AB1940" w:rsidRDefault="00933D56">
      <w:pPr>
        <w:pStyle w:val="3"/>
        <w:numPr>
          <w:ilvl w:val="0"/>
          <w:numId w:val="35"/>
        </w:numPr>
        <w:spacing w:line="360" w:lineRule="auto"/>
        <w:ind w:leftChars="0" w:firstLineChars="0" w:hanging="5"/>
        <w:rPr>
          <w:rFonts w:ascii="仿宋_GB2312" w:eastAsia="仿宋_GB2312" w:hAnsi="仿宋_GB2312" w:cs="仿宋_GB2312"/>
          <w:sz w:val="21"/>
          <w:szCs w:val="21"/>
        </w:rPr>
      </w:pPr>
      <w:bookmarkStart w:id="37" w:name="_Toc28100"/>
      <w:r>
        <w:rPr>
          <w:rFonts w:ascii="仿宋_GB2312" w:eastAsia="仿宋_GB2312" w:hAnsi="仿宋_GB2312" w:cs="仿宋_GB2312" w:hint="eastAsia"/>
          <w:sz w:val="21"/>
          <w:szCs w:val="21"/>
        </w:rPr>
        <w:t>说明</w:t>
      </w:r>
      <w:bookmarkEnd w:id="37"/>
    </w:p>
    <w:p w:rsidR="00AB1940" w:rsidRDefault="00933D56">
      <w:pPr>
        <w:pStyle w:val="Style2"/>
        <w:snapToGrid w:val="0"/>
        <w:spacing w:line="360" w:lineRule="auto"/>
        <w:rPr>
          <w:rFonts w:ascii="仿宋_GB2312" w:eastAsia="仿宋_GB2312" w:hAnsi="仿宋_GB2312" w:cs="仿宋_GB2312"/>
          <w:szCs w:val="21"/>
        </w:rPr>
      </w:pPr>
      <w:r>
        <w:rPr>
          <w:rFonts w:ascii="仿宋_GB2312" w:eastAsia="仿宋_GB2312" w:hAnsi="仿宋_GB2312" w:cs="仿宋_GB2312" w:hint="eastAsia"/>
          <w:szCs w:val="21"/>
        </w:rPr>
        <w:t>技术文件详参有规定的，按详参规定执行，没有详参规定的，按照本通则执行。</w:t>
      </w:r>
    </w:p>
    <w:p w:rsidR="00AB1940" w:rsidRDefault="00933D56">
      <w:pPr>
        <w:pStyle w:val="Style2"/>
        <w:snapToGrid w:val="0"/>
        <w:spacing w:line="360" w:lineRule="auto"/>
        <w:rPr>
          <w:rFonts w:ascii="仿宋_GB2312" w:eastAsia="仿宋_GB2312" w:hAnsi="仿宋_GB2312" w:cs="仿宋_GB2312"/>
          <w:szCs w:val="21"/>
        </w:rPr>
      </w:pPr>
      <w:r>
        <w:rPr>
          <w:rFonts w:ascii="仿宋_GB2312" w:eastAsia="仿宋_GB2312" w:hAnsi="仿宋_GB2312" w:cs="仿宋_GB2312" w:hint="eastAsia"/>
          <w:szCs w:val="21"/>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rsidR="00AB1940" w:rsidRDefault="00933D56">
      <w:pPr>
        <w:pStyle w:val="3"/>
        <w:numPr>
          <w:ilvl w:val="0"/>
          <w:numId w:val="35"/>
        </w:numPr>
        <w:spacing w:line="360" w:lineRule="auto"/>
        <w:ind w:leftChars="0" w:firstLineChars="0" w:hanging="5"/>
        <w:rPr>
          <w:rFonts w:ascii="仿宋_GB2312" w:eastAsia="仿宋_GB2312" w:hAnsi="仿宋_GB2312" w:cs="仿宋_GB2312"/>
          <w:sz w:val="21"/>
          <w:szCs w:val="21"/>
        </w:rPr>
      </w:pPr>
      <w:bookmarkStart w:id="38" w:name="_Toc5657"/>
      <w:r>
        <w:rPr>
          <w:rFonts w:ascii="仿宋_GB2312" w:eastAsia="仿宋_GB2312" w:hAnsi="仿宋_GB2312" w:cs="仿宋_GB2312" w:hint="eastAsia"/>
          <w:sz w:val="21"/>
          <w:szCs w:val="21"/>
        </w:rPr>
        <w:t>运输用基本设备及常用材料</w:t>
      </w:r>
      <w:bookmarkEnd w:id="38"/>
    </w:p>
    <w:p w:rsidR="00AB1940" w:rsidRDefault="00933D56">
      <w:pPr>
        <w:numPr>
          <w:ilvl w:val="0"/>
          <w:numId w:val="36"/>
        </w:num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行车；b.叉车；c.各种规格的胶合板垫木；d.带塑料保护套的钢丝绳、紧固拉钩套件、花兰螺丝、捆绑器、钢钉；e.晴纶卷、橡胶板、稻草绳；f.钢制打包带；g.发泡塑料（喷塑杆专用）；h.尼龙绳（用于替代目前喷塑杆包装中使用的草绳）；i.胶合板配件箱；j.木料切割机；k.镀锌螺丝及螺母（用于小部件固定）。</w:t>
      </w:r>
    </w:p>
    <w:p w:rsidR="00AB1940" w:rsidRDefault="00933D56">
      <w:pPr>
        <w:spacing w:line="360" w:lineRule="auto"/>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在运输、装卸等环节，必须做好成品保护，确保货物完好无损。所有措施费用含在投标报价中。</w:t>
      </w:r>
    </w:p>
    <w:p w:rsidR="00AB1940" w:rsidRDefault="00AB1940">
      <w:pPr>
        <w:spacing w:line="360" w:lineRule="auto"/>
        <w:ind w:firstLineChars="200" w:firstLine="420"/>
        <w:rPr>
          <w:szCs w:val="21"/>
        </w:rPr>
      </w:pPr>
    </w:p>
    <w:bookmarkEnd w:id="1"/>
    <w:bookmarkEnd w:id="2"/>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933D56">
      <w:pPr>
        <w:pStyle w:val="1"/>
        <w:spacing w:line="360" w:lineRule="auto"/>
      </w:pPr>
      <w:r>
        <w:rPr>
          <w:rFonts w:hint="eastAsia"/>
        </w:rPr>
        <w:t>四、灯具详细参数</w:t>
      </w:r>
    </w:p>
    <w:p w:rsidR="00AB1940" w:rsidRDefault="00933D56">
      <w:pPr>
        <w:pStyle w:val="3"/>
        <w:numPr>
          <w:ilvl w:val="0"/>
          <w:numId w:val="37"/>
        </w:numPr>
        <w:ind w:leftChars="0" w:firstLineChars="0"/>
      </w:pPr>
      <w:r>
        <w:rPr>
          <w:rFonts w:hint="eastAsia"/>
        </w:rPr>
        <w:t>3W</w:t>
      </w:r>
      <w:r>
        <w:rPr>
          <w:rFonts w:hint="eastAsia"/>
        </w:rPr>
        <w:t>圆形</w:t>
      </w:r>
      <w:r>
        <w:rPr>
          <w:rFonts w:hint="eastAsia"/>
        </w:rPr>
        <w:t>LED</w:t>
      </w:r>
      <w:r>
        <w:rPr>
          <w:rFonts w:hint="eastAsia"/>
        </w:rPr>
        <w:t>造型灯具（</w:t>
      </w:r>
      <w:r>
        <w:rPr>
          <w:rFonts w:hint="eastAsia"/>
        </w:rPr>
        <w:t>RGB</w:t>
      </w:r>
      <w:r>
        <w:rPr>
          <w:rFonts w:hint="eastAsia"/>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54"/>
        <w:gridCol w:w="1090"/>
        <w:gridCol w:w="953"/>
        <w:gridCol w:w="212"/>
        <w:gridCol w:w="1021"/>
        <w:gridCol w:w="971"/>
        <w:gridCol w:w="1210"/>
        <w:gridCol w:w="1123"/>
        <w:gridCol w:w="2242"/>
      </w:tblGrid>
      <w:tr w:rsidR="00AB1940">
        <w:trPr>
          <w:trHeight w:val="472"/>
        </w:trPr>
        <w:tc>
          <w:tcPr>
            <w:tcW w:w="954" w:type="dxa"/>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灯具名称</w:t>
            </w:r>
          </w:p>
        </w:tc>
        <w:tc>
          <w:tcPr>
            <w:tcW w:w="8822" w:type="dxa"/>
            <w:gridSpan w:val="8"/>
            <w:shd w:val="clear" w:color="auto" w:fill="auto"/>
            <w:vAlign w:val="center"/>
          </w:tcPr>
          <w:p w:rsidR="00AB1940" w:rsidRDefault="00933D56">
            <w:pPr>
              <w:widowControl/>
              <w:jc w:val="center"/>
              <w:textAlignment w:val="center"/>
              <w:rPr>
                <w:rFonts w:ascii="宋体" w:hAnsi="宋体" w:cs="宋体"/>
                <w:kern w:val="0"/>
                <w:sz w:val="24"/>
              </w:rPr>
            </w:pPr>
            <w:r>
              <w:rPr>
                <w:rFonts w:ascii="宋体" w:hAnsi="宋体" w:cs="宋体" w:hint="eastAsia"/>
                <w:kern w:val="0"/>
                <w:sz w:val="24"/>
              </w:rPr>
              <w:t>3W圆形LED造型灯具</w:t>
            </w:r>
          </w:p>
        </w:tc>
      </w:tr>
      <w:tr w:rsidR="00AB1940">
        <w:trPr>
          <w:trHeight w:val="1830"/>
        </w:trPr>
        <w:tc>
          <w:tcPr>
            <w:tcW w:w="954" w:type="dxa"/>
            <w:vMerge w:val="restart"/>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详细参数</w:t>
            </w:r>
          </w:p>
        </w:tc>
        <w:tc>
          <w:tcPr>
            <w:tcW w:w="1090"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w:t>
            </w:r>
          </w:p>
        </w:tc>
        <w:tc>
          <w:tcPr>
            <w:tcW w:w="2186" w:type="dxa"/>
            <w:gridSpan w:val="3"/>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外形</w:t>
            </w:r>
          </w:p>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（仅供参考）</w:t>
            </w:r>
          </w:p>
        </w:tc>
        <w:tc>
          <w:tcPr>
            <w:tcW w:w="5546" w:type="dxa"/>
            <w:gridSpan w:val="4"/>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noProof/>
                <w:sz w:val="22"/>
                <w:szCs w:val="22"/>
              </w:rPr>
              <w:drawing>
                <wp:inline distT="0" distB="0" distL="0" distR="0">
                  <wp:extent cx="1413510" cy="155194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8" cstate="print"/>
                          <a:srcRect/>
                          <a:stretch>
                            <a:fillRect/>
                          </a:stretch>
                        </pic:blipFill>
                        <pic:spPr>
                          <a:xfrm>
                            <a:off x="0" y="0"/>
                            <a:ext cx="1413510" cy="1552312"/>
                          </a:xfrm>
                          <a:prstGeom prst="rect">
                            <a:avLst/>
                          </a:prstGeom>
                          <a:noFill/>
                          <a:ln w="9525">
                            <a:noFill/>
                            <a:miter lim="800000"/>
                            <a:headEnd/>
                            <a:tailEnd/>
                          </a:ln>
                        </pic:spPr>
                      </pic:pic>
                    </a:graphicData>
                  </a:graphic>
                </wp:inline>
              </w:drawing>
            </w:r>
          </w:p>
        </w:tc>
      </w:tr>
      <w:tr w:rsidR="00AB1940">
        <w:trPr>
          <w:trHeight w:val="48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尺寸</w:t>
            </w:r>
          </w:p>
        </w:tc>
        <w:tc>
          <w:tcPr>
            <w:tcW w:w="1233"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hAnsi="宋体" w:cs="宋体" w:hint="eastAsia"/>
                <w:b/>
                <w:kern w:val="0"/>
                <w:sz w:val="22"/>
                <w:szCs w:val="22"/>
              </w:rPr>
              <w:t>直径(φ</w:t>
            </w:r>
            <w:r>
              <w:rPr>
                <w:rFonts w:ascii="宋体" w:eastAsia="宋体" w:hAnsi="宋体" w:cs="宋体" w:hint="eastAsia"/>
                <w:b/>
                <w:kern w:val="0"/>
                <w:sz w:val="22"/>
                <w:szCs w:val="22"/>
              </w:rPr>
              <w:t>）</w:t>
            </w:r>
          </w:p>
        </w:tc>
        <w:tc>
          <w:tcPr>
            <w:tcW w:w="2181" w:type="dxa"/>
            <w:gridSpan w:val="2"/>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hAnsi="宋体" w:cs="宋体" w:hint="eastAsia"/>
                <w:kern w:val="0"/>
                <w:sz w:val="22"/>
                <w:szCs w:val="22"/>
              </w:rPr>
              <w:t>300</w:t>
            </w:r>
            <w:r>
              <w:rPr>
                <w:rFonts w:ascii="宋体" w:eastAsia="宋体" w:hAnsi="宋体" w:cs="宋体" w:hint="eastAsia"/>
                <w:kern w:val="0"/>
                <w:sz w:val="22"/>
                <w:szCs w:val="22"/>
              </w:rPr>
              <w:t>mm</w:t>
            </w:r>
          </w:p>
        </w:tc>
        <w:tc>
          <w:tcPr>
            <w:tcW w:w="1123" w:type="dxa"/>
            <w:shd w:val="clear" w:color="auto" w:fill="auto"/>
            <w:vAlign w:val="center"/>
          </w:tcPr>
          <w:p w:rsidR="00AB1940" w:rsidRDefault="00933D56">
            <w:pPr>
              <w:widowControl/>
              <w:jc w:val="center"/>
              <w:textAlignment w:val="center"/>
              <w:rPr>
                <w:rFonts w:ascii="宋体" w:eastAsia="宋体" w:hAnsi="宋体" w:cs="宋体"/>
                <w:b/>
                <w:bCs/>
                <w:sz w:val="22"/>
                <w:szCs w:val="22"/>
              </w:rPr>
            </w:pPr>
            <w:r>
              <w:rPr>
                <w:rFonts w:ascii="宋体" w:eastAsia="宋体" w:hAnsi="宋体" w:cs="宋体" w:hint="eastAsia"/>
                <w:b/>
                <w:bCs/>
                <w:kern w:val="0"/>
                <w:sz w:val="22"/>
                <w:szCs w:val="22"/>
              </w:rPr>
              <w:t>允许偏差</w:t>
            </w:r>
          </w:p>
        </w:tc>
        <w:tc>
          <w:tcPr>
            <w:tcW w:w="2242"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±10mm</w:t>
            </w:r>
          </w:p>
        </w:tc>
      </w:tr>
      <w:tr w:rsidR="00AB1940">
        <w:trPr>
          <w:trHeight w:val="494"/>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材质</w:t>
            </w:r>
          </w:p>
        </w:tc>
        <w:tc>
          <w:tcPr>
            <w:tcW w:w="1233"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灯具外壳</w:t>
            </w:r>
          </w:p>
        </w:tc>
        <w:tc>
          <w:tcPr>
            <w:tcW w:w="5546" w:type="dxa"/>
            <w:gridSpan w:val="4"/>
            <w:shd w:val="clear" w:color="auto" w:fill="auto"/>
            <w:vAlign w:val="center"/>
          </w:tcPr>
          <w:p w:rsidR="00AB1940" w:rsidRDefault="00933D56">
            <w:pPr>
              <w:widowControl/>
              <w:jc w:val="left"/>
              <w:rPr>
                <w:sz w:val="22"/>
                <w:szCs w:val="22"/>
              </w:rPr>
            </w:pPr>
            <w:r>
              <w:rPr>
                <w:rFonts w:ascii="宋体" w:eastAsia="宋体" w:hAnsi="宋体" w:cs="宋体" w:hint="eastAsia"/>
                <w:kern w:val="0"/>
                <w:sz w:val="22"/>
                <w:szCs w:val="22"/>
                <w:lang w:bidi="ar"/>
              </w:rPr>
              <w:t>灯具材质：灯具整体为 PE 材料，透光罩为 PC 灯罩</w:t>
            </w:r>
          </w:p>
          <w:p w:rsidR="00AB1940" w:rsidRDefault="00933D56">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不锈钢底座,绝缘阻燃硅胶填充（防水、防火、抗紫外线）一体成形。不锈钢底座根据现场采用不同结构固定方式</w:t>
            </w:r>
          </w:p>
        </w:tc>
      </w:tr>
      <w:tr w:rsidR="00AB1940">
        <w:trPr>
          <w:trHeight w:val="51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shd w:val="clear" w:color="auto" w:fill="auto"/>
            <w:vAlign w:val="center"/>
          </w:tcPr>
          <w:p w:rsidR="00AB1940" w:rsidRDefault="00AB1940">
            <w:pPr>
              <w:jc w:val="center"/>
              <w:rPr>
                <w:rFonts w:ascii="宋体" w:eastAsia="宋体" w:hAnsi="宋体" w:cs="宋体"/>
                <w:b/>
                <w:sz w:val="22"/>
                <w:szCs w:val="22"/>
              </w:rPr>
            </w:pPr>
          </w:p>
        </w:tc>
        <w:tc>
          <w:tcPr>
            <w:tcW w:w="1233"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出光面</w:t>
            </w:r>
          </w:p>
        </w:tc>
        <w:tc>
          <w:tcPr>
            <w:tcW w:w="5546" w:type="dxa"/>
            <w:gridSpan w:val="4"/>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抗紫外线厚度5mmPC灯罩</w:t>
            </w:r>
          </w:p>
        </w:tc>
      </w:tr>
      <w:tr w:rsidR="00AB1940">
        <w:trPr>
          <w:trHeight w:val="45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3"/>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外壳颜色</w:t>
            </w:r>
          </w:p>
        </w:tc>
        <w:tc>
          <w:tcPr>
            <w:tcW w:w="5546" w:type="dxa"/>
            <w:gridSpan w:val="4"/>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白色</w:t>
            </w:r>
          </w:p>
        </w:tc>
      </w:tr>
      <w:tr w:rsidR="00AB1940">
        <w:trPr>
          <w:trHeight w:val="45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3"/>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功率</w:t>
            </w:r>
          </w:p>
        </w:tc>
        <w:tc>
          <w:tcPr>
            <w:tcW w:w="5546" w:type="dxa"/>
            <w:gridSpan w:val="4"/>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3W</w:t>
            </w:r>
          </w:p>
        </w:tc>
      </w:tr>
      <w:tr w:rsidR="00AB1940">
        <w:trPr>
          <w:trHeight w:val="48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3"/>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光色</w:t>
            </w:r>
          </w:p>
        </w:tc>
        <w:tc>
          <w:tcPr>
            <w:tcW w:w="5546" w:type="dxa"/>
            <w:gridSpan w:val="4"/>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RGB，16色</w:t>
            </w:r>
          </w:p>
        </w:tc>
      </w:tr>
      <w:tr w:rsidR="00AB1940">
        <w:trPr>
          <w:trHeight w:val="52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3"/>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输入电压</w:t>
            </w:r>
          </w:p>
        </w:tc>
        <w:tc>
          <w:tcPr>
            <w:tcW w:w="5546" w:type="dxa"/>
            <w:gridSpan w:val="4"/>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24V</w:t>
            </w:r>
          </w:p>
        </w:tc>
      </w:tr>
      <w:tr w:rsidR="00AB1940">
        <w:trPr>
          <w:trHeight w:val="53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光源</w:t>
            </w:r>
          </w:p>
        </w:tc>
        <w:tc>
          <w:tcPr>
            <w:tcW w:w="1233"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LED数量</w:t>
            </w:r>
          </w:p>
        </w:tc>
        <w:tc>
          <w:tcPr>
            <w:tcW w:w="5546" w:type="dxa"/>
            <w:gridSpan w:val="4"/>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7灯/组</w:t>
            </w:r>
          </w:p>
        </w:tc>
      </w:tr>
      <w:tr w:rsidR="00AB1940">
        <w:trPr>
          <w:trHeight w:val="68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AB1940">
            <w:pPr>
              <w:jc w:val="center"/>
              <w:rPr>
                <w:rFonts w:ascii="宋体" w:eastAsia="宋体" w:hAnsi="宋体" w:cs="宋体"/>
                <w:b/>
                <w:sz w:val="22"/>
                <w:szCs w:val="22"/>
              </w:rPr>
            </w:pPr>
          </w:p>
        </w:tc>
        <w:tc>
          <w:tcPr>
            <w:tcW w:w="2186" w:type="dxa"/>
            <w:gridSpan w:val="3"/>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防护等级</w:t>
            </w:r>
          </w:p>
        </w:tc>
        <w:tc>
          <w:tcPr>
            <w:tcW w:w="5546" w:type="dxa"/>
            <w:gridSpan w:val="4"/>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IP65</w:t>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光学</w:t>
            </w:r>
          </w:p>
        </w:tc>
        <w:tc>
          <w:tcPr>
            <w:tcW w:w="1165"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半峰发散角</w:t>
            </w:r>
          </w:p>
        </w:tc>
        <w:tc>
          <w:tcPr>
            <w:tcW w:w="1992" w:type="dxa"/>
            <w:gridSpan w:val="2"/>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w:t>
            </w:r>
          </w:p>
        </w:tc>
        <w:tc>
          <w:tcPr>
            <w:tcW w:w="2333"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配光要求</w:t>
            </w:r>
          </w:p>
        </w:tc>
        <w:tc>
          <w:tcPr>
            <w:tcW w:w="2242"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对称配光,球体发光均匀</w:t>
            </w:r>
          </w:p>
        </w:tc>
      </w:tr>
      <w:tr w:rsidR="00AB1940">
        <w:trPr>
          <w:trHeight w:val="842"/>
        </w:trPr>
        <w:tc>
          <w:tcPr>
            <w:tcW w:w="954" w:type="dxa"/>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控制方式</w:t>
            </w:r>
          </w:p>
        </w:tc>
        <w:tc>
          <w:tcPr>
            <w:tcW w:w="7732" w:type="dxa"/>
            <w:gridSpan w:val="7"/>
            <w:shd w:val="clear" w:color="auto" w:fill="auto"/>
            <w:vAlign w:val="center"/>
          </w:tcPr>
          <w:p w:rsidR="00AB1940" w:rsidRDefault="00933D56">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t>DMX512外控,每套灯具一个控制单元</w:t>
            </w:r>
          </w:p>
        </w:tc>
      </w:tr>
      <w:tr w:rsidR="00AB1940">
        <w:trPr>
          <w:trHeight w:val="842"/>
        </w:trPr>
        <w:tc>
          <w:tcPr>
            <w:tcW w:w="954" w:type="dxa"/>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备注</w:t>
            </w:r>
          </w:p>
        </w:tc>
        <w:tc>
          <w:tcPr>
            <w:tcW w:w="7732" w:type="dxa"/>
            <w:gridSpan w:val="7"/>
            <w:shd w:val="clear" w:color="auto" w:fill="auto"/>
            <w:vAlign w:val="center"/>
          </w:tcPr>
          <w:p w:rsidR="00AB1940" w:rsidRDefault="00933D56">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t>需包含固定装置等相关配件及控制系统</w:t>
            </w:r>
          </w:p>
        </w:tc>
      </w:tr>
    </w:tbl>
    <w:p w:rsidR="00AB1940" w:rsidRDefault="00AB1940"/>
    <w:p w:rsidR="00AB1940" w:rsidRDefault="00AB1940"/>
    <w:p w:rsidR="00AB1940" w:rsidRDefault="00AB1940"/>
    <w:p w:rsidR="00AB1940" w:rsidRDefault="00AB1940"/>
    <w:p w:rsidR="00AB1940" w:rsidRDefault="00AB1940"/>
    <w:p w:rsidR="00AB1940" w:rsidRDefault="00AB1940"/>
    <w:p w:rsidR="00AB1940" w:rsidRDefault="00933D56">
      <w:pPr>
        <w:pStyle w:val="3"/>
        <w:numPr>
          <w:ilvl w:val="0"/>
          <w:numId w:val="37"/>
        </w:numPr>
        <w:ind w:leftChars="0" w:firstLineChars="0"/>
      </w:pPr>
      <w:r>
        <w:rPr>
          <w:rFonts w:hint="eastAsia"/>
        </w:rPr>
        <w:t>6W</w:t>
      </w:r>
      <w:r>
        <w:rPr>
          <w:rFonts w:hint="eastAsia"/>
        </w:rPr>
        <w:t>圆形</w:t>
      </w:r>
      <w:r>
        <w:rPr>
          <w:rFonts w:hint="eastAsia"/>
        </w:rPr>
        <w:t>LED</w:t>
      </w:r>
      <w:r>
        <w:rPr>
          <w:rFonts w:hint="eastAsia"/>
        </w:rPr>
        <w:t>造型灯具（</w:t>
      </w:r>
      <w:r>
        <w:rPr>
          <w:rFonts w:hint="eastAsia"/>
        </w:rPr>
        <w:t>RGB</w:t>
      </w:r>
      <w:r>
        <w:rPr>
          <w:rFonts w:hint="eastAsia"/>
        </w:rPr>
        <w:t>）</w:t>
      </w:r>
    </w:p>
    <w:p w:rsidR="00AB1940" w:rsidRDefault="00AB1940"/>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54"/>
        <w:gridCol w:w="1090"/>
        <w:gridCol w:w="953"/>
        <w:gridCol w:w="1233"/>
        <w:gridCol w:w="2181"/>
        <w:gridCol w:w="1123"/>
        <w:gridCol w:w="2242"/>
      </w:tblGrid>
      <w:tr w:rsidR="00AB1940">
        <w:trPr>
          <w:trHeight w:val="532"/>
        </w:trPr>
        <w:tc>
          <w:tcPr>
            <w:tcW w:w="954" w:type="dxa"/>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灯具名称</w:t>
            </w:r>
          </w:p>
        </w:tc>
        <w:tc>
          <w:tcPr>
            <w:tcW w:w="8822" w:type="dxa"/>
            <w:gridSpan w:val="6"/>
            <w:shd w:val="clear" w:color="auto" w:fill="auto"/>
            <w:vAlign w:val="center"/>
          </w:tcPr>
          <w:p w:rsidR="00AB1940" w:rsidRDefault="00933D56">
            <w:pPr>
              <w:widowControl/>
              <w:jc w:val="center"/>
              <w:textAlignment w:val="center"/>
              <w:rPr>
                <w:rFonts w:ascii="宋体" w:hAnsi="宋体" w:cs="宋体"/>
                <w:kern w:val="0"/>
                <w:sz w:val="24"/>
              </w:rPr>
            </w:pPr>
            <w:r>
              <w:rPr>
                <w:rFonts w:ascii="宋体" w:hAnsi="宋体" w:cs="宋体" w:hint="eastAsia"/>
                <w:kern w:val="0"/>
                <w:sz w:val="24"/>
              </w:rPr>
              <w:t xml:space="preserve">6W圆形LED造型灯具  </w:t>
            </w:r>
          </w:p>
        </w:tc>
      </w:tr>
      <w:tr w:rsidR="00AB1940">
        <w:trPr>
          <w:trHeight w:val="1830"/>
        </w:trPr>
        <w:tc>
          <w:tcPr>
            <w:tcW w:w="954" w:type="dxa"/>
            <w:vMerge w:val="restart"/>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详细参数</w:t>
            </w:r>
          </w:p>
        </w:tc>
        <w:tc>
          <w:tcPr>
            <w:tcW w:w="1090"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w:t>
            </w: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外形</w:t>
            </w:r>
          </w:p>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（仅供参考）</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noProof/>
                <w:sz w:val="22"/>
                <w:szCs w:val="22"/>
              </w:rPr>
              <w:drawing>
                <wp:inline distT="0" distB="0" distL="0" distR="0">
                  <wp:extent cx="1413510" cy="1551940"/>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noChangeArrowheads="1"/>
                          </pic:cNvPicPr>
                        </pic:nvPicPr>
                        <pic:blipFill>
                          <a:blip r:embed="rId19" cstate="print"/>
                          <a:srcRect/>
                          <a:stretch>
                            <a:fillRect/>
                          </a:stretch>
                        </pic:blipFill>
                        <pic:spPr>
                          <a:xfrm>
                            <a:off x="0" y="0"/>
                            <a:ext cx="1413510" cy="1552312"/>
                          </a:xfrm>
                          <a:prstGeom prst="rect">
                            <a:avLst/>
                          </a:prstGeom>
                          <a:noFill/>
                          <a:ln w="9525">
                            <a:noFill/>
                            <a:miter lim="800000"/>
                            <a:headEnd/>
                            <a:tailEnd/>
                          </a:ln>
                        </pic:spPr>
                      </pic:pic>
                    </a:graphicData>
                  </a:graphic>
                </wp:inline>
              </w:drawing>
            </w:r>
          </w:p>
        </w:tc>
      </w:tr>
      <w:tr w:rsidR="00AB1940">
        <w:trPr>
          <w:trHeight w:val="62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尺寸</w:t>
            </w: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hAnsi="宋体" w:cs="宋体" w:hint="eastAsia"/>
                <w:b/>
                <w:kern w:val="0"/>
                <w:sz w:val="22"/>
                <w:szCs w:val="22"/>
              </w:rPr>
              <w:t>直径(φ</w:t>
            </w:r>
            <w:r>
              <w:rPr>
                <w:rFonts w:ascii="宋体" w:eastAsia="宋体" w:hAnsi="宋体" w:cs="宋体" w:hint="eastAsia"/>
                <w:b/>
                <w:kern w:val="0"/>
                <w:sz w:val="22"/>
                <w:szCs w:val="22"/>
              </w:rPr>
              <w:t>）</w:t>
            </w:r>
          </w:p>
        </w:tc>
        <w:tc>
          <w:tcPr>
            <w:tcW w:w="2181"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hAnsi="宋体" w:cs="宋体" w:hint="eastAsia"/>
                <w:kern w:val="0"/>
                <w:sz w:val="22"/>
                <w:szCs w:val="22"/>
              </w:rPr>
              <w:t>600</w:t>
            </w:r>
            <w:r>
              <w:rPr>
                <w:rFonts w:ascii="宋体" w:eastAsia="宋体" w:hAnsi="宋体" w:cs="宋体" w:hint="eastAsia"/>
                <w:kern w:val="0"/>
                <w:sz w:val="22"/>
                <w:szCs w:val="22"/>
              </w:rPr>
              <w:t>mm</w:t>
            </w:r>
          </w:p>
        </w:tc>
        <w:tc>
          <w:tcPr>
            <w:tcW w:w="1123" w:type="dxa"/>
            <w:shd w:val="clear" w:color="auto" w:fill="auto"/>
            <w:vAlign w:val="center"/>
          </w:tcPr>
          <w:p w:rsidR="00AB1940" w:rsidRDefault="00933D56">
            <w:pPr>
              <w:widowControl/>
              <w:jc w:val="center"/>
              <w:textAlignment w:val="center"/>
              <w:rPr>
                <w:rFonts w:ascii="宋体" w:eastAsia="宋体" w:hAnsi="宋体" w:cs="宋体"/>
                <w:b/>
                <w:bCs/>
                <w:sz w:val="22"/>
                <w:szCs w:val="22"/>
              </w:rPr>
            </w:pPr>
            <w:r>
              <w:rPr>
                <w:rFonts w:ascii="宋体" w:eastAsia="宋体" w:hAnsi="宋体" w:cs="宋体" w:hint="eastAsia"/>
                <w:b/>
                <w:bCs/>
                <w:kern w:val="0"/>
                <w:sz w:val="22"/>
                <w:szCs w:val="22"/>
              </w:rPr>
              <w:t>允许偏差</w:t>
            </w:r>
          </w:p>
        </w:tc>
        <w:tc>
          <w:tcPr>
            <w:tcW w:w="2242"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±10mm</w:t>
            </w:r>
          </w:p>
        </w:tc>
      </w:tr>
      <w:tr w:rsidR="00AB1940">
        <w:trPr>
          <w:trHeight w:val="494"/>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材质</w:t>
            </w: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灯具外壳</w:t>
            </w:r>
          </w:p>
        </w:tc>
        <w:tc>
          <w:tcPr>
            <w:tcW w:w="5546" w:type="dxa"/>
            <w:gridSpan w:val="3"/>
            <w:shd w:val="clear" w:color="auto" w:fill="auto"/>
            <w:vAlign w:val="center"/>
          </w:tcPr>
          <w:p w:rsidR="00AB1940" w:rsidRDefault="00933D56">
            <w:pPr>
              <w:widowControl/>
              <w:jc w:val="left"/>
              <w:rPr>
                <w:sz w:val="22"/>
                <w:szCs w:val="22"/>
              </w:rPr>
            </w:pPr>
            <w:r>
              <w:rPr>
                <w:rFonts w:ascii="宋体" w:eastAsia="宋体" w:hAnsi="宋体" w:cs="宋体" w:hint="eastAsia"/>
                <w:kern w:val="0"/>
                <w:sz w:val="22"/>
                <w:szCs w:val="22"/>
                <w:lang w:bidi="ar"/>
              </w:rPr>
              <w:t>灯具材质：灯具整体为 PE 材料，透光罩为 PC 灯罩</w:t>
            </w:r>
          </w:p>
          <w:p w:rsidR="00AB1940" w:rsidRDefault="00933D56">
            <w:pPr>
              <w:widowControl/>
              <w:jc w:val="left"/>
              <w:textAlignment w:val="center"/>
              <w:rPr>
                <w:rFonts w:ascii="宋体" w:eastAsia="宋体" w:hAnsi="宋体" w:cs="宋体"/>
                <w:sz w:val="22"/>
                <w:szCs w:val="22"/>
              </w:rPr>
            </w:pPr>
            <w:r>
              <w:rPr>
                <w:rFonts w:ascii="宋体" w:eastAsia="宋体" w:hAnsi="宋体" w:cs="宋体" w:hint="eastAsia"/>
                <w:kern w:val="0"/>
                <w:sz w:val="22"/>
                <w:szCs w:val="22"/>
              </w:rPr>
              <w:t>不锈钢底座,绝缘阻燃硅胶填充（防水、防火、抗紫外线）一体成形。不锈钢底座根据现场采用不同结构固定方式</w:t>
            </w:r>
          </w:p>
        </w:tc>
      </w:tr>
      <w:tr w:rsidR="00AB1940">
        <w:trPr>
          <w:trHeight w:val="45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shd w:val="clear" w:color="auto" w:fill="auto"/>
            <w:vAlign w:val="center"/>
          </w:tcPr>
          <w:p w:rsidR="00AB1940" w:rsidRDefault="00AB1940">
            <w:pPr>
              <w:jc w:val="center"/>
              <w:rPr>
                <w:rFonts w:ascii="宋体" w:eastAsia="宋体" w:hAnsi="宋体" w:cs="宋体"/>
                <w:b/>
                <w:sz w:val="22"/>
                <w:szCs w:val="22"/>
              </w:rPr>
            </w:pP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出光面</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抗紫外线厚度5mmPC灯罩</w:t>
            </w:r>
          </w:p>
        </w:tc>
      </w:tr>
      <w:tr w:rsidR="00AB1940">
        <w:trPr>
          <w:trHeight w:val="55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外壳颜色</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白色</w:t>
            </w:r>
          </w:p>
        </w:tc>
      </w:tr>
      <w:tr w:rsidR="00AB1940">
        <w:trPr>
          <w:trHeight w:val="55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功率</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6W</w:t>
            </w:r>
          </w:p>
        </w:tc>
      </w:tr>
      <w:tr w:rsidR="00AB1940">
        <w:trPr>
          <w:trHeight w:val="48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光色</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RGB，16色</w:t>
            </w:r>
          </w:p>
        </w:tc>
      </w:tr>
      <w:tr w:rsidR="00AB1940">
        <w:trPr>
          <w:trHeight w:val="56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输入电压</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24V</w:t>
            </w:r>
          </w:p>
        </w:tc>
      </w:tr>
      <w:tr w:rsidR="00AB1940">
        <w:trPr>
          <w:trHeight w:val="59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光源</w:t>
            </w:r>
          </w:p>
        </w:tc>
        <w:tc>
          <w:tcPr>
            <w:tcW w:w="1233" w:type="dxa"/>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LED数量</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7灯/组</w:t>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光学</w:t>
            </w: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防护等级</w:t>
            </w:r>
          </w:p>
        </w:tc>
        <w:tc>
          <w:tcPr>
            <w:tcW w:w="3304"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sz w:val="22"/>
                <w:szCs w:val="22"/>
              </w:rPr>
              <w:t>IP65</w:t>
            </w:r>
          </w:p>
        </w:tc>
        <w:tc>
          <w:tcPr>
            <w:tcW w:w="2242"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对称配光,球体发光均匀</w:t>
            </w:r>
          </w:p>
        </w:tc>
      </w:tr>
      <w:tr w:rsidR="00AB1940">
        <w:trPr>
          <w:trHeight w:val="882"/>
        </w:trPr>
        <w:tc>
          <w:tcPr>
            <w:tcW w:w="954" w:type="dxa"/>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备注</w:t>
            </w:r>
          </w:p>
        </w:tc>
        <w:tc>
          <w:tcPr>
            <w:tcW w:w="7732" w:type="dxa"/>
            <w:gridSpan w:val="5"/>
            <w:shd w:val="clear" w:color="auto" w:fill="auto"/>
            <w:vAlign w:val="center"/>
          </w:tcPr>
          <w:p w:rsidR="00AB1940" w:rsidRDefault="00933D56">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t>需包含固定装置等相关配件及控制系统</w:t>
            </w:r>
          </w:p>
        </w:tc>
      </w:tr>
    </w:tbl>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933D56">
      <w:pPr>
        <w:rPr>
          <w:rFonts w:ascii="黑体" w:eastAsia="黑体" w:hAnsi="黑体" w:cs="黑体"/>
          <w:sz w:val="28"/>
          <w:szCs w:val="28"/>
        </w:rPr>
      </w:pPr>
      <w:r>
        <w:rPr>
          <w:rFonts w:ascii="黑体" w:eastAsia="黑体" w:hAnsi="黑体" w:cs="黑体" w:hint="eastAsia"/>
          <w:color w:val="000000"/>
          <w:kern w:val="0"/>
          <w:sz w:val="28"/>
          <w:szCs w:val="28"/>
          <w:lang w:bidi="ar"/>
        </w:rPr>
        <w:t>3）20W圆形LED造型灯具（4000K）</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54"/>
        <w:gridCol w:w="1090"/>
        <w:gridCol w:w="953"/>
        <w:gridCol w:w="1233"/>
        <w:gridCol w:w="2181"/>
        <w:gridCol w:w="732"/>
        <w:gridCol w:w="2633"/>
      </w:tblGrid>
      <w:tr w:rsidR="00AB1940">
        <w:trPr>
          <w:trHeight w:val="532"/>
        </w:trPr>
        <w:tc>
          <w:tcPr>
            <w:tcW w:w="954" w:type="dxa"/>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灯具名称</w:t>
            </w:r>
          </w:p>
        </w:tc>
        <w:tc>
          <w:tcPr>
            <w:tcW w:w="8822" w:type="dxa"/>
            <w:gridSpan w:val="6"/>
            <w:shd w:val="clear" w:color="auto" w:fill="auto"/>
            <w:vAlign w:val="center"/>
          </w:tcPr>
          <w:p w:rsidR="00AB1940" w:rsidRDefault="00933D56">
            <w:pPr>
              <w:widowControl/>
              <w:jc w:val="center"/>
              <w:textAlignment w:val="center"/>
              <w:rPr>
                <w:rFonts w:ascii="宋体" w:hAnsi="宋体" w:cs="宋体"/>
                <w:kern w:val="0"/>
                <w:sz w:val="24"/>
              </w:rPr>
            </w:pPr>
            <w:r>
              <w:rPr>
                <w:rFonts w:ascii="宋体" w:hAnsi="宋体" w:cs="宋体" w:hint="eastAsia"/>
                <w:kern w:val="0"/>
                <w:sz w:val="24"/>
              </w:rPr>
              <w:t xml:space="preserve">20W LED立杆造型灯具 </w:t>
            </w:r>
          </w:p>
        </w:tc>
      </w:tr>
      <w:tr w:rsidR="00AB1940">
        <w:trPr>
          <w:trHeight w:val="1830"/>
        </w:trPr>
        <w:tc>
          <w:tcPr>
            <w:tcW w:w="954" w:type="dxa"/>
            <w:vMerge w:val="restart"/>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详细参数</w:t>
            </w:r>
          </w:p>
        </w:tc>
        <w:tc>
          <w:tcPr>
            <w:tcW w:w="1090"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w:t>
            </w: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外形</w:t>
            </w:r>
          </w:p>
          <w:p w:rsidR="00AB1940" w:rsidRDefault="00AB1940">
            <w:pPr>
              <w:widowControl/>
              <w:jc w:val="center"/>
              <w:textAlignment w:val="center"/>
              <w:rPr>
                <w:rFonts w:ascii="宋体" w:eastAsia="宋体" w:hAnsi="宋体" w:cs="宋体"/>
                <w:b/>
                <w:kern w:val="0"/>
                <w:sz w:val="22"/>
                <w:szCs w:val="22"/>
              </w:rPr>
            </w:pP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noProof/>
                <w:sz w:val="22"/>
                <w:szCs w:val="22"/>
              </w:rPr>
              <w:drawing>
                <wp:inline distT="0" distB="0" distL="114300" distR="114300">
                  <wp:extent cx="1269365" cy="1330325"/>
                  <wp:effectExtent l="0" t="0" r="6985" b="3175"/>
                  <wp:docPr id="3" name="图片 3" descr="1663996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63996169(1)"/>
                          <pic:cNvPicPr>
                            <a:picLocks noChangeAspect="1"/>
                          </pic:cNvPicPr>
                        </pic:nvPicPr>
                        <pic:blipFill>
                          <a:blip r:embed="rId20"/>
                          <a:stretch>
                            <a:fillRect/>
                          </a:stretch>
                        </pic:blipFill>
                        <pic:spPr>
                          <a:xfrm>
                            <a:off x="0" y="0"/>
                            <a:ext cx="1269365" cy="1330325"/>
                          </a:xfrm>
                          <a:prstGeom prst="rect">
                            <a:avLst/>
                          </a:prstGeom>
                        </pic:spPr>
                      </pic:pic>
                    </a:graphicData>
                  </a:graphic>
                </wp:inline>
              </w:drawing>
            </w:r>
            <w:r>
              <w:rPr>
                <w:rFonts w:ascii="宋体" w:eastAsia="宋体" w:hAnsi="宋体" w:cs="宋体" w:hint="eastAsia"/>
                <w:noProof/>
                <w:sz w:val="22"/>
                <w:szCs w:val="22"/>
              </w:rPr>
              <w:drawing>
                <wp:inline distT="0" distB="0" distL="114300" distR="114300">
                  <wp:extent cx="837565" cy="1950085"/>
                  <wp:effectExtent l="0" t="0" r="635" b="12065"/>
                  <wp:docPr id="2" name="图片 2" descr="82099368478215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20993684782153842"/>
                          <pic:cNvPicPr>
                            <a:picLocks noChangeAspect="1"/>
                          </pic:cNvPicPr>
                        </pic:nvPicPr>
                        <pic:blipFill>
                          <a:blip r:embed="rId21"/>
                          <a:stretch>
                            <a:fillRect/>
                          </a:stretch>
                        </pic:blipFill>
                        <pic:spPr>
                          <a:xfrm>
                            <a:off x="0" y="0"/>
                            <a:ext cx="837565" cy="1950085"/>
                          </a:xfrm>
                          <a:prstGeom prst="rect">
                            <a:avLst/>
                          </a:prstGeom>
                        </pic:spPr>
                      </pic:pic>
                    </a:graphicData>
                  </a:graphic>
                </wp:inline>
              </w:drawing>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尺寸</w:t>
            </w: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hAnsi="宋体" w:cs="宋体" w:hint="eastAsia"/>
                <w:b/>
                <w:kern w:val="0"/>
                <w:sz w:val="22"/>
                <w:szCs w:val="22"/>
              </w:rPr>
              <w:t>直径(φ</w:t>
            </w:r>
            <w:r>
              <w:rPr>
                <w:rFonts w:ascii="宋体" w:eastAsia="宋体" w:hAnsi="宋体" w:cs="宋体" w:hint="eastAsia"/>
                <w:b/>
                <w:kern w:val="0"/>
                <w:sz w:val="22"/>
                <w:szCs w:val="22"/>
              </w:rPr>
              <w:t>）</w:t>
            </w:r>
          </w:p>
        </w:tc>
        <w:tc>
          <w:tcPr>
            <w:tcW w:w="2181"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hAnsi="宋体" w:cs="宋体" w:hint="eastAsia"/>
                <w:kern w:val="0"/>
                <w:sz w:val="22"/>
                <w:szCs w:val="22"/>
              </w:rPr>
              <w:t>500</w:t>
            </w:r>
            <w:r>
              <w:rPr>
                <w:rFonts w:ascii="宋体" w:eastAsia="宋体" w:hAnsi="宋体" w:cs="宋体" w:hint="eastAsia"/>
                <w:kern w:val="0"/>
                <w:sz w:val="22"/>
                <w:szCs w:val="22"/>
              </w:rPr>
              <w:t>mm</w:t>
            </w:r>
          </w:p>
        </w:tc>
        <w:tc>
          <w:tcPr>
            <w:tcW w:w="732" w:type="dxa"/>
            <w:shd w:val="clear" w:color="auto" w:fill="auto"/>
            <w:vAlign w:val="center"/>
          </w:tcPr>
          <w:p w:rsidR="00AB1940" w:rsidRDefault="00933D56">
            <w:pPr>
              <w:widowControl/>
              <w:jc w:val="center"/>
              <w:textAlignment w:val="center"/>
              <w:rPr>
                <w:rFonts w:ascii="宋体" w:eastAsia="宋体" w:hAnsi="宋体" w:cs="宋体"/>
                <w:b/>
                <w:bCs/>
                <w:sz w:val="22"/>
                <w:szCs w:val="22"/>
              </w:rPr>
            </w:pPr>
            <w:r>
              <w:rPr>
                <w:rFonts w:ascii="宋体" w:eastAsia="宋体" w:hAnsi="宋体" w:cs="宋体" w:hint="eastAsia"/>
                <w:b/>
                <w:bCs/>
                <w:kern w:val="0"/>
                <w:sz w:val="22"/>
                <w:szCs w:val="22"/>
              </w:rPr>
              <w:t>允许偏差</w:t>
            </w:r>
          </w:p>
        </w:tc>
        <w:tc>
          <w:tcPr>
            <w:tcW w:w="2633"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±10mm</w:t>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shd w:val="clear" w:color="auto" w:fill="auto"/>
            <w:vAlign w:val="center"/>
          </w:tcPr>
          <w:p w:rsidR="00AB1940" w:rsidRDefault="00AB1940">
            <w:pPr>
              <w:widowControl/>
              <w:jc w:val="center"/>
              <w:textAlignment w:val="center"/>
              <w:rPr>
                <w:rFonts w:ascii="宋体" w:eastAsia="宋体" w:hAnsi="宋体" w:cs="宋体"/>
                <w:b/>
                <w:kern w:val="0"/>
                <w:sz w:val="22"/>
                <w:szCs w:val="22"/>
              </w:rPr>
            </w:pPr>
          </w:p>
        </w:tc>
        <w:tc>
          <w:tcPr>
            <w:tcW w:w="1233" w:type="dxa"/>
            <w:shd w:val="clear" w:color="auto" w:fill="auto"/>
            <w:vAlign w:val="center"/>
          </w:tcPr>
          <w:p w:rsidR="00AB1940" w:rsidRDefault="00933D56">
            <w:pPr>
              <w:widowControl/>
              <w:jc w:val="center"/>
              <w:textAlignment w:val="center"/>
              <w:rPr>
                <w:rFonts w:ascii="宋体" w:hAnsi="宋体" w:cs="宋体"/>
                <w:b/>
                <w:kern w:val="0"/>
                <w:sz w:val="22"/>
                <w:szCs w:val="22"/>
              </w:rPr>
            </w:pPr>
            <w:r>
              <w:rPr>
                <w:rFonts w:ascii="宋体" w:hAnsi="宋体" w:cs="宋体" w:hint="eastAsia"/>
                <w:b/>
                <w:kern w:val="0"/>
                <w:sz w:val="22"/>
                <w:szCs w:val="22"/>
              </w:rPr>
              <w:t>高度H</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hAnsi="宋体" w:cs="宋体" w:hint="eastAsia"/>
                <w:kern w:val="0"/>
                <w:sz w:val="22"/>
                <w:szCs w:val="22"/>
              </w:rPr>
              <w:t>根据甲方要求定制</w:t>
            </w:r>
          </w:p>
        </w:tc>
      </w:tr>
      <w:tr w:rsidR="00AB1940">
        <w:trPr>
          <w:trHeight w:val="494"/>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材质</w:t>
            </w: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灯具外壳</w:t>
            </w:r>
          </w:p>
        </w:tc>
        <w:tc>
          <w:tcPr>
            <w:tcW w:w="5546" w:type="dxa"/>
            <w:gridSpan w:val="3"/>
            <w:shd w:val="clear" w:color="auto" w:fill="auto"/>
            <w:vAlign w:val="center"/>
          </w:tcPr>
          <w:p w:rsidR="00AB1940" w:rsidRDefault="00933D56">
            <w:pPr>
              <w:widowControl/>
              <w:jc w:val="left"/>
              <w:rPr>
                <w:rFonts w:ascii="宋体" w:eastAsia="宋体" w:hAnsi="宋体" w:cs="宋体"/>
                <w:sz w:val="22"/>
                <w:szCs w:val="22"/>
              </w:rPr>
            </w:pPr>
            <w:r>
              <w:rPr>
                <w:rFonts w:ascii="宋体" w:eastAsia="宋体" w:hAnsi="宋体" w:cs="宋体" w:hint="eastAsia"/>
                <w:color w:val="000000"/>
                <w:kern w:val="0"/>
                <w:sz w:val="22"/>
                <w:szCs w:val="22"/>
                <w:lang w:bidi="ar"/>
              </w:rPr>
              <w:t xml:space="preserve">灯具材质：优质不锈钢材，灯头为优质 Q235 钢材， 透光罩为 PC 灯罩,灯体不锈钢本色，灯头表面采用户外防紫外线塑粉喷涂，厚度≧80um， </w:t>
            </w:r>
          </w:p>
        </w:tc>
      </w:tr>
      <w:tr w:rsidR="00AB1940">
        <w:trPr>
          <w:trHeight w:val="42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shd w:val="clear" w:color="auto" w:fill="auto"/>
            <w:vAlign w:val="center"/>
          </w:tcPr>
          <w:p w:rsidR="00AB1940" w:rsidRDefault="00AB1940">
            <w:pPr>
              <w:jc w:val="center"/>
              <w:rPr>
                <w:rFonts w:ascii="宋体" w:eastAsia="宋体" w:hAnsi="宋体" w:cs="宋体"/>
                <w:b/>
                <w:sz w:val="22"/>
                <w:szCs w:val="22"/>
              </w:rPr>
            </w:pP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出光面</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抗紫外线PC灯罩</w:t>
            </w:r>
          </w:p>
        </w:tc>
      </w:tr>
      <w:tr w:rsidR="00AB1940">
        <w:trPr>
          <w:trHeight w:val="42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外壳颜色</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灯罩白色，灯体不锈钢本色或根据需求喷涂</w:t>
            </w:r>
          </w:p>
        </w:tc>
      </w:tr>
      <w:tr w:rsidR="00AB1940">
        <w:trPr>
          <w:trHeight w:val="44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光色</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4000K</w:t>
            </w:r>
          </w:p>
        </w:tc>
      </w:tr>
      <w:tr w:rsidR="00AB1940">
        <w:trPr>
          <w:trHeight w:val="53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输入电压</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12V</w:t>
            </w:r>
          </w:p>
        </w:tc>
      </w:tr>
      <w:tr w:rsidR="00AB1940">
        <w:trPr>
          <w:trHeight w:val="53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功率</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20W</w:t>
            </w:r>
          </w:p>
        </w:tc>
      </w:tr>
      <w:tr w:rsidR="00AB1940">
        <w:trPr>
          <w:trHeight w:val="48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光源</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LED</w:t>
            </w:r>
          </w:p>
        </w:tc>
      </w:tr>
      <w:tr w:rsidR="00AB1940">
        <w:trPr>
          <w:trHeight w:val="51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光学</w:t>
            </w: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防护等级</w:t>
            </w:r>
          </w:p>
        </w:tc>
        <w:tc>
          <w:tcPr>
            <w:tcW w:w="2913"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sz w:val="22"/>
                <w:szCs w:val="22"/>
              </w:rPr>
              <w:t>IP65</w:t>
            </w:r>
          </w:p>
        </w:tc>
        <w:tc>
          <w:tcPr>
            <w:tcW w:w="2633"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对称配光,发光均匀柔和</w:t>
            </w:r>
          </w:p>
        </w:tc>
      </w:tr>
      <w:tr w:rsidR="00AB1940">
        <w:trPr>
          <w:trHeight w:val="592"/>
        </w:trPr>
        <w:tc>
          <w:tcPr>
            <w:tcW w:w="954" w:type="dxa"/>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备注</w:t>
            </w:r>
          </w:p>
        </w:tc>
        <w:tc>
          <w:tcPr>
            <w:tcW w:w="7732" w:type="dxa"/>
            <w:gridSpan w:val="5"/>
            <w:shd w:val="clear" w:color="auto" w:fill="auto"/>
            <w:vAlign w:val="center"/>
          </w:tcPr>
          <w:p w:rsidR="00AB1940" w:rsidRDefault="00933D56">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t>需包含基础预埋件</w:t>
            </w:r>
          </w:p>
        </w:tc>
      </w:tr>
    </w:tbl>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933D56">
      <w:pPr>
        <w:rPr>
          <w:rFonts w:ascii="黑体" w:eastAsia="黑体" w:hAnsi="黑体" w:cs="黑体"/>
          <w:sz w:val="28"/>
          <w:szCs w:val="28"/>
        </w:rPr>
      </w:pPr>
      <w:r>
        <w:rPr>
          <w:rFonts w:ascii="黑体" w:eastAsia="黑体" w:hAnsi="黑体" w:cs="黑体" w:hint="eastAsia"/>
          <w:color w:val="000000"/>
          <w:kern w:val="0"/>
          <w:sz w:val="28"/>
          <w:szCs w:val="28"/>
          <w:lang w:bidi="ar"/>
        </w:rPr>
        <w:t>4）42W圆形LED造型灯具（4000K）</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54"/>
        <w:gridCol w:w="1090"/>
        <w:gridCol w:w="953"/>
        <w:gridCol w:w="1233"/>
        <w:gridCol w:w="2181"/>
        <w:gridCol w:w="732"/>
        <w:gridCol w:w="2633"/>
      </w:tblGrid>
      <w:tr w:rsidR="00AB1940">
        <w:trPr>
          <w:trHeight w:val="532"/>
        </w:trPr>
        <w:tc>
          <w:tcPr>
            <w:tcW w:w="954" w:type="dxa"/>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灯具名称</w:t>
            </w:r>
          </w:p>
        </w:tc>
        <w:tc>
          <w:tcPr>
            <w:tcW w:w="8822" w:type="dxa"/>
            <w:gridSpan w:val="6"/>
            <w:shd w:val="clear" w:color="auto" w:fill="auto"/>
            <w:vAlign w:val="center"/>
          </w:tcPr>
          <w:p w:rsidR="00AB1940" w:rsidRDefault="00933D56">
            <w:pPr>
              <w:widowControl/>
              <w:jc w:val="center"/>
              <w:textAlignment w:val="center"/>
              <w:rPr>
                <w:rFonts w:ascii="宋体" w:hAnsi="宋体" w:cs="宋体"/>
                <w:kern w:val="0"/>
                <w:sz w:val="24"/>
              </w:rPr>
            </w:pPr>
            <w:r>
              <w:rPr>
                <w:rFonts w:ascii="宋体" w:hAnsi="宋体" w:cs="宋体" w:hint="eastAsia"/>
                <w:kern w:val="0"/>
                <w:sz w:val="24"/>
              </w:rPr>
              <w:t xml:space="preserve">42W LED立杆造型灯具 </w:t>
            </w:r>
          </w:p>
        </w:tc>
      </w:tr>
      <w:tr w:rsidR="00AB1940">
        <w:trPr>
          <w:trHeight w:val="1830"/>
        </w:trPr>
        <w:tc>
          <w:tcPr>
            <w:tcW w:w="954" w:type="dxa"/>
            <w:vMerge w:val="restart"/>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详细参数</w:t>
            </w:r>
          </w:p>
        </w:tc>
        <w:tc>
          <w:tcPr>
            <w:tcW w:w="1090"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w:t>
            </w: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外形</w:t>
            </w:r>
          </w:p>
          <w:p w:rsidR="00AB1940" w:rsidRDefault="00AB1940">
            <w:pPr>
              <w:widowControl/>
              <w:jc w:val="center"/>
              <w:textAlignment w:val="center"/>
              <w:rPr>
                <w:rFonts w:ascii="宋体" w:eastAsia="宋体" w:hAnsi="宋体" w:cs="宋体"/>
                <w:b/>
                <w:kern w:val="0"/>
                <w:sz w:val="22"/>
                <w:szCs w:val="22"/>
              </w:rPr>
            </w:pP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noProof/>
                <w:sz w:val="22"/>
                <w:szCs w:val="22"/>
              </w:rPr>
              <w:drawing>
                <wp:inline distT="0" distB="0" distL="114300" distR="114300">
                  <wp:extent cx="1269365" cy="1330325"/>
                  <wp:effectExtent l="0" t="0" r="6985" b="3175"/>
                  <wp:docPr id="4" name="图片 4" descr="1663996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63996169(1)"/>
                          <pic:cNvPicPr>
                            <a:picLocks noChangeAspect="1"/>
                          </pic:cNvPicPr>
                        </pic:nvPicPr>
                        <pic:blipFill>
                          <a:blip r:embed="rId20"/>
                          <a:stretch>
                            <a:fillRect/>
                          </a:stretch>
                        </pic:blipFill>
                        <pic:spPr>
                          <a:xfrm>
                            <a:off x="0" y="0"/>
                            <a:ext cx="1269365" cy="1330325"/>
                          </a:xfrm>
                          <a:prstGeom prst="rect">
                            <a:avLst/>
                          </a:prstGeom>
                        </pic:spPr>
                      </pic:pic>
                    </a:graphicData>
                  </a:graphic>
                </wp:inline>
              </w:drawing>
            </w:r>
            <w:r>
              <w:rPr>
                <w:rFonts w:ascii="宋体" w:eastAsia="宋体" w:hAnsi="宋体" w:cs="宋体" w:hint="eastAsia"/>
                <w:noProof/>
                <w:sz w:val="22"/>
                <w:szCs w:val="22"/>
              </w:rPr>
              <w:drawing>
                <wp:inline distT="0" distB="0" distL="114300" distR="114300">
                  <wp:extent cx="837565" cy="1950085"/>
                  <wp:effectExtent l="0" t="0" r="635" b="12065"/>
                  <wp:docPr id="6" name="图片 6" descr="82099368478215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20993684782153842"/>
                          <pic:cNvPicPr>
                            <a:picLocks noChangeAspect="1"/>
                          </pic:cNvPicPr>
                        </pic:nvPicPr>
                        <pic:blipFill>
                          <a:blip r:embed="rId21"/>
                          <a:stretch>
                            <a:fillRect/>
                          </a:stretch>
                        </pic:blipFill>
                        <pic:spPr>
                          <a:xfrm>
                            <a:off x="0" y="0"/>
                            <a:ext cx="837565" cy="1950085"/>
                          </a:xfrm>
                          <a:prstGeom prst="rect">
                            <a:avLst/>
                          </a:prstGeom>
                        </pic:spPr>
                      </pic:pic>
                    </a:graphicData>
                  </a:graphic>
                </wp:inline>
              </w:drawing>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尺寸</w:t>
            </w: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hAnsi="宋体" w:cs="宋体" w:hint="eastAsia"/>
                <w:b/>
                <w:kern w:val="0"/>
                <w:sz w:val="22"/>
                <w:szCs w:val="22"/>
              </w:rPr>
              <w:t>直径(φ</w:t>
            </w:r>
            <w:r>
              <w:rPr>
                <w:rFonts w:ascii="宋体" w:eastAsia="宋体" w:hAnsi="宋体" w:cs="宋体" w:hint="eastAsia"/>
                <w:b/>
                <w:kern w:val="0"/>
                <w:sz w:val="22"/>
                <w:szCs w:val="22"/>
              </w:rPr>
              <w:t>）</w:t>
            </w:r>
          </w:p>
        </w:tc>
        <w:tc>
          <w:tcPr>
            <w:tcW w:w="2181"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hAnsi="宋体" w:cs="宋体" w:hint="eastAsia"/>
                <w:kern w:val="0"/>
                <w:sz w:val="22"/>
                <w:szCs w:val="22"/>
              </w:rPr>
              <w:t>800</w:t>
            </w:r>
            <w:r>
              <w:rPr>
                <w:rFonts w:ascii="宋体" w:eastAsia="宋体" w:hAnsi="宋体" w:cs="宋体" w:hint="eastAsia"/>
                <w:kern w:val="0"/>
                <w:sz w:val="22"/>
                <w:szCs w:val="22"/>
              </w:rPr>
              <w:t>mm</w:t>
            </w:r>
          </w:p>
        </w:tc>
        <w:tc>
          <w:tcPr>
            <w:tcW w:w="732" w:type="dxa"/>
            <w:shd w:val="clear" w:color="auto" w:fill="auto"/>
            <w:vAlign w:val="center"/>
          </w:tcPr>
          <w:p w:rsidR="00AB1940" w:rsidRDefault="00933D56">
            <w:pPr>
              <w:widowControl/>
              <w:jc w:val="center"/>
              <w:textAlignment w:val="center"/>
              <w:rPr>
                <w:rFonts w:ascii="宋体" w:eastAsia="宋体" w:hAnsi="宋体" w:cs="宋体"/>
                <w:b/>
                <w:bCs/>
                <w:sz w:val="22"/>
                <w:szCs w:val="22"/>
              </w:rPr>
            </w:pPr>
            <w:r>
              <w:rPr>
                <w:rFonts w:ascii="宋体" w:eastAsia="宋体" w:hAnsi="宋体" w:cs="宋体" w:hint="eastAsia"/>
                <w:b/>
                <w:bCs/>
                <w:kern w:val="0"/>
                <w:sz w:val="22"/>
                <w:szCs w:val="22"/>
              </w:rPr>
              <w:t>允许偏差</w:t>
            </w:r>
          </w:p>
        </w:tc>
        <w:tc>
          <w:tcPr>
            <w:tcW w:w="2633"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±10mm</w:t>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shd w:val="clear" w:color="auto" w:fill="auto"/>
            <w:vAlign w:val="center"/>
          </w:tcPr>
          <w:p w:rsidR="00AB1940" w:rsidRDefault="00AB1940">
            <w:pPr>
              <w:widowControl/>
              <w:jc w:val="center"/>
              <w:textAlignment w:val="center"/>
              <w:rPr>
                <w:rFonts w:ascii="宋体" w:eastAsia="宋体" w:hAnsi="宋体" w:cs="宋体"/>
                <w:b/>
                <w:kern w:val="0"/>
                <w:sz w:val="22"/>
                <w:szCs w:val="22"/>
              </w:rPr>
            </w:pPr>
          </w:p>
        </w:tc>
        <w:tc>
          <w:tcPr>
            <w:tcW w:w="1233" w:type="dxa"/>
            <w:shd w:val="clear" w:color="auto" w:fill="auto"/>
            <w:vAlign w:val="center"/>
          </w:tcPr>
          <w:p w:rsidR="00AB1940" w:rsidRDefault="00933D56">
            <w:pPr>
              <w:widowControl/>
              <w:jc w:val="center"/>
              <w:textAlignment w:val="center"/>
              <w:rPr>
                <w:rFonts w:ascii="宋体" w:hAnsi="宋体" w:cs="宋体"/>
                <w:b/>
                <w:kern w:val="0"/>
                <w:sz w:val="22"/>
                <w:szCs w:val="22"/>
              </w:rPr>
            </w:pPr>
            <w:r>
              <w:rPr>
                <w:rFonts w:ascii="宋体" w:hAnsi="宋体" w:cs="宋体" w:hint="eastAsia"/>
                <w:b/>
                <w:kern w:val="0"/>
                <w:sz w:val="22"/>
                <w:szCs w:val="22"/>
              </w:rPr>
              <w:t>高度H</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hAnsi="宋体" w:cs="宋体" w:hint="eastAsia"/>
                <w:kern w:val="0"/>
                <w:sz w:val="22"/>
                <w:szCs w:val="22"/>
              </w:rPr>
              <w:t>根据甲方要求定制</w:t>
            </w:r>
          </w:p>
        </w:tc>
      </w:tr>
      <w:tr w:rsidR="00AB1940">
        <w:trPr>
          <w:trHeight w:val="494"/>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材质</w:t>
            </w: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灯具外壳</w:t>
            </w:r>
          </w:p>
        </w:tc>
        <w:tc>
          <w:tcPr>
            <w:tcW w:w="5546" w:type="dxa"/>
            <w:gridSpan w:val="3"/>
            <w:shd w:val="clear" w:color="auto" w:fill="auto"/>
            <w:vAlign w:val="center"/>
          </w:tcPr>
          <w:p w:rsidR="00AB1940" w:rsidRDefault="00933D56">
            <w:pPr>
              <w:widowControl/>
              <w:jc w:val="left"/>
              <w:rPr>
                <w:rFonts w:ascii="宋体" w:eastAsia="宋体" w:hAnsi="宋体" w:cs="宋体"/>
                <w:sz w:val="22"/>
                <w:szCs w:val="22"/>
              </w:rPr>
            </w:pPr>
            <w:r>
              <w:rPr>
                <w:rFonts w:ascii="宋体" w:eastAsia="宋体" w:hAnsi="宋体" w:cs="宋体" w:hint="eastAsia"/>
                <w:color w:val="000000"/>
                <w:kern w:val="0"/>
                <w:sz w:val="22"/>
                <w:szCs w:val="22"/>
                <w:lang w:bidi="ar"/>
              </w:rPr>
              <w:t xml:space="preserve">灯具材质：优质不锈钢材，灯头为优质 Q235 钢材， 透光罩为 PC 灯罩,灯体不锈钢本色，灯头表面采用户外防紫外线塑粉喷涂，厚度≧80um， </w:t>
            </w:r>
          </w:p>
        </w:tc>
      </w:tr>
      <w:tr w:rsidR="00AB1940">
        <w:trPr>
          <w:trHeight w:val="50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shd w:val="clear" w:color="auto" w:fill="auto"/>
            <w:vAlign w:val="center"/>
          </w:tcPr>
          <w:p w:rsidR="00AB1940" w:rsidRDefault="00AB1940">
            <w:pPr>
              <w:jc w:val="center"/>
              <w:rPr>
                <w:rFonts w:ascii="宋体" w:eastAsia="宋体" w:hAnsi="宋体" w:cs="宋体"/>
                <w:b/>
                <w:sz w:val="22"/>
                <w:szCs w:val="22"/>
              </w:rPr>
            </w:pP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出光面</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抗紫外线PC灯罩</w:t>
            </w:r>
          </w:p>
        </w:tc>
      </w:tr>
      <w:tr w:rsidR="00AB1940">
        <w:trPr>
          <w:trHeight w:val="44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外壳颜色</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灯罩白色，灯体不锈钢本色或根据需求喷涂</w:t>
            </w:r>
          </w:p>
        </w:tc>
      </w:tr>
      <w:tr w:rsidR="00AB1940">
        <w:trPr>
          <w:trHeight w:val="44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光色</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4000K</w:t>
            </w:r>
          </w:p>
        </w:tc>
      </w:tr>
      <w:tr w:rsidR="00AB1940">
        <w:trPr>
          <w:trHeight w:val="53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输入电压</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12V</w:t>
            </w:r>
          </w:p>
        </w:tc>
      </w:tr>
      <w:tr w:rsidR="00AB1940">
        <w:trPr>
          <w:trHeight w:val="53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功率</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42W</w:t>
            </w:r>
          </w:p>
        </w:tc>
      </w:tr>
      <w:tr w:rsidR="00AB1940">
        <w:trPr>
          <w:trHeight w:val="48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光源</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LED</w:t>
            </w:r>
          </w:p>
        </w:tc>
      </w:tr>
      <w:tr w:rsidR="00AB1940">
        <w:trPr>
          <w:trHeight w:val="51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光学</w:t>
            </w: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防护等级</w:t>
            </w:r>
          </w:p>
        </w:tc>
        <w:tc>
          <w:tcPr>
            <w:tcW w:w="2913"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sz w:val="22"/>
                <w:szCs w:val="22"/>
              </w:rPr>
              <w:t>IP65</w:t>
            </w:r>
          </w:p>
        </w:tc>
        <w:tc>
          <w:tcPr>
            <w:tcW w:w="2633"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对称配光,发光均匀柔和</w:t>
            </w:r>
          </w:p>
        </w:tc>
      </w:tr>
      <w:tr w:rsidR="00AB1940">
        <w:trPr>
          <w:trHeight w:val="592"/>
        </w:trPr>
        <w:tc>
          <w:tcPr>
            <w:tcW w:w="954" w:type="dxa"/>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备注</w:t>
            </w:r>
          </w:p>
        </w:tc>
        <w:tc>
          <w:tcPr>
            <w:tcW w:w="7732" w:type="dxa"/>
            <w:gridSpan w:val="5"/>
            <w:shd w:val="clear" w:color="auto" w:fill="auto"/>
            <w:vAlign w:val="center"/>
          </w:tcPr>
          <w:p w:rsidR="00AB1940" w:rsidRDefault="00933D56">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t>需包含基础预埋件</w:t>
            </w:r>
          </w:p>
        </w:tc>
      </w:tr>
    </w:tbl>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p w:rsidR="00AB1940" w:rsidRDefault="00933D56">
      <w:pPr>
        <w:rPr>
          <w:rFonts w:ascii="黑体" w:eastAsia="黑体" w:hAnsi="黑体" w:cs="黑体"/>
          <w:sz w:val="28"/>
          <w:szCs w:val="28"/>
        </w:rPr>
      </w:pPr>
      <w:r>
        <w:rPr>
          <w:rFonts w:ascii="黑体" w:eastAsia="黑体" w:hAnsi="黑体" w:cs="黑体" w:hint="eastAsia"/>
          <w:color w:val="000000"/>
          <w:kern w:val="0"/>
          <w:sz w:val="28"/>
          <w:szCs w:val="28"/>
          <w:lang w:bidi="ar"/>
        </w:rPr>
        <w:t>5）90W圆形LED造型灯具（4000K）</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54"/>
        <w:gridCol w:w="1090"/>
        <w:gridCol w:w="953"/>
        <w:gridCol w:w="1233"/>
        <w:gridCol w:w="2181"/>
        <w:gridCol w:w="732"/>
        <w:gridCol w:w="2633"/>
      </w:tblGrid>
      <w:tr w:rsidR="00AB1940">
        <w:trPr>
          <w:trHeight w:val="532"/>
        </w:trPr>
        <w:tc>
          <w:tcPr>
            <w:tcW w:w="954" w:type="dxa"/>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灯具名称</w:t>
            </w:r>
          </w:p>
        </w:tc>
        <w:tc>
          <w:tcPr>
            <w:tcW w:w="8822" w:type="dxa"/>
            <w:gridSpan w:val="6"/>
            <w:shd w:val="clear" w:color="auto" w:fill="auto"/>
            <w:vAlign w:val="center"/>
          </w:tcPr>
          <w:p w:rsidR="00AB1940" w:rsidRDefault="00933D56">
            <w:pPr>
              <w:widowControl/>
              <w:jc w:val="center"/>
              <w:textAlignment w:val="center"/>
              <w:rPr>
                <w:rFonts w:ascii="宋体" w:hAnsi="宋体" w:cs="宋体"/>
                <w:kern w:val="0"/>
                <w:sz w:val="24"/>
              </w:rPr>
            </w:pPr>
            <w:r>
              <w:rPr>
                <w:rFonts w:ascii="宋体" w:hAnsi="宋体" w:cs="宋体" w:hint="eastAsia"/>
                <w:kern w:val="0"/>
                <w:sz w:val="24"/>
              </w:rPr>
              <w:t xml:space="preserve">90W LED立杆造型灯具 </w:t>
            </w:r>
          </w:p>
        </w:tc>
      </w:tr>
      <w:tr w:rsidR="00AB1940">
        <w:trPr>
          <w:trHeight w:val="1830"/>
        </w:trPr>
        <w:tc>
          <w:tcPr>
            <w:tcW w:w="954" w:type="dxa"/>
            <w:vMerge w:val="restart"/>
            <w:shd w:val="clear" w:color="auto" w:fill="BFBFBF" w:themeFill="background1" w:themeFillShade="BF"/>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详细参数</w:t>
            </w:r>
          </w:p>
        </w:tc>
        <w:tc>
          <w:tcPr>
            <w:tcW w:w="1090"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w:t>
            </w: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外形</w:t>
            </w:r>
          </w:p>
          <w:p w:rsidR="00AB1940" w:rsidRDefault="00AB1940">
            <w:pPr>
              <w:widowControl/>
              <w:jc w:val="center"/>
              <w:textAlignment w:val="center"/>
              <w:rPr>
                <w:rFonts w:ascii="宋体" w:eastAsia="宋体" w:hAnsi="宋体" w:cs="宋体"/>
                <w:b/>
                <w:kern w:val="0"/>
                <w:sz w:val="22"/>
                <w:szCs w:val="22"/>
              </w:rPr>
            </w:pP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noProof/>
                <w:sz w:val="22"/>
                <w:szCs w:val="22"/>
              </w:rPr>
              <w:drawing>
                <wp:inline distT="0" distB="0" distL="114300" distR="114300">
                  <wp:extent cx="1269365" cy="1330325"/>
                  <wp:effectExtent l="0" t="0" r="6985" b="3175"/>
                  <wp:docPr id="5" name="图片 5" descr="1663996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63996169(1)"/>
                          <pic:cNvPicPr>
                            <a:picLocks noChangeAspect="1"/>
                          </pic:cNvPicPr>
                        </pic:nvPicPr>
                        <pic:blipFill>
                          <a:blip r:embed="rId20"/>
                          <a:stretch>
                            <a:fillRect/>
                          </a:stretch>
                        </pic:blipFill>
                        <pic:spPr>
                          <a:xfrm>
                            <a:off x="0" y="0"/>
                            <a:ext cx="1269365" cy="1330325"/>
                          </a:xfrm>
                          <a:prstGeom prst="rect">
                            <a:avLst/>
                          </a:prstGeom>
                        </pic:spPr>
                      </pic:pic>
                    </a:graphicData>
                  </a:graphic>
                </wp:inline>
              </w:drawing>
            </w:r>
            <w:r>
              <w:rPr>
                <w:rFonts w:ascii="宋体" w:eastAsia="宋体" w:hAnsi="宋体" w:cs="宋体" w:hint="eastAsia"/>
                <w:noProof/>
                <w:sz w:val="22"/>
                <w:szCs w:val="22"/>
              </w:rPr>
              <w:drawing>
                <wp:inline distT="0" distB="0" distL="114300" distR="114300">
                  <wp:extent cx="837565" cy="1950085"/>
                  <wp:effectExtent l="0" t="0" r="635" b="12065"/>
                  <wp:docPr id="7" name="图片 7" descr="82099368478215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820993684782153842"/>
                          <pic:cNvPicPr>
                            <a:picLocks noChangeAspect="1"/>
                          </pic:cNvPicPr>
                        </pic:nvPicPr>
                        <pic:blipFill>
                          <a:blip r:embed="rId21"/>
                          <a:stretch>
                            <a:fillRect/>
                          </a:stretch>
                        </pic:blipFill>
                        <pic:spPr>
                          <a:xfrm>
                            <a:off x="0" y="0"/>
                            <a:ext cx="837565" cy="1950085"/>
                          </a:xfrm>
                          <a:prstGeom prst="rect">
                            <a:avLst/>
                          </a:prstGeom>
                        </pic:spPr>
                      </pic:pic>
                    </a:graphicData>
                  </a:graphic>
                </wp:inline>
              </w:drawing>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尺寸</w:t>
            </w: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hAnsi="宋体" w:cs="宋体" w:hint="eastAsia"/>
                <w:b/>
                <w:kern w:val="0"/>
                <w:sz w:val="22"/>
                <w:szCs w:val="22"/>
              </w:rPr>
              <w:t>直径(φ</w:t>
            </w:r>
            <w:r>
              <w:rPr>
                <w:rFonts w:ascii="宋体" w:eastAsia="宋体" w:hAnsi="宋体" w:cs="宋体" w:hint="eastAsia"/>
                <w:b/>
                <w:kern w:val="0"/>
                <w:sz w:val="22"/>
                <w:szCs w:val="22"/>
              </w:rPr>
              <w:t>）</w:t>
            </w:r>
          </w:p>
        </w:tc>
        <w:tc>
          <w:tcPr>
            <w:tcW w:w="2181"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hAnsi="宋体" w:cs="宋体" w:hint="eastAsia"/>
                <w:kern w:val="0"/>
                <w:sz w:val="22"/>
                <w:szCs w:val="22"/>
              </w:rPr>
              <w:t>1200</w:t>
            </w:r>
            <w:r>
              <w:rPr>
                <w:rFonts w:ascii="宋体" w:eastAsia="宋体" w:hAnsi="宋体" w:cs="宋体" w:hint="eastAsia"/>
                <w:kern w:val="0"/>
                <w:sz w:val="22"/>
                <w:szCs w:val="22"/>
              </w:rPr>
              <w:t>mm</w:t>
            </w:r>
          </w:p>
        </w:tc>
        <w:tc>
          <w:tcPr>
            <w:tcW w:w="732" w:type="dxa"/>
            <w:shd w:val="clear" w:color="auto" w:fill="auto"/>
            <w:vAlign w:val="center"/>
          </w:tcPr>
          <w:p w:rsidR="00AB1940" w:rsidRDefault="00933D56">
            <w:pPr>
              <w:widowControl/>
              <w:jc w:val="center"/>
              <w:textAlignment w:val="center"/>
              <w:rPr>
                <w:rFonts w:ascii="宋体" w:eastAsia="宋体" w:hAnsi="宋体" w:cs="宋体"/>
                <w:b/>
                <w:bCs/>
                <w:sz w:val="22"/>
                <w:szCs w:val="22"/>
              </w:rPr>
            </w:pPr>
            <w:r>
              <w:rPr>
                <w:rFonts w:ascii="宋体" w:eastAsia="宋体" w:hAnsi="宋体" w:cs="宋体" w:hint="eastAsia"/>
                <w:b/>
                <w:bCs/>
                <w:kern w:val="0"/>
                <w:sz w:val="22"/>
                <w:szCs w:val="22"/>
              </w:rPr>
              <w:t>允许偏差</w:t>
            </w:r>
          </w:p>
        </w:tc>
        <w:tc>
          <w:tcPr>
            <w:tcW w:w="2633"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±10mm</w:t>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shd w:val="clear" w:color="auto" w:fill="auto"/>
            <w:vAlign w:val="center"/>
          </w:tcPr>
          <w:p w:rsidR="00AB1940" w:rsidRDefault="00AB1940">
            <w:pPr>
              <w:widowControl/>
              <w:jc w:val="center"/>
              <w:textAlignment w:val="center"/>
              <w:rPr>
                <w:rFonts w:ascii="宋体" w:eastAsia="宋体" w:hAnsi="宋体" w:cs="宋体"/>
                <w:b/>
                <w:kern w:val="0"/>
                <w:sz w:val="22"/>
                <w:szCs w:val="22"/>
              </w:rPr>
            </w:pPr>
          </w:p>
        </w:tc>
        <w:tc>
          <w:tcPr>
            <w:tcW w:w="1233" w:type="dxa"/>
            <w:shd w:val="clear" w:color="auto" w:fill="auto"/>
            <w:vAlign w:val="center"/>
          </w:tcPr>
          <w:p w:rsidR="00AB1940" w:rsidRDefault="00933D56">
            <w:pPr>
              <w:widowControl/>
              <w:jc w:val="center"/>
              <w:textAlignment w:val="center"/>
              <w:rPr>
                <w:rFonts w:ascii="宋体" w:hAnsi="宋体" w:cs="宋体"/>
                <w:b/>
                <w:kern w:val="0"/>
                <w:sz w:val="22"/>
                <w:szCs w:val="22"/>
              </w:rPr>
            </w:pPr>
            <w:r>
              <w:rPr>
                <w:rFonts w:ascii="宋体" w:hAnsi="宋体" w:cs="宋体" w:hint="eastAsia"/>
                <w:b/>
                <w:kern w:val="0"/>
                <w:sz w:val="22"/>
                <w:szCs w:val="22"/>
              </w:rPr>
              <w:t>高度H</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hAnsi="宋体" w:cs="宋体" w:hint="eastAsia"/>
                <w:kern w:val="0"/>
                <w:sz w:val="22"/>
                <w:szCs w:val="22"/>
              </w:rPr>
              <w:t>根据甲方要求定制</w:t>
            </w:r>
          </w:p>
        </w:tc>
      </w:tr>
      <w:tr w:rsidR="00AB1940">
        <w:trPr>
          <w:trHeight w:val="494"/>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val="restart"/>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材质</w:t>
            </w: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灯具外壳</w:t>
            </w:r>
          </w:p>
        </w:tc>
        <w:tc>
          <w:tcPr>
            <w:tcW w:w="5546" w:type="dxa"/>
            <w:gridSpan w:val="3"/>
            <w:shd w:val="clear" w:color="auto" w:fill="auto"/>
            <w:vAlign w:val="center"/>
          </w:tcPr>
          <w:p w:rsidR="00AB1940" w:rsidRDefault="00933D56">
            <w:pPr>
              <w:widowControl/>
              <w:jc w:val="left"/>
              <w:rPr>
                <w:rFonts w:ascii="宋体" w:eastAsia="宋体" w:hAnsi="宋体" w:cs="宋体"/>
                <w:sz w:val="22"/>
                <w:szCs w:val="22"/>
              </w:rPr>
            </w:pPr>
            <w:r>
              <w:rPr>
                <w:rFonts w:ascii="宋体" w:eastAsia="宋体" w:hAnsi="宋体" w:cs="宋体" w:hint="eastAsia"/>
                <w:color w:val="000000"/>
                <w:kern w:val="0"/>
                <w:sz w:val="22"/>
                <w:szCs w:val="22"/>
                <w:lang w:bidi="ar"/>
              </w:rPr>
              <w:t xml:space="preserve">灯具材质：优质不锈钢材，灯头为优质 Q235 钢材， 透光罩为 PC 灯罩,灯体不锈钢本色，灯头表面采用户外防紫外线塑粉喷涂，厚度≧80um， </w:t>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953" w:type="dxa"/>
            <w:vMerge/>
            <w:shd w:val="clear" w:color="auto" w:fill="auto"/>
            <w:vAlign w:val="center"/>
          </w:tcPr>
          <w:p w:rsidR="00AB1940" w:rsidRDefault="00AB1940">
            <w:pPr>
              <w:jc w:val="center"/>
              <w:rPr>
                <w:rFonts w:ascii="宋体" w:eastAsia="宋体" w:hAnsi="宋体" w:cs="宋体"/>
                <w:b/>
                <w:sz w:val="22"/>
                <w:szCs w:val="22"/>
              </w:rPr>
            </w:pPr>
          </w:p>
        </w:tc>
        <w:tc>
          <w:tcPr>
            <w:tcW w:w="1233"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出光面</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抗紫外线PC灯罩</w:t>
            </w:r>
          </w:p>
        </w:tc>
      </w:tr>
      <w:tr w:rsidR="00AB1940">
        <w:trPr>
          <w:trHeight w:val="285"/>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外壳颜色</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灯罩白色，灯体不锈钢本色或根据需求喷涂</w:t>
            </w:r>
          </w:p>
        </w:tc>
      </w:tr>
      <w:tr w:rsidR="00AB1940">
        <w:trPr>
          <w:trHeight w:val="44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光色</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4000K</w:t>
            </w:r>
          </w:p>
        </w:tc>
      </w:tr>
      <w:tr w:rsidR="00AB1940">
        <w:trPr>
          <w:trHeight w:val="53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输入电压</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12V</w:t>
            </w:r>
          </w:p>
        </w:tc>
      </w:tr>
      <w:tr w:rsidR="00AB1940">
        <w:trPr>
          <w:trHeight w:val="53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功率</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90W</w:t>
            </w:r>
          </w:p>
        </w:tc>
      </w:tr>
      <w:tr w:rsidR="00AB1940">
        <w:trPr>
          <w:trHeight w:val="48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vMerge/>
            <w:shd w:val="clear" w:color="auto" w:fill="auto"/>
            <w:vAlign w:val="center"/>
          </w:tcPr>
          <w:p w:rsidR="00AB1940" w:rsidRDefault="00AB1940">
            <w:pPr>
              <w:jc w:val="center"/>
              <w:rPr>
                <w:rFonts w:ascii="宋体" w:eastAsia="宋体" w:hAnsi="宋体" w:cs="宋体"/>
                <w:b/>
                <w:sz w:val="22"/>
                <w:szCs w:val="22"/>
              </w:rPr>
            </w:pP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光源</w:t>
            </w:r>
          </w:p>
        </w:tc>
        <w:tc>
          <w:tcPr>
            <w:tcW w:w="5546" w:type="dxa"/>
            <w:gridSpan w:val="3"/>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sz w:val="22"/>
                <w:szCs w:val="22"/>
              </w:rPr>
              <w:t>LED</w:t>
            </w:r>
          </w:p>
        </w:tc>
      </w:tr>
      <w:tr w:rsidR="00AB1940">
        <w:trPr>
          <w:trHeight w:val="512"/>
        </w:trPr>
        <w:tc>
          <w:tcPr>
            <w:tcW w:w="954" w:type="dxa"/>
            <w:vMerge/>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光学</w:t>
            </w:r>
          </w:p>
        </w:tc>
        <w:tc>
          <w:tcPr>
            <w:tcW w:w="2186"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b/>
                <w:kern w:val="0"/>
                <w:sz w:val="22"/>
                <w:szCs w:val="22"/>
              </w:rPr>
              <w:t>防护等级</w:t>
            </w:r>
          </w:p>
        </w:tc>
        <w:tc>
          <w:tcPr>
            <w:tcW w:w="2913" w:type="dxa"/>
            <w:gridSpan w:val="2"/>
            <w:shd w:val="clear" w:color="auto" w:fill="auto"/>
            <w:vAlign w:val="center"/>
          </w:tcPr>
          <w:p w:rsidR="00AB1940" w:rsidRDefault="00933D56">
            <w:pPr>
              <w:widowControl/>
              <w:jc w:val="center"/>
              <w:textAlignment w:val="center"/>
              <w:rPr>
                <w:rFonts w:ascii="宋体" w:eastAsia="宋体" w:hAnsi="宋体" w:cs="宋体"/>
                <w:b/>
                <w:sz w:val="22"/>
                <w:szCs w:val="22"/>
              </w:rPr>
            </w:pPr>
            <w:r>
              <w:rPr>
                <w:rFonts w:ascii="宋体" w:eastAsia="宋体" w:hAnsi="宋体" w:cs="宋体" w:hint="eastAsia"/>
                <w:sz w:val="22"/>
                <w:szCs w:val="22"/>
              </w:rPr>
              <w:t>IP65</w:t>
            </w:r>
          </w:p>
        </w:tc>
        <w:tc>
          <w:tcPr>
            <w:tcW w:w="2633" w:type="dxa"/>
            <w:shd w:val="clear" w:color="auto" w:fill="auto"/>
            <w:vAlign w:val="center"/>
          </w:tcPr>
          <w:p w:rsidR="00AB1940" w:rsidRDefault="00933D56">
            <w:pPr>
              <w:widowControl/>
              <w:jc w:val="center"/>
              <w:textAlignment w:val="center"/>
              <w:rPr>
                <w:rFonts w:ascii="宋体" w:eastAsia="宋体" w:hAnsi="宋体" w:cs="宋体"/>
                <w:sz w:val="22"/>
                <w:szCs w:val="22"/>
              </w:rPr>
            </w:pPr>
            <w:r>
              <w:rPr>
                <w:rFonts w:ascii="宋体" w:eastAsia="宋体" w:hAnsi="宋体" w:cs="宋体" w:hint="eastAsia"/>
                <w:kern w:val="0"/>
                <w:sz w:val="22"/>
                <w:szCs w:val="22"/>
              </w:rPr>
              <w:t>对称配光,发光均匀柔和</w:t>
            </w:r>
          </w:p>
        </w:tc>
      </w:tr>
      <w:tr w:rsidR="00AB1940">
        <w:trPr>
          <w:trHeight w:val="592"/>
        </w:trPr>
        <w:tc>
          <w:tcPr>
            <w:tcW w:w="954" w:type="dxa"/>
            <w:shd w:val="clear" w:color="auto" w:fill="BFBFBF" w:themeFill="background1" w:themeFillShade="BF"/>
            <w:vAlign w:val="center"/>
          </w:tcPr>
          <w:p w:rsidR="00AB1940" w:rsidRDefault="00AB1940">
            <w:pPr>
              <w:jc w:val="center"/>
              <w:rPr>
                <w:rFonts w:ascii="宋体" w:eastAsia="宋体" w:hAnsi="宋体" w:cs="宋体"/>
                <w:b/>
                <w:sz w:val="22"/>
                <w:szCs w:val="22"/>
              </w:rPr>
            </w:pPr>
          </w:p>
        </w:tc>
        <w:tc>
          <w:tcPr>
            <w:tcW w:w="1090" w:type="dxa"/>
            <w:shd w:val="clear" w:color="auto" w:fill="auto"/>
            <w:vAlign w:val="center"/>
          </w:tcPr>
          <w:p w:rsidR="00AB1940" w:rsidRDefault="00933D56">
            <w:pPr>
              <w:widowControl/>
              <w:jc w:val="center"/>
              <w:textAlignment w:val="center"/>
              <w:rPr>
                <w:rFonts w:ascii="宋体" w:eastAsia="宋体" w:hAnsi="宋体" w:cs="宋体"/>
                <w:b/>
                <w:kern w:val="0"/>
                <w:sz w:val="22"/>
                <w:szCs w:val="22"/>
              </w:rPr>
            </w:pPr>
            <w:r>
              <w:rPr>
                <w:rFonts w:ascii="宋体" w:eastAsia="宋体" w:hAnsi="宋体" w:cs="宋体" w:hint="eastAsia"/>
                <w:b/>
                <w:kern w:val="0"/>
                <w:sz w:val="22"/>
                <w:szCs w:val="22"/>
              </w:rPr>
              <w:t>备注</w:t>
            </w:r>
          </w:p>
        </w:tc>
        <w:tc>
          <w:tcPr>
            <w:tcW w:w="7732" w:type="dxa"/>
            <w:gridSpan w:val="5"/>
            <w:shd w:val="clear" w:color="auto" w:fill="auto"/>
            <w:vAlign w:val="center"/>
          </w:tcPr>
          <w:p w:rsidR="00AB1940" w:rsidRDefault="00933D56">
            <w:pPr>
              <w:widowControl/>
              <w:jc w:val="center"/>
              <w:textAlignment w:val="center"/>
              <w:rPr>
                <w:rFonts w:ascii="宋体" w:eastAsia="宋体" w:hAnsi="宋体" w:cs="宋体"/>
                <w:kern w:val="0"/>
                <w:sz w:val="22"/>
                <w:szCs w:val="22"/>
              </w:rPr>
            </w:pPr>
            <w:r>
              <w:rPr>
                <w:rFonts w:ascii="宋体" w:eastAsia="宋体" w:hAnsi="宋体" w:cs="宋体" w:hint="eastAsia"/>
                <w:kern w:val="0"/>
                <w:sz w:val="22"/>
                <w:szCs w:val="22"/>
              </w:rPr>
              <w:t>需包含基础预埋件</w:t>
            </w:r>
          </w:p>
        </w:tc>
      </w:tr>
    </w:tbl>
    <w:p w:rsidR="00AB1940" w:rsidRDefault="00AB1940"/>
    <w:p w:rsidR="00AB1940" w:rsidRDefault="00AB1940"/>
    <w:p w:rsidR="00AB1940" w:rsidRDefault="00AB1940"/>
    <w:p w:rsidR="00AB1940" w:rsidRDefault="00AB1940"/>
    <w:p w:rsidR="00AB1940" w:rsidRDefault="00AB1940"/>
    <w:p w:rsidR="00AB1940" w:rsidRDefault="00AB1940"/>
    <w:p w:rsidR="00AB1940" w:rsidRDefault="00AB1940"/>
    <w:sectPr w:rsidR="00AB194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3D56" w:rsidRDefault="00933D56" w:rsidP="00933D56">
      <w:r>
        <w:separator/>
      </w:r>
    </w:p>
  </w:endnote>
  <w:endnote w:type="continuationSeparator" w:id="0">
    <w:p w:rsidR="00933D56" w:rsidRDefault="00933D56" w:rsidP="00933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3D56" w:rsidRDefault="00933D56" w:rsidP="00933D56">
      <w:r>
        <w:separator/>
      </w:r>
    </w:p>
  </w:footnote>
  <w:footnote w:type="continuationSeparator" w:id="0">
    <w:p w:rsidR="00933D56" w:rsidRDefault="00933D56" w:rsidP="00933D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176F4F5"/>
    <w:multiLevelType w:val="singleLevel"/>
    <w:tmpl w:val="8176F4F5"/>
    <w:lvl w:ilvl="0">
      <w:start w:val="1"/>
      <w:numFmt w:val="decimal"/>
      <w:lvlText w:val="%1)"/>
      <w:lvlJc w:val="left"/>
      <w:pPr>
        <w:ind w:left="425" w:hanging="425"/>
      </w:pPr>
      <w:rPr>
        <w:rFonts w:hint="default"/>
      </w:rPr>
    </w:lvl>
  </w:abstractNum>
  <w:abstractNum w:abstractNumId="1" w15:restartNumberingAfterBreak="0">
    <w:nsid w:val="8ED2091A"/>
    <w:multiLevelType w:val="singleLevel"/>
    <w:tmpl w:val="8ED2091A"/>
    <w:lvl w:ilvl="0">
      <w:start w:val="1"/>
      <w:numFmt w:val="decimalEnclosedCircleChinese"/>
      <w:suff w:val="nothing"/>
      <w:lvlText w:val="%1　"/>
      <w:lvlJc w:val="left"/>
      <w:pPr>
        <w:ind w:left="0" w:firstLine="400"/>
      </w:pPr>
      <w:rPr>
        <w:rFonts w:hint="eastAsia"/>
      </w:rPr>
    </w:lvl>
  </w:abstractNum>
  <w:abstractNum w:abstractNumId="2" w15:restartNumberingAfterBreak="0">
    <w:nsid w:val="90991C11"/>
    <w:multiLevelType w:val="singleLevel"/>
    <w:tmpl w:val="90991C11"/>
    <w:lvl w:ilvl="0">
      <w:start w:val="1"/>
      <w:numFmt w:val="decimalEnclosedCircleChinese"/>
      <w:suff w:val="nothing"/>
      <w:lvlText w:val="%1　"/>
      <w:lvlJc w:val="left"/>
      <w:pPr>
        <w:ind w:left="0" w:firstLine="400"/>
      </w:pPr>
      <w:rPr>
        <w:rFonts w:hint="eastAsia"/>
      </w:rPr>
    </w:lvl>
  </w:abstractNum>
  <w:abstractNum w:abstractNumId="3" w15:restartNumberingAfterBreak="0">
    <w:nsid w:val="932EBC12"/>
    <w:multiLevelType w:val="singleLevel"/>
    <w:tmpl w:val="932EBC12"/>
    <w:lvl w:ilvl="0">
      <w:start w:val="1"/>
      <w:numFmt w:val="decimal"/>
      <w:lvlText w:val="(%1)"/>
      <w:lvlJc w:val="left"/>
      <w:pPr>
        <w:ind w:left="425" w:hanging="425"/>
      </w:pPr>
      <w:rPr>
        <w:rFonts w:hint="default"/>
      </w:rPr>
    </w:lvl>
  </w:abstractNum>
  <w:abstractNum w:abstractNumId="4" w15:restartNumberingAfterBreak="0">
    <w:nsid w:val="9F409243"/>
    <w:multiLevelType w:val="singleLevel"/>
    <w:tmpl w:val="9F409243"/>
    <w:lvl w:ilvl="0">
      <w:start w:val="1"/>
      <w:numFmt w:val="decimalEnclosedCircleChinese"/>
      <w:suff w:val="nothing"/>
      <w:lvlText w:val="%1　"/>
      <w:lvlJc w:val="left"/>
      <w:pPr>
        <w:ind w:left="0" w:firstLine="400"/>
      </w:pPr>
      <w:rPr>
        <w:rFonts w:hint="eastAsia"/>
      </w:rPr>
    </w:lvl>
  </w:abstractNum>
  <w:abstractNum w:abstractNumId="5" w15:restartNumberingAfterBreak="0">
    <w:nsid w:val="B3441426"/>
    <w:multiLevelType w:val="multilevel"/>
    <w:tmpl w:val="B3441426"/>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B6BDF8EF"/>
    <w:multiLevelType w:val="singleLevel"/>
    <w:tmpl w:val="B6BDF8EF"/>
    <w:lvl w:ilvl="0">
      <w:start w:val="1"/>
      <w:numFmt w:val="decimalEnclosedCircleChinese"/>
      <w:suff w:val="nothing"/>
      <w:lvlText w:val="%1　"/>
      <w:lvlJc w:val="left"/>
      <w:pPr>
        <w:ind w:left="0" w:firstLine="400"/>
      </w:pPr>
      <w:rPr>
        <w:rFonts w:hint="eastAsia"/>
      </w:rPr>
    </w:lvl>
  </w:abstractNum>
  <w:abstractNum w:abstractNumId="7" w15:restartNumberingAfterBreak="0">
    <w:nsid w:val="C4756505"/>
    <w:multiLevelType w:val="singleLevel"/>
    <w:tmpl w:val="C4756505"/>
    <w:lvl w:ilvl="0">
      <w:start w:val="1"/>
      <w:numFmt w:val="decimalEnclosedCircleChinese"/>
      <w:suff w:val="nothing"/>
      <w:lvlText w:val="%1　"/>
      <w:lvlJc w:val="left"/>
      <w:pPr>
        <w:ind w:left="0" w:firstLine="400"/>
      </w:pPr>
      <w:rPr>
        <w:rFonts w:hint="eastAsia"/>
      </w:rPr>
    </w:lvl>
  </w:abstractNum>
  <w:abstractNum w:abstractNumId="8" w15:restartNumberingAfterBreak="0">
    <w:nsid w:val="D3427E88"/>
    <w:multiLevelType w:val="singleLevel"/>
    <w:tmpl w:val="D3427E88"/>
    <w:lvl w:ilvl="0">
      <w:start w:val="1"/>
      <w:numFmt w:val="decimalEnclosedCircleChinese"/>
      <w:suff w:val="nothing"/>
      <w:lvlText w:val="%1　"/>
      <w:lvlJc w:val="left"/>
      <w:pPr>
        <w:ind w:left="0" w:firstLine="400"/>
      </w:pPr>
      <w:rPr>
        <w:rFonts w:hint="eastAsia"/>
      </w:rPr>
    </w:lvl>
  </w:abstractNum>
  <w:abstractNum w:abstractNumId="9" w15:restartNumberingAfterBreak="0">
    <w:nsid w:val="D996BC9C"/>
    <w:multiLevelType w:val="singleLevel"/>
    <w:tmpl w:val="D996BC9C"/>
    <w:lvl w:ilvl="0">
      <w:start w:val="1"/>
      <w:numFmt w:val="lowerLetter"/>
      <w:lvlText w:val="%1."/>
      <w:lvlJc w:val="left"/>
      <w:pPr>
        <w:tabs>
          <w:tab w:val="left" w:pos="312"/>
        </w:tabs>
      </w:pPr>
    </w:lvl>
  </w:abstractNum>
  <w:abstractNum w:abstractNumId="10" w15:restartNumberingAfterBreak="0">
    <w:nsid w:val="DDCA1BDB"/>
    <w:multiLevelType w:val="singleLevel"/>
    <w:tmpl w:val="DDCA1BDB"/>
    <w:lvl w:ilvl="0">
      <w:start w:val="1"/>
      <w:numFmt w:val="decimalEnclosedCircleChinese"/>
      <w:suff w:val="nothing"/>
      <w:lvlText w:val="%1　"/>
      <w:lvlJc w:val="left"/>
      <w:pPr>
        <w:ind w:left="0" w:firstLine="400"/>
      </w:pPr>
      <w:rPr>
        <w:rFonts w:hint="eastAsia"/>
      </w:rPr>
    </w:lvl>
  </w:abstractNum>
  <w:abstractNum w:abstractNumId="11" w15:restartNumberingAfterBreak="0">
    <w:nsid w:val="E75D4C34"/>
    <w:multiLevelType w:val="singleLevel"/>
    <w:tmpl w:val="E75D4C34"/>
    <w:lvl w:ilvl="0">
      <w:start w:val="1"/>
      <w:numFmt w:val="decimal"/>
      <w:lvlText w:val="%1)"/>
      <w:lvlJc w:val="left"/>
      <w:pPr>
        <w:ind w:left="425" w:hanging="425"/>
      </w:pPr>
      <w:rPr>
        <w:rFonts w:hint="default"/>
      </w:rPr>
    </w:lvl>
  </w:abstractNum>
  <w:abstractNum w:abstractNumId="12" w15:restartNumberingAfterBreak="0">
    <w:nsid w:val="EFC65096"/>
    <w:multiLevelType w:val="singleLevel"/>
    <w:tmpl w:val="EFC65096"/>
    <w:lvl w:ilvl="0">
      <w:start w:val="1"/>
      <w:numFmt w:val="decimalEnclosedCircleChinese"/>
      <w:suff w:val="nothing"/>
      <w:lvlText w:val="%1　"/>
      <w:lvlJc w:val="left"/>
      <w:pPr>
        <w:ind w:left="0" w:firstLine="400"/>
      </w:pPr>
      <w:rPr>
        <w:rFonts w:hint="eastAsia"/>
      </w:rPr>
    </w:lvl>
  </w:abstractNum>
  <w:abstractNum w:abstractNumId="13" w15:restartNumberingAfterBreak="0">
    <w:nsid w:val="F5E6E09C"/>
    <w:multiLevelType w:val="multilevel"/>
    <w:tmpl w:val="F5E6E09C"/>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F8529D3C"/>
    <w:multiLevelType w:val="singleLevel"/>
    <w:tmpl w:val="F8529D3C"/>
    <w:lvl w:ilvl="0">
      <w:start w:val="1"/>
      <w:numFmt w:val="decimalEnclosedCircleChinese"/>
      <w:suff w:val="nothing"/>
      <w:lvlText w:val="%1　"/>
      <w:lvlJc w:val="left"/>
      <w:pPr>
        <w:ind w:left="0" w:firstLine="400"/>
      </w:pPr>
      <w:rPr>
        <w:rFonts w:hint="eastAsia"/>
      </w:rPr>
    </w:lvl>
  </w:abstractNum>
  <w:abstractNum w:abstractNumId="15" w15:restartNumberingAfterBreak="0">
    <w:nsid w:val="FFFE0C25"/>
    <w:multiLevelType w:val="singleLevel"/>
    <w:tmpl w:val="FFFE0C25"/>
    <w:lvl w:ilvl="0">
      <w:start w:val="1"/>
      <w:numFmt w:val="decimalEnclosedCircleChinese"/>
      <w:suff w:val="nothing"/>
      <w:lvlText w:val="%1　"/>
      <w:lvlJc w:val="left"/>
      <w:pPr>
        <w:ind w:left="0" w:firstLine="400"/>
      </w:pPr>
      <w:rPr>
        <w:rFonts w:hint="eastAsia"/>
      </w:rPr>
    </w:lvl>
  </w:abstractNum>
  <w:abstractNum w:abstractNumId="16" w15:restartNumberingAfterBreak="0">
    <w:nsid w:val="01929A76"/>
    <w:multiLevelType w:val="multilevel"/>
    <w:tmpl w:val="01929A76"/>
    <w:lvl w:ilvl="0">
      <w:start w:val="1"/>
      <w:numFmt w:val="decimal"/>
      <w:lvlText w:val="%1)"/>
      <w:lvlJc w:val="left"/>
      <w:pPr>
        <w:ind w:left="425" w:hanging="42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0DE639F9"/>
    <w:multiLevelType w:val="singleLevel"/>
    <w:tmpl w:val="0DE639F9"/>
    <w:lvl w:ilvl="0">
      <w:start w:val="1"/>
      <w:numFmt w:val="chineseCounting"/>
      <w:suff w:val="nothing"/>
      <w:lvlText w:val="（%1）"/>
      <w:lvlJc w:val="left"/>
      <w:pPr>
        <w:ind w:left="0" w:firstLine="420"/>
      </w:pPr>
      <w:rPr>
        <w:rFonts w:hint="eastAsia"/>
      </w:rPr>
    </w:lvl>
  </w:abstractNum>
  <w:abstractNum w:abstractNumId="18" w15:restartNumberingAfterBreak="0">
    <w:nsid w:val="0FEF7EC0"/>
    <w:multiLevelType w:val="multilevel"/>
    <w:tmpl w:val="0FEF7EC0"/>
    <w:lvl w:ilvl="0">
      <w:start w:val="1"/>
      <w:numFmt w:val="japaneseCounting"/>
      <w:lvlText w:val="%1、"/>
      <w:lvlJc w:val="left"/>
      <w:pPr>
        <w:ind w:left="643" w:hanging="360"/>
      </w:pPr>
      <w:rPr>
        <w:rFonts w:hint="default"/>
      </w:rPr>
    </w:lvl>
    <w:lvl w:ilvl="1">
      <w:start w:val="1"/>
      <w:numFmt w:val="decimal"/>
      <w:lvlText w:val="%2."/>
      <w:lvlJc w:val="left"/>
      <w:pPr>
        <w:ind w:left="785" w:hanging="360"/>
      </w:pPr>
    </w:lvl>
    <w:lvl w:ilvl="2">
      <w:start w:val="1"/>
      <w:numFmt w:val="lowerRoman"/>
      <w:lvlText w:val="%3."/>
      <w:lvlJc w:val="right"/>
      <w:pPr>
        <w:ind w:left="2448"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19" w15:restartNumberingAfterBreak="0">
    <w:nsid w:val="212AF3D0"/>
    <w:multiLevelType w:val="singleLevel"/>
    <w:tmpl w:val="212AF3D0"/>
    <w:lvl w:ilvl="0">
      <w:start w:val="1"/>
      <w:numFmt w:val="decimalEnclosedCircleChinese"/>
      <w:suff w:val="nothing"/>
      <w:lvlText w:val="%1　"/>
      <w:lvlJc w:val="left"/>
      <w:pPr>
        <w:ind w:left="0" w:firstLine="400"/>
      </w:pPr>
      <w:rPr>
        <w:rFonts w:hint="eastAsia"/>
      </w:rPr>
    </w:lvl>
  </w:abstractNum>
  <w:abstractNum w:abstractNumId="20" w15:restartNumberingAfterBreak="0">
    <w:nsid w:val="22327651"/>
    <w:multiLevelType w:val="singleLevel"/>
    <w:tmpl w:val="22327651"/>
    <w:lvl w:ilvl="0">
      <w:start w:val="1"/>
      <w:numFmt w:val="decimalEnclosedCircleChinese"/>
      <w:suff w:val="nothing"/>
      <w:lvlText w:val="%1　"/>
      <w:lvlJc w:val="left"/>
      <w:pPr>
        <w:ind w:left="0" w:firstLine="400"/>
      </w:pPr>
      <w:rPr>
        <w:rFonts w:hint="eastAsia"/>
      </w:rPr>
    </w:lvl>
  </w:abstractNum>
  <w:abstractNum w:abstractNumId="21" w15:restartNumberingAfterBreak="0">
    <w:nsid w:val="2322DBCF"/>
    <w:multiLevelType w:val="singleLevel"/>
    <w:tmpl w:val="2322DBCF"/>
    <w:lvl w:ilvl="0">
      <w:start w:val="1"/>
      <w:numFmt w:val="decimalEnclosedCircleChinese"/>
      <w:suff w:val="nothing"/>
      <w:lvlText w:val="%1　"/>
      <w:lvlJc w:val="left"/>
      <w:pPr>
        <w:ind w:left="0" w:firstLine="400"/>
      </w:pPr>
      <w:rPr>
        <w:rFonts w:hint="eastAsia"/>
      </w:rPr>
    </w:lvl>
  </w:abstractNum>
  <w:abstractNum w:abstractNumId="22" w15:restartNumberingAfterBreak="0">
    <w:nsid w:val="2C8653F1"/>
    <w:multiLevelType w:val="multilevel"/>
    <w:tmpl w:val="2C8653F1"/>
    <w:lvl w:ilvl="0">
      <w:start w:val="1"/>
      <w:numFmt w:val="decimal"/>
      <w:lvlText w:val="%1."/>
      <w:lvlJc w:val="left"/>
      <w:pPr>
        <w:ind w:left="845" w:hanging="420"/>
      </w:pPr>
    </w:lvl>
    <w:lvl w:ilvl="1">
      <w:start w:val="1"/>
      <w:numFmt w:val="decimal"/>
      <w:lvlText w:val="%2、"/>
      <w:lvlJc w:val="left"/>
      <w:pPr>
        <w:ind w:left="1565" w:hanging="720"/>
      </w:pPr>
      <w:rPr>
        <w:rFonts w:ascii="等线" w:eastAsia="等线" w:hAnsi="等线" w:hint="default"/>
        <w:b w:val="0"/>
      </w:rPr>
    </w:lvl>
    <w:lvl w:ilvl="2">
      <w:start w:val="1"/>
      <w:numFmt w:val="lowerLetter"/>
      <w:lvlText w:val="%3."/>
      <w:lvlJc w:val="left"/>
      <w:pPr>
        <w:ind w:left="1625" w:hanging="360"/>
      </w:pPr>
      <w:rPr>
        <w:rFonts w:hint="default"/>
      </w:r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23" w15:restartNumberingAfterBreak="0">
    <w:nsid w:val="2CA15FE8"/>
    <w:multiLevelType w:val="multilevel"/>
    <w:tmpl w:val="2CA15FE8"/>
    <w:lvl w:ilvl="0">
      <w:start w:val="1"/>
      <w:numFmt w:val="decimal"/>
      <w:lvlText w:val="%1."/>
      <w:lvlJc w:val="left"/>
      <w:pPr>
        <w:ind w:left="844" w:hanging="420"/>
      </w:pPr>
    </w:lvl>
    <w:lvl w:ilvl="1">
      <w:start w:val="1"/>
      <w:numFmt w:val="decimal"/>
      <w:lvlText w:val="%2、"/>
      <w:lvlJc w:val="left"/>
      <w:pPr>
        <w:ind w:left="1564" w:hanging="720"/>
      </w:pPr>
      <w:rPr>
        <w:rFonts w:ascii="等线" w:eastAsia="等线" w:hAnsi="等线" w:hint="default"/>
        <w:b w:val="0"/>
      </w:rPr>
    </w:lvl>
    <w:lvl w:ilvl="2">
      <w:start w:val="1"/>
      <w:numFmt w:val="lowerRoman"/>
      <w:lvlText w:val="%3."/>
      <w:lvlJc w:val="right"/>
      <w:pPr>
        <w:ind w:left="1684" w:hanging="420"/>
      </w:pPr>
    </w:lvl>
    <w:lvl w:ilvl="3">
      <w:start w:val="1"/>
      <w:numFmt w:val="decimal"/>
      <w:lvlText w:val="%4."/>
      <w:lvlJc w:val="left"/>
      <w:pPr>
        <w:ind w:left="2104" w:hanging="420"/>
      </w:pPr>
    </w:lvl>
    <w:lvl w:ilvl="4">
      <w:start w:val="1"/>
      <w:numFmt w:val="lowerLetter"/>
      <w:lvlText w:val="%5)"/>
      <w:lvlJc w:val="left"/>
      <w:pPr>
        <w:ind w:left="2524" w:hanging="420"/>
      </w:pPr>
    </w:lvl>
    <w:lvl w:ilvl="5">
      <w:start w:val="1"/>
      <w:numFmt w:val="lowerRoman"/>
      <w:lvlText w:val="%6."/>
      <w:lvlJc w:val="right"/>
      <w:pPr>
        <w:ind w:left="2944" w:hanging="420"/>
      </w:pPr>
    </w:lvl>
    <w:lvl w:ilvl="6">
      <w:start w:val="1"/>
      <w:numFmt w:val="decimal"/>
      <w:lvlText w:val="%7."/>
      <w:lvlJc w:val="left"/>
      <w:pPr>
        <w:ind w:left="3364" w:hanging="420"/>
      </w:pPr>
    </w:lvl>
    <w:lvl w:ilvl="7">
      <w:start w:val="1"/>
      <w:numFmt w:val="lowerLetter"/>
      <w:lvlText w:val="%8)"/>
      <w:lvlJc w:val="left"/>
      <w:pPr>
        <w:ind w:left="3784" w:hanging="420"/>
      </w:pPr>
    </w:lvl>
    <w:lvl w:ilvl="8">
      <w:start w:val="1"/>
      <w:numFmt w:val="lowerRoman"/>
      <w:lvlText w:val="%9."/>
      <w:lvlJc w:val="right"/>
      <w:pPr>
        <w:ind w:left="4204" w:hanging="420"/>
      </w:pPr>
    </w:lvl>
  </w:abstractNum>
  <w:abstractNum w:abstractNumId="24" w15:restartNumberingAfterBreak="0">
    <w:nsid w:val="34E34EA0"/>
    <w:multiLevelType w:val="singleLevel"/>
    <w:tmpl w:val="34E34EA0"/>
    <w:lvl w:ilvl="0">
      <w:start w:val="1"/>
      <w:numFmt w:val="decimalEnclosedCircleChinese"/>
      <w:suff w:val="nothing"/>
      <w:lvlText w:val="%1　"/>
      <w:lvlJc w:val="left"/>
      <w:pPr>
        <w:ind w:left="0" w:firstLine="400"/>
      </w:pPr>
      <w:rPr>
        <w:rFonts w:hint="eastAsia"/>
      </w:rPr>
    </w:lvl>
  </w:abstractNum>
  <w:abstractNum w:abstractNumId="25" w15:restartNumberingAfterBreak="0">
    <w:nsid w:val="39729300"/>
    <w:multiLevelType w:val="singleLevel"/>
    <w:tmpl w:val="39729300"/>
    <w:lvl w:ilvl="0">
      <w:start w:val="1"/>
      <w:numFmt w:val="decimalEnclosedCircleChinese"/>
      <w:suff w:val="nothing"/>
      <w:lvlText w:val="%1　"/>
      <w:lvlJc w:val="left"/>
      <w:pPr>
        <w:ind w:left="0" w:firstLine="400"/>
      </w:pPr>
      <w:rPr>
        <w:rFonts w:hint="eastAsia"/>
      </w:rPr>
    </w:lvl>
  </w:abstractNum>
  <w:abstractNum w:abstractNumId="26" w15:restartNumberingAfterBreak="0">
    <w:nsid w:val="3B394812"/>
    <w:multiLevelType w:val="singleLevel"/>
    <w:tmpl w:val="3B394812"/>
    <w:lvl w:ilvl="0">
      <w:start w:val="1"/>
      <w:numFmt w:val="decimal"/>
      <w:lvlText w:val="%1)"/>
      <w:lvlJc w:val="left"/>
      <w:pPr>
        <w:ind w:left="425" w:hanging="425"/>
      </w:pPr>
      <w:rPr>
        <w:rFonts w:hint="default"/>
      </w:rPr>
    </w:lvl>
  </w:abstractNum>
  <w:abstractNum w:abstractNumId="27" w15:restartNumberingAfterBreak="0">
    <w:nsid w:val="3BA422BB"/>
    <w:multiLevelType w:val="singleLevel"/>
    <w:tmpl w:val="3BA422BB"/>
    <w:lvl w:ilvl="0">
      <w:start w:val="1"/>
      <w:numFmt w:val="decimal"/>
      <w:suff w:val="nothing"/>
      <w:lvlText w:val="%1、"/>
      <w:lvlJc w:val="left"/>
    </w:lvl>
  </w:abstractNum>
  <w:abstractNum w:abstractNumId="28" w15:restartNumberingAfterBreak="0">
    <w:nsid w:val="41158CA6"/>
    <w:multiLevelType w:val="singleLevel"/>
    <w:tmpl w:val="41158CA6"/>
    <w:lvl w:ilvl="0">
      <w:start w:val="1"/>
      <w:numFmt w:val="chineseCounting"/>
      <w:suff w:val="nothing"/>
      <w:lvlText w:val="（%1）"/>
      <w:lvlJc w:val="left"/>
      <w:pPr>
        <w:ind w:left="0" w:firstLine="420"/>
      </w:pPr>
      <w:rPr>
        <w:rFonts w:hint="eastAsia"/>
      </w:rPr>
    </w:lvl>
  </w:abstractNum>
  <w:abstractNum w:abstractNumId="29" w15:restartNumberingAfterBreak="0">
    <w:nsid w:val="482BA9CE"/>
    <w:multiLevelType w:val="singleLevel"/>
    <w:tmpl w:val="482BA9CE"/>
    <w:lvl w:ilvl="0">
      <w:start w:val="1"/>
      <w:numFmt w:val="decimal"/>
      <w:lvlText w:val="%1."/>
      <w:lvlJc w:val="left"/>
      <w:pPr>
        <w:ind w:left="425" w:hanging="425"/>
      </w:pPr>
      <w:rPr>
        <w:rFonts w:hint="default"/>
      </w:rPr>
    </w:lvl>
  </w:abstractNum>
  <w:abstractNum w:abstractNumId="30" w15:restartNumberingAfterBreak="0">
    <w:nsid w:val="49D829ED"/>
    <w:multiLevelType w:val="singleLevel"/>
    <w:tmpl w:val="49D829ED"/>
    <w:lvl w:ilvl="0">
      <w:start w:val="1"/>
      <w:numFmt w:val="chineseCounting"/>
      <w:suff w:val="nothing"/>
      <w:lvlText w:val="（%1）"/>
      <w:lvlJc w:val="left"/>
      <w:pPr>
        <w:ind w:left="0" w:firstLine="420"/>
      </w:pPr>
      <w:rPr>
        <w:rFonts w:hint="eastAsia"/>
      </w:rPr>
    </w:lvl>
  </w:abstractNum>
  <w:abstractNum w:abstractNumId="31" w15:restartNumberingAfterBreak="0">
    <w:nsid w:val="56927484"/>
    <w:multiLevelType w:val="singleLevel"/>
    <w:tmpl w:val="56927484"/>
    <w:lvl w:ilvl="0">
      <w:start w:val="1"/>
      <w:numFmt w:val="decimalEnclosedCircleChinese"/>
      <w:suff w:val="nothing"/>
      <w:lvlText w:val="%1　"/>
      <w:lvlJc w:val="left"/>
      <w:pPr>
        <w:ind w:left="0" w:firstLine="400"/>
      </w:pPr>
      <w:rPr>
        <w:rFonts w:hint="eastAsia"/>
      </w:rPr>
    </w:lvl>
  </w:abstractNum>
  <w:abstractNum w:abstractNumId="32" w15:restartNumberingAfterBreak="0">
    <w:nsid w:val="5FFB9C80"/>
    <w:multiLevelType w:val="singleLevel"/>
    <w:tmpl w:val="5FFB9C80"/>
    <w:lvl w:ilvl="0">
      <w:start w:val="1"/>
      <w:numFmt w:val="decimalEnclosedCircleChinese"/>
      <w:suff w:val="nothing"/>
      <w:lvlText w:val="%1　"/>
      <w:lvlJc w:val="left"/>
      <w:pPr>
        <w:ind w:left="0" w:firstLine="400"/>
      </w:pPr>
      <w:rPr>
        <w:rFonts w:hint="eastAsia"/>
      </w:rPr>
    </w:lvl>
  </w:abstractNum>
  <w:abstractNum w:abstractNumId="33" w15:restartNumberingAfterBreak="0">
    <w:nsid w:val="6BF64C02"/>
    <w:multiLevelType w:val="singleLevel"/>
    <w:tmpl w:val="6BF64C02"/>
    <w:lvl w:ilvl="0">
      <w:start w:val="1"/>
      <w:numFmt w:val="decimalEnclosedCircleChinese"/>
      <w:suff w:val="nothing"/>
      <w:lvlText w:val="%1　"/>
      <w:lvlJc w:val="left"/>
      <w:pPr>
        <w:ind w:left="0" w:firstLine="400"/>
      </w:pPr>
      <w:rPr>
        <w:rFonts w:hint="eastAsia"/>
      </w:rPr>
    </w:lvl>
  </w:abstractNum>
  <w:abstractNum w:abstractNumId="34" w15:restartNumberingAfterBreak="0">
    <w:nsid w:val="74DF6D49"/>
    <w:multiLevelType w:val="singleLevel"/>
    <w:tmpl w:val="74DF6D49"/>
    <w:lvl w:ilvl="0">
      <w:start w:val="1"/>
      <w:numFmt w:val="decimalEnclosedCircleChinese"/>
      <w:suff w:val="nothing"/>
      <w:lvlText w:val="%1　"/>
      <w:lvlJc w:val="left"/>
      <w:pPr>
        <w:ind w:left="0" w:firstLine="400"/>
      </w:pPr>
      <w:rPr>
        <w:rFonts w:hint="eastAsia"/>
      </w:rPr>
    </w:lvl>
  </w:abstractNum>
  <w:abstractNum w:abstractNumId="35" w15:restartNumberingAfterBreak="0">
    <w:nsid w:val="78690582"/>
    <w:multiLevelType w:val="singleLevel"/>
    <w:tmpl w:val="78690582"/>
    <w:lvl w:ilvl="0">
      <w:start w:val="1"/>
      <w:numFmt w:val="decimalEnclosedCircleChinese"/>
      <w:suff w:val="nothing"/>
      <w:lvlText w:val="%1　"/>
      <w:lvlJc w:val="left"/>
      <w:pPr>
        <w:ind w:left="0" w:firstLine="400"/>
      </w:pPr>
      <w:rPr>
        <w:rFonts w:hint="eastAsia"/>
      </w:rPr>
    </w:lvl>
  </w:abstractNum>
  <w:abstractNum w:abstractNumId="36" w15:restartNumberingAfterBreak="0">
    <w:nsid w:val="7AFB1314"/>
    <w:multiLevelType w:val="singleLevel"/>
    <w:tmpl w:val="7AFB1314"/>
    <w:lvl w:ilvl="0">
      <w:start w:val="1"/>
      <w:numFmt w:val="decimal"/>
      <w:lvlText w:val="%1."/>
      <w:lvlJc w:val="left"/>
      <w:pPr>
        <w:ind w:left="425" w:hanging="425"/>
      </w:pPr>
      <w:rPr>
        <w:rFonts w:hint="default"/>
      </w:rPr>
    </w:lvl>
  </w:abstractNum>
  <w:num w:numId="1">
    <w:abstractNumId w:val="30"/>
  </w:num>
  <w:num w:numId="2">
    <w:abstractNumId w:val="36"/>
  </w:num>
  <w:num w:numId="3">
    <w:abstractNumId w:val="3"/>
  </w:num>
  <w:num w:numId="4">
    <w:abstractNumId w:val="29"/>
  </w:num>
  <w:num w:numId="5">
    <w:abstractNumId w:val="17"/>
  </w:num>
  <w:num w:numId="6">
    <w:abstractNumId w:val="10"/>
  </w:num>
  <w:num w:numId="7">
    <w:abstractNumId w:val="26"/>
  </w:num>
  <w:num w:numId="8">
    <w:abstractNumId w:val="35"/>
  </w:num>
  <w:num w:numId="9">
    <w:abstractNumId w:val="12"/>
  </w:num>
  <w:num w:numId="10">
    <w:abstractNumId w:val="6"/>
  </w:num>
  <w:num w:numId="11">
    <w:abstractNumId w:val="34"/>
  </w:num>
  <w:num w:numId="12">
    <w:abstractNumId w:val="20"/>
  </w:num>
  <w:num w:numId="13">
    <w:abstractNumId w:val="2"/>
  </w:num>
  <w:num w:numId="14">
    <w:abstractNumId w:val="19"/>
  </w:num>
  <w:num w:numId="15">
    <w:abstractNumId w:val="21"/>
  </w:num>
  <w:num w:numId="16">
    <w:abstractNumId w:val="5"/>
  </w:num>
  <w:num w:numId="17">
    <w:abstractNumId w:val="8"/>
  </w:num>
  <w:num w:numId="18">
    <w:abstractNumId w:val="11"/>
  </w:num>
  <w:num w:numId="19">
    <w:abstractNumId w:val="18"/>
  </w:num>
  <w:num w:numId="20">
    <w:abstractNumId w:val="7"/>
  </w:num>
  <w:num w:numId="21">
    <w:abstractNumId w:val="23"/>
  </w:num>
  <w:num w:numId="22">
    <w:abstractNumId w:val="14"/>
  </w:num>
  <w:num w:numId="23">
    <w:abstractNumId w:val="31"/>
  </w:num>
  <w:num w:numId="24">
    <w:abstractNumId w:val="1"/>
  </w:num>
  <w:num w:numId="25">
    <w:abstractNumId w:val="25"/>
  </w:num>
  <w:num w:numId="26">
    <w:abstractNumId w:val="4"/>
  </w:num>
  <w:num w:numId="27">
    <w:abstractNumId w:val="15"/>
  </w:num>
  <w:num w:numId="28">
    <w:abstractNumId w:val="33"/>
  </w:num>
  <w:num w:numId="29">
    <w:abstractNumId w:val="24"/>
  </w:num>
  <w:num w:numId="30">
    <w:abstractNumId w:val="22"/>
  </w:num>
  <w:num w:numId="31">
    <w:abstractNumId w:val="32"/>
  </w:num>
  <w:num w:numId="32">
    <w:abstractNumId w:val="13"/>
  </w:num>
  <w:num w:numId="33">
    <w:abstractNumId w:val="27"/>
  </w:num>
  <w:num w:numId="34">
    <w:abstractNumId w:val="28"/>
  </w:num>
  <w:num w:numId="35">
    <w:abstractNumId w:val="16"/>
  </w:num>
  <w:num w:numId="36">
    <w:abstractNumId w:val="9"/>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hjMTY2NTMxOTIzMDFjNGExZGU5MDFjYTg0MmIyMzYifQ=="/>
  </w:docVars>
  <w:rsids>
    <w:rsidRoot w:val="00FB3FD3"/>
    <w:rsid w:val="00021AE3"/>
    <w:rsid w:val="00024FB2"/>
    <w:rsid w:val="00122156"/>
    <w:rsid w:val="00141505"/>
    <w:rsid w:val="00186C0C"/>
    <w:rsid w:val="001B7E8F"/>
    <w:rsid w:val="00277F79"/>
    <w:rsid w:val="002D7F80"/>
    <w:rsid w:val="003020B1"/>
    <w:rsid w:val="003E61C4"/>
    <w:rsid w:val="00486BDB"/>
    <w:rsid w:val="004930D7"/>
    <w:rsid w:val="004C689B"/>
    <w:rsid w:val="005C78CA"/>
    <w:rsid w:val="006427AF"/>
    <w:rsid w:val="006C7A7C"/>
    <w:rsid w:val="007130A3"/>
    <w:rsid w:val="0083285B"/>
    <w:rsid w:val="00876741"/>
    <w:rsid w:val="008825EC"/>
    <w:rsid w:val="008A1343"/>
    <w:rsid w:val="00917DC3"/>
    <w:rsid w:val="00933D56"/>
    <w:rsid w:val="009407CD"/>
    <w:rsid w:val="00983886"/>
    <w:rsid w:val="009E1DFD"/>
    <w:rsid w:val="00A11662"/>
    <w:rsid w:val="00A7585E"/>
    <w:rsid w:val="00AB1940"/>
    <w:rsid w:val="00AE56E4"/>
    <w:rsid w:val="00B768B9"/>
    <w:rsid w:val="00B829B4"/>
    <w:rsid w:val="00BD4F54"/>
    <w:rsid w:val="00C23675"/>
    <w:rsid w:val="00C54337"/>
    <w:rsid w:val="00C64F62"/>
    <w:rsid w:val="00C86EE4"/>
    <w:rsid w:val="00CC2B4E"/>
    <w:rsid w:val="00D213DB"/>
    <w:rsid w:val="00D45125"/>
    <w:rsid w:val="00D7449F"/>
    <w:rsid w:val="00D90F93"/>
    <w:rsid w:val="00E018E8"/>
    <w:rsid w:val="00EF0D65"/>
    <w:rsid w:val="00FA227C"/>
    <w:rsid w:val="00FB3FD3"/>
    <w:rsid w:val="00FC6B94"/>
    <w:rsid w:val="02B40103"/>
    <w:rsid w:val="03463085"/>
    <w:rsid w:val="03644C4D"/>
    <w:rsid w:val="038D275D"/>
    <w:rsid w:val="03F81D94"/>
    <w:rsid w:val="045D6A4B"/>
    <w:rsid w:val="04ED41A7"/>
    <w:rsid w:val="04F92A1D"/>
    <w:rsid w:val="0580504F"/>
    <w:rsid w:val="05B4239D"/>
    <w:rsid w:val="06E37205"/>
    <w:rsid w:val="07325210"/>
    <w:rsid w:val="07992176"/>
    <w:rsid w:val="08A02DEE"/>
    <w:rsid w:val="08A1608E"/>
    <w:rsid w:val="0A2D3B5D"/>
    <w:rsid w:val="0BFA0914"/>
    <w:rsid w:val="0C1F335E"/>
    <w:rsid w:val="0C9F6818"/>
    <w:rsid w:val="0D263289"/>
    <w:rsid w:val="0DEB323E"/>
    <w:rsid w:val="0EBA323F"/>
    <w:rsid w:val="0FB6566D"/>
    <w:rsid w:val="0FC05EC2"/>
    <w:rsid w:val="0FC1684F"/>
    <w:rsid w:val="10861F5E"/>
    <w:rsid w:val="10C75172"/>
    <w:rsid w:val="1213551B"/>
    <w:rsid w:val="12304520"/>
    <w:rsid w:val="12DA4F52"/>
    <w:rsid w:val="14F14FFD"/>
    <w:rsid w:val="156767E1"/>
    <w:rsid w:val="156C3CF9"/>
    <w:rsid w:val="15F230E6"/>
    <w:rsid w:val="161E18A0"/>
    <w:rsid w:val="163F4350"/>
    <w:rsid w:val="179970BE"/>
    <w:rsid w:val="17BA72A3"/>
    <w:rsid w:val="18FE47E2"/>
    <w:rsid w:val="1A9A254F"/>
    <w:rsid w:val="1C3E0ECA"/>
    <w:rsid w:val="1CEB56B4"/>
    <w:rsid w:val="1CFE18A7"/>
    <w:rsid w:val="1E8E18CA"/>
    <w:rsid w:val="204174A1"/>
    <w:rsid w:val="20BB228C"/>
    <w:rsid w:val="218B2034"/>
    <w:rsid w:val="22EE3E2E"/>
    <w:rsid w:val="240A11FD"/>
    <w:rsid w:val="24372CCD"/>
    <w:rsid w:val="24920160"/>
    <w:rsid w:val="24E00ED1"/>
    <w:rsid w:val="25921923"/>
    <w:rsid w:val="260E5DEF"/>
    <w:rsid w:val="26E7514B"/>
    <w:rsid w:val="282E5CC3"/>
    <w:rsid w:val="28641B42"/>
    <w:rsid w:val="28E84A90"/>
    <w:rsid w:val="29626693"/>
    <w:rsid w:val="2A577E38"/>
    <w:rsid w:val="2A9C234F"/>
    <w:rsid w:val="2B06610E"/>
    <w:rsid w:val="2B530722"/>
    <w:rsid w:val="2B85410A"/>
    <w:rsid w:val="2C505C0B"/>
    <w:rsid w:val="2C6E254F"/>
    <w:rsid w:val="2D0300F7"/>
    <w:rsid w:val="2D68322E"/>
    <w:rsid w:val="2E6B1767"/>
    <w:rsid w:val="2F5E16D2"/>
    <w:rsid w:val="30335EA6"/>
    <w:rsid w:val="305764BA"/>
    <w:rsid w:val="307153D5"/>
    <w:rsid w:val="30E22B8D"/>
    <w:rsid w:val="30F153FF"/>
    <w:rsid w:val="31F906A8"/>
    <w:rsid w:val="32FE26EC"/>
    <w:rsid w:val="336C7F8A"/>
    <w:rsid w:val="34705F47"/>
    <w:rsid w:val="347449D1"/>
    <w:rsid w:val="34786086"/>
    <w:rsid w:val="34832F36"/>
    <w:rsid w:val="34AF3483"/>
    <w:rsid w:val="36D62881"/>
    <w:rsid w:val="375B183C"/>
    <w:rsid w:val="384B17BE"/>
    <w:rsid w:val="398D52B9"/>
    <w:rsid w:val="39CB3B0D"/>
    <w:rsid w:val="3B573E3D"/>
    <w:rsid w:val="3FDD194A"/>
    <w:rsid w:val="41673B15"/>
    <w:rsid w:val="433E162F"/>
    <w:rsid w:val="440F0B14"/>
    <w:rsid w:val="448C10D7"/>
    <w:rsid w:val="45252D5C"/>
    <w:rsid w:val="455558AD"/>
    <w:rsid w:val="46016697"/>
    <w:rsid w:val="46232B1F"/>
    <w:rsid w:val="470B18CE"/>
    <w:rsid w:val="47B743B2"/>
    <w:rsid w:val="48632D01"/>
    <w:rsid w:val="48EC13B2"/>
    <w:rsid w:val="4A8B5B4F"/>
    <w:rsid w:val="4AA64E1E"/>
    <w:rsid w:val="4B4664E4"/>
    <w:rsid w:val="4B5C4729"/>
    <w:rsid w:val="4C0E1627"/>
    <w:rsid w:val="4C933609"/>
    <w:rsid w:val="4D346582"/>
    <w:rsid w:val="4D9D6C0E"/>
    <w:rsid w:val="4DB4315A"/>
    <w:rsid w:val="4DF2236A"/>
    <w:rsid w:val="4E004693"/>
    <w:rsid w:val="4E1F553B"/>
    <w:rsid w:val="4F444B93"/>
    <w:rsid w:val="4F76669A"/>
    <w:rsid w:val="4FB359F3"/>
    <w:rsid w:val="50AF617A"/>
    <w:rsid w:val="50DE1B60"/>
    <w:rsid w:val="51022E07"/>
    <w:rsid w:val="51214F5B"/>
    <w:rsid w:val="518017E3"/>
    <w:rsid w:val="5228428C"/>
    <w:rsid w:val="529A1A67"/>
    <w:rsid w:val="529F44B9"/>
    <w:rsid w:val="52E9631C"/>
    <w:rsid w:val="5307508C"/>
    <w:rsid w:val="53297CF5"/>
    <w:rsid w:val="53D533B3"/>
    <w:rsid w:val="55E04EBA"/>
    <w:rsid w:val="562A2314"/>
    <w:rsid w:val="56C46BA9"/>
    <w:rsid w:val="580E2A05"/>
    <w:rsid w:val="58505C72"/>
    <w:rsid w:val="58C206F6"/>
    <w:rsid w:val="59465BDE"/>
    <w:rsid w:val="5AD77D1D"/>
    <w:rsid w:val="5C27507B"/>
    <w:rsid w:val="5C2A5867"/>
    <w:rsid w:val="5C305770"/>
    <w:rsid w:val="5C453942"/>
    <w:rsid w:val="5CC57A4B"/>
    <w:rsid w:val="5D58557F"/>
    <w:rsid w:val="5E80445E"/>
    <w:rsid w:val="5EA51A11"/>
    <w:rsid w:val="5F444BBB"/>
    <w:rsid w:val="5F607077"/>
    <w:rsid w:val="602870EA"/>
    <w:rsid w:val="60B90415"/>
    <w:rsid w:val="60DE32EF"/>
    <w:rsid w:val="624A135C"/>
    <w:rsid w:val="626F224B"/>
    <w:rsid w:val="63E03578"/>
    <w:rsid w:val="63E113B3"/>
    <w:rsid w:val="641D6B9D"/>
    <w:rsid w:val="651D03F2"/>
    <w:rsid w:val="657C1C8C"/>
    <w:rsid w:val="669748CA"/>
    <w:rsid w:val="66FB2665"/>
    <w:rsid w:val="67C034E5"/>
    <w:rsid w:val="68942457"/>
    <w:rsid w:val="69941886"/>
    <w:rsid w:val="69A802DF"/>
    <w:rsid w:val="6ACF4556"/>
    <w:rsid w:val="6ADA2AFD"/>
    <w:rsid w:val="6B3D74B0"/>
    <w:rsid w:val="6DC72A21"/>
    <w:rsid w:val="6DD67EEF"/>
    <w:rsid w:val="6E291F0D"/>
    <w:rsid w:val="7045287E"/>
    <w:rsid w:val="705E099B"/>
    <w:rsid w:val="713E1D99"/>
    <w:rsid w:val="72CC2291"/>
    <w:rsid w:val="731B330A"/>
    <w:rsid w:val="73465646"/>
    <w:rsid w:val="74CE4F30"/>
    <w:rsid w:val="750436EE"/>
    <w:rsid w:val="75AA4844"/>
    <w:rsid w:val="75AD1F08"/>
    <w:rsid w:val="75EB7C83"/>
    <w:rsid w:val="75F330B3"/>
    <w:rsid w:val="791D6E8F"/>
    <w:rsid w:val="79AF40BB"/>
    <w:rsid w:val="7C2A5A14"/>
    <w:rsid w:val="7D002565"/>
    <w:rsid w:val="7E4E0647"/>
    <w:rsid w:val="7F0001A6"/>
    <w:rsid w:val="7F04744D"/>
    <w:rsid w:val="7FAD54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E58E8DF3-2CD8-4FB2-A2C9-940C4002F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jc w:val="center"/>
      <w:outlineLvl w:val="0"/>
    </w:pPr>
    <w:rPr>
      <w:b/>
      <w:kern w:val="44"/>
      <w:sz w:val="44"/>
    </w:rPr>
  </w:style>
  <w:style w:type="paragraph" w:styleId="2">
    <w:name w:val="heading 2"/>
    <w:basedOn w:val="a"/>
    <w:next w:val="a"/>
    <w:unhideWhenUsed/>
    <w:qFormat/>
    <w:pPr>
      <w:keepNext/>
      <w:keepLines/>
      <w:spacing w:before="260" w:after="260"/>
      <w:jc w:val="center"/>
      <w:outlineLvl w:val="1"/>
    </w:pPr>
    <w:rPr>
      <w:rFonts w:ascii="Arial" w:eastAsia="黑体" w:hAnsi="Arial"/>
      <w:b/>
      <w:sz w:val="32"/>
    </w:rPr>
  </w:style>
  <w:style w:type="paragraph" w:styleId="3">
    <w:name w:val="heading 3"/>
    <w:basedOn w:val="a"/>
    <w:next w:val="a"/>
    <w:link w:val="3Char"/>
    <w:unhideWhenUsed/>
    <w:qFormat/>
    <w:pPr>
      <w:keepNext/>
      <w:keepLines/>
      <w:ind w:leftChars="200" w:left="420" w:firstLineChars="200" w:firstLine="880"/>
      <w:jc w:val="left"/>
      <w:outlineLvl w:val="2"/>
    </w:pPr>
    <w:rPr>
      <w:rFonts w:ascii="Calibri" w:eastAsia="黑体" w:hAnsi="Calibri"/>
      <w:b/>
      <w:kern w:val="0"/>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customStyle="1" w:styleId="10">
    <w:name w:val="列出段落1"/>
    <w:basedOn w:val="a"/>
    <w:qFormat/>
    <w:pPr>
      <w:adjustRightInd w:val="0"/>
      <w:spacing w:line="312" w:lineRule="atLeast"/>
      <w:ind w:firstLineChars="200" w:firstLine="420"/>
    </w:pPr>
    <w:rPr>
      <w:rFonts w:ascii="等线" w:eastAsia="等线" w:hAnsi="等线" w:cs="Times New Roman"/>
      <w:szCs w:val="22"/>
    </w:rPr>
  </w:style>
  <w:style w:type="paragraph" w:customStyle="1" w:styleId="Style2">
    <w:name w:val="_Style 2"/>
    <w:basedOn w:val="a"/>
    <w:qFormat/>
    <w:pPr>
      <w:ind w:firstLineChars="200" w:firstLine="420"/>
    </w:pPr>
    <w:rPr>
      <w:rFonts w:ascii="Calibri" w:eastAsia="宋体" w:hAnsi="Calibri" w:cs="Times New Roman"/>
    </w:rPr>
  </w:style>
  <w:style w:type="paragraph" w:customStyle="1" w:styleId="Style3">
    <w:name w:val="_Style 3"/>
    <w:basedOn w:val="a"/>
    <w:qFormat/>
    <w:pPr>
      <w:ind w:firstLineChars="200" w:firstLine="420"/>
    </w:pPr>
    <w:rPr>
      <w:rFonts w:ascii="Calibri" w:eastAsia="宋体" w:hAnsi="Calibri" w:cs="Times New Roman"/>
    </w:rPr>
  </w:style>
  <w:style w:type="character" w:customStyle="1" w:styleId="Char0">
    <w:name w:val="页眉 Char"/>
    <w:basedOn w:val="a0"/>
    <w:link w:val="a5"/>
    <w:qFormat/>
    <w:rPr>
      <w:rFonts w:asciiTheme="minorHAnsi" w:eastAsiaTheme="minorEastAsia" w:hAnsiTheme="minorHAnsi" w:cstheme="minorBidi"/>
      <w:kern w:val="2"/>
      <w:sz w:val="18"/>
      <w:szCs w:val="18"/>
    </w:rPr>
  </w:style>
  <w:style w:type="character" w:customStyle="1" w:styleId="Char">
    <w:name w:val="批注框文本 Char"/>
    <w:basedOn w:val="a0"/>
    <w:link w:val="a3"/>
    <w:qFormat/>
    <w:rPr>
      <w:rFonts w:asciiTheme="minorHAnsi" w:eastAsiaTheme="minorEastAsia" w:hAnsiTheme="minorHAnsi" w:cstheme="minorBidi"/>
      <w:kern w:val="2"/>
      <w:sz w:val="18"/>
      <w:szCs w:val="18"/>
    </w:rPr>
  </w:style>
  <w:style w:type="character" w:customStyle="1" w:styleId="3Char">
    <w:name w:val="标题 3 Char"/>
    <w:link w:val="3"/>
    <w:qFormat/>
    <w:rPr>
      <w:rFonts w:ascii="Calibri" w:eastAsia="黑体" w:hAnsi="Calibri"/>
      <w:b/>
      <w:kern w:val="0"/>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11329</Words>
  <Characters>2032</Characters>
  <Application>Microsoft Office Word</Application>
  <DocSecurity>0</DocSecurity>
  <Lines>16</Lines>
  <Paragraphs>26</Paragraphs>
  <ScaleCrop>false</ScaleCrop>
  <Company/>
  <LinksUpToDate>false</LinksUpToDate>
  <CharactersWithSpaces>13335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王欣</cp:lastModifiedBy>
  <cp:revision>3</cp:revision>
  <cp:lastPrinted>2020-07-22T03:41:00Z</cp:lastPrinted>
  <dcterms:created xsi:type="dcterms:W3CDTF">2022-09-30T01:24:00Z</dcterms:created>
  <dcterms:modified xsi:type="dcterms:W3CDTF">2022-10-09T02:45:00Z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30E5BC04718A43CF9E654DDCE648FDDB</vt:lpwstr>
  </property>
</Properties>
</file>