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方正小标宋简体" w:hAnsi="方正小标宋简体" w:eastAsia="方正小标宋简体" w:cs="方正小标宋简体"/>
          <w:b w:val="0"/>
          <w:bCs w:val="0"/>
          <w:sz w:val="44"/>
          <w:szCs w:val="44"/>
        </w:rPr>
      </w:pPr>
      <w:bookmarkStart w:id="0" w:name="_Toc92188461"/>
      <w:r>
        <w:rPr>
          <w:rFonts w:hint="eastAsia" w:ascii="方正小标宋简体" w:hAnsi="方正小标宋简体" w:eastAsia="方正小标宋简体" w:cs="方正小标宋简体"/>
          <w:b w:val="0"/>
          <w:bCs w:val="0"/>
          <w:sz w:val="44"/>
          <w:szCs w:val="44"/>
          <w:lang w:val="en-US" w:eastAsia="zh-CN"/>
        </w:rPr>
        <w:t>尚安路10m方形</w:t>
      </w:r>
      <w:r>
        <w:rPr>
          <w:rFonts w:ascii="方正小标宋简体" w:hAnsi="方正小标宋简体" w:eastAsia="方正小标宋简体" w:cs="方正小标宋简体"/>
          <w:b w:val="0"/>
          <w:bCs w:val="0"/>
          <w:sz w:val="44"/>
          <w:szCs w:val="44"/>
        </w:rPr>
        <w:t>路灯灯杆技术</w:t>
      </w:r>
      <w:r>
        <w:rPr>
          <w:rFonts w:hint="eastAsia" w:ascii="方正小标宋简体" w:hAnsi="方正小标宋简体" w:eastAsia="方正小标宋简体" w:cs="方正小标宋简体"/>
          <w:b w:val="0"/>
          <w:bCs w:val="0"/>
          <w:sz w:val="44"/>
          <w:szCs w:val="44"/>
        </w:rPr>
        <w:t>文件</w:t>
      </w:r>
      <w:bookmarkEnd w:id="0"/>
      <w:bookmarkStart w:id="1" w:name="_Toc69220035"/>
      <w:bookmarkStart w:id="2" w:name="_Toc69367708"/>
      <w:bookmarkStart w:id="3" w:name="_Toc69196712"/>
      <w:bookmarkStart w:id="4" w:name="_Toc69309019"/>
      <w:bookmarkStart w:id="5" w:name="_Toc68772823"/>
    </w:p>
    <w:bookmarkEnd w:id="1"/>
    <w:bookmarkEnd w:id="2"/>
    <w:bookmarkEnd w:id="3"/>
    <w:bookmarkEnd w:id="4"/>
    <w:bookmarkEnd w:id="5"/>
    <w:p>
      <w:pPr>
        <w:pStyle w:val="3"/>
        <w:ind w:left="420" w:right="210"/>
        <w:rPr>
          <w:rFonts w:hint="eastAsia"/>
        </w:rPr>
      </w:pPr>
      <w:bookmarkStart w:id="6" w:name="_Toc92188462"/>
      <w:r>
        <w:rPr>
          <w:rFonts w:hint="eastAsia"/>
        </w:rPr>
        <w:t>一、招标内容</w:t>
      </w:r>
      <w:bookmarkEnd w:id="6"/>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7"/>
        <w:gridCol w:w="1929"/>
        <w:gridCol w:w="1236"/>
        <w:gridCol w:w="1357"/>
        <w:gridCol w:w="2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25" w:type="pct"/>
            <w:noWrap w:val="0"/>
            <w:vAlign w:val="center"/>
          </w:tcPr>
          <w:p>
            <w:pPr>
              <w:widowControl/>
              <w:jc w:val="center"/>
              <w:rPr>
                <w:rFonts w:hint="eastAsia" w:ascii="仿宋" w:hAnsi="仿宋" w:eastAsia="仿宋" w:cs="仿宋"/>
                <w:sz w:val="24"/>
              </w:rPr>
            </w:pPr>
            <w:r>
              <w:rPr>
                <w:rFonts w:hint="eastAsia" w:ascii="仿宋" w:hAnsi="仿宋" w:eastAsia="仿宋" w:cs="仿宋"/>
                <w:sz w:val="24"/>
              </w:rPr>
              <w:t>序号</w:t>
            </w:r>
          </w:p>
        </w:tc>
        <w:tc>
          <w:tcPr>
            <w:tcW w:w="1131" w:type="pct"/>
            <w:noWrap w:val="0"/>
            <w:vAlign w:val="center"/>
          </w:tcPr>
          <w:p>
            <w:pPr>
              <w:widowControl/>
              <w:jc w:val="center"/>
              <w:rPr>
                <w:rFonts w:hint="eastAsia" w:ascii="仿宋" w:hAnsi="仿宋" w:eastAsia="仿宋" w:cs="仿宋"/>
                <w:sz w:val="24"/>
              </w:rPr>
            </w:pPr>
            <w:r>
              <w:rPr>
                <w:rFonts w:hint="eastAsia" w:ascii="仿宋" w:hAnsi="仿宋" w:eastAsia="仿宋" w:cs="仿宋"/>
                <w:sz w:val="24"/>
              </w:rPr>
              <w:t>灯杆名称</w:t>
            </w:r>
          </w:p>
        </w:tc>
        <w:tc>
          <w:tcPr>
            <w:tcW w:w="725" w:type="pct"/>
            <w:noWrap w:val="0"/>
            <w:vAlign w:val="center"/>
          </w:tcPr>
          <w:p>
            <w:pPr>
              <w:widowControl/>
              <w:jc w:val="center"/>
              <w:rPr>
                <w:rFonts w:hint="eastAsia" w:ascii="仿宋" w:hAnsi="仿宋" w:eastAsia="仿宋" w:cs="仿宋"/>
                <w:sz w:val="24"/>
              </w:rPr>
            </w:pPr>
            <w:r>
              <w:rPr>
                <w:rFonts w:hint="eastAsia" w:ascii="仿宋" w:hAnsi="仿宋" w:eastAsia="仿宋" w:cs="仿宋"/>
                <w:sz w:val="24"/>
              </w:rPr>
              <w:t>单位</w:t>
            </w:r>
          </w:p>
        </w:tc>
        <w:tc>
          <w:tcPr>
            <w:tcW w:w="796" w:type="pct"/>
            <w:noWrap w:val="0"/>
            <w:vAlign w:val="center"/>
          </w:tcPr>
          <w:p>
            <w:pPr>
              <w:widowControl/>
              <w:jc w:val="center"/>
              <w:rPr>
                <w:rFonts w:hint="eastAsia" w:ascii="仿宋" w:hAnsi="仿宋" w:eastAsia="仿宋" w:cs="仿宋"/>
                <w:sz w:val="24"/>
              </w:rPr>
            </w:pPr>
            <w:r>
              <w:rPr>
                <w:rFonts w:hint="eastAsia" w:ascii="仿宋" w:hAnsi="仿宋" w:eastAsia="仿宋" w:cs="仿宋"/>
                <w:sz w:val="24"/>
              </w:rPr>
              <w:t>数量</w:t>
            </w:r>
          </w:p>
        </w:tc>
        <w:tc>
          <w:tcPr>
            <w:tcW w:w="1520" w:type="pct"/>
            <w:noWrap w:val="0"/>
            <w:vAlign w:val="center"/>
          </w:tcPr>
          <w:p>
            <w:pPr>
              <w:widowControl/>
              <w:jc w:val="center"/>
              <w:rPr>
                <w:rFonts w:ascii="仿宋" w:hAnsi="仿宋" w:eastAsia="仿宋" w:cs="仿宋"/>
                <w:sz w:val="24"/>
              </w:rPr>
            </w:pPr>
            <w:r>
              <w:rPr>
                <w:rFonts w:hint="eastAsia" w:ascii="仿宋" w:hAnsi="仿宋" w:eastAsia="仿宋" w:cs="仿宋"/>
                <w:sz w:val="24"/>
              </w:rPr>
              <w:t>材料编码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825" w:type="pct"/>
            <w:noWrap w:val="0"/>
            <w:vAlign w:val="center"/>
          </w:tcPr>
          <w:p>
            <w:pPr>
              <w:widowControl/>
              <w:jc w:val="center"/>
              <w:rPr>
                <w:rFonts w:hint="eastAsia" w:ascii="仿宋" w:hAnsi="仿宋" w:eastAsia="仿宋" w:cs="仿宋"/>
                <w:sz w:val="24"/>
              </w:rPr>
            </w:pPr>
            <w:r>
              <w:rPr>
                <w:rFonts w:hint="eastAsia" w:ascii="仿宋" w:hAnsi="仿宋" w:eastAsia="仿宋" w:cs="仿宋"/>
                <w:sz w:val="24"/>
              </w:rPr>
              <w:t>1</w:t>
            </w:r>
          </w:p>
        </w:tc>
        <w:tc>
          <w:tcPr>
            <w:tcW w:w="1131" w:type="pct"/>
            <w:noWrap w:val="0"/>
            <w:vAlign w:val="center"/>
          </w:tcPr>
          <w:p>
            <w:pPr>
              <w:widowControl/>
              <w:jc w:val="center"/>
              <w:rPr>
                <w:rFonts w:hint="eastAsia" w:ascii="仿宋" w:hAnsi="仿宋" w:eastAsia="仿宋" w:cs="仿宋"/>
                <w:sz w:val="24"/>
                <w:lang w:val="en-US" w:eastAsia="zh-CN"/>
              </w:rPr>
            </w:pPr>
            <w:r>
              <w:rPr>
                <w:rFonts w:hint="eastAsia" w:ascii="仿宋" w:hAnsi="仿宋" w:eastAsia="仿宋" w:cs="仿宋"/>
                <w:sz w:val="24"/>
                <w:lang w:val="en-US" w:eastAsia="zh-CN"/>
              </w:rPr>
              <w:t>10</w:t>
            </w:r>
            <w:r>
              <w:rPr>
                <w:rFonts w:hint="eastAsia" w:ascii="仿宋" w:hAnsi="仿宋" w:eastAsia="仿宋" w:cs="仿宋"/>
                <w:sz w:val="24"/>
              </w:rPr>
              <w:t>米</w:t>
            </w:r>
            <w:r>
              <w:rPr>
                <w:rFonts w:hint="eastAsia" w:ascii="仿宋" w:hAnsi="仿宋" w:eastAsia="仿宋" w:cs="仿宋"/>
                <w:sz w:val="24"/>
                <w:lang w:val="en-US" w:eastAsia="zh-CN"/>
              </w:rPr>
              <w:t>方形</w:t>
            </w:r>
            <w:r>
              <w:rPr>
                <w:rFonts w:hint="eastAsia" w:ascii="仿宋" w:hAnsi="仿宋" w:eastAsia="仿宋" w:cs="仿宋"/>
                <w:sz w:val="24"/>
              </w:rPr>
              <w:t>单挑灯</w:t>
            </w:r>
            <w:r>
              <w:rPr>
                <w:rFonts w:hint="eastAsia" w:ascii="仿宋" w:hAnsi="仿宋" w:eastAsia="仿宋" w:cs="仿宋"/>
                <w:sz w:val="24"/>
                <w:lang w:val="en-US" w:eastAsia="zh-CN"/>
              </w:rPr>
              <w:t>灯杆</w:t>
            </w:r>
          </w:p>
        </w:tc>
        <w:tc>
          <w:tcPr>
            <w:tcW w:w="725" w:type="pct"/>
            <w:noWrap w:val="0"/>
            <w:vAlign w:val="center"/>
          </w:tcPr>
          <w:p>
            <w:pPr>
              <w:widowControl/>
              <w:jc w:val="center"/>
              <w:rPr>
                <w:rFonts w:hint="eastAsia" w:ascii="仿宋" w:hAnsi="仿宋" w:eastAsia="仿宋" w:cs="仿宋"/>
                <w:sz w:val="24"/>
                <w:lang w:val="en-US" w:eastAsia="zh-CN"/>
              </w:rPr>
            </w:pPr>
            <w:r>
              <w:rPr>
                <w:rFonts w:hint="eastAsia" w:ascii="仿宋" w:hAnsi="仿宋" w:eastAsia="仿宋" w:cs="仿宋"/>
                <w:sz w:val="24"/>
                <w:lang w:val="en-US" w:eastAsia="zh-CN"/>
              </w:rPr>
              <w:t>套</w:t>
            </w:r>
          </w:p>
        </w:tc>
        <w:tc>
          <w:tcPr>
            <w:tcW w:w="796" w:type="pct"/>
            <w:noWrap w:val="0"/>
            <w:vAlign w:val="center"/>
          </w:tcPr>
          <w:p>
            <w:pPr>
              <w:widowControl/>
              <w:jc w:val="center"/>
              <w:rPr>
                <w:rFonts w:hint="eastAsia" w:ascii="仿宋" w:hAnsi="仿宋" w:eastAsia="仿宋" w:cs="仿宋"/>
                <w:sz w:val="24"/>
                <w:lang w:val="en-US" w:eastAsia="zh-CN"/>
              </w:rPr>
            </w:pPr>
            <w:r>
              <w:rPr>
                <w:rFonts w:hint="eastAsia" w:ascii="仿宋" w:hAnsi="仿宋" w:eastAsia="仿宋" w:cs="仿宋"/>
                <w:sz w:val="24"/>
                <w:lang w:val="en-US" w:eastAsia="zh-CN"/>
              </w:rPr>
              <w:t>9</w:t>
            </w:r>
          </w:p>
        </w:tc>
        <w:tc>
          <w:tcPr>
            <w:tcW w:w="1520" w:type="pct"/>
            <w:noWrap w:val="0"/>
            <w:vAlign w:val="center"/>
          </w:tcPr>
          <w:p>
            <w:pPr>
              <w:widowControl/>
              <w:jc w:val="center"/>
              <w:rPr>
                <w:rFonts w:hint="default" w:ascii="仿宋" w:hAnsi="仿宋" w:eastAsia="仿宋" w:cs="仿宋"/>
                <w:sz w:val="24"/>
                <w:lang w:val="en-US" w:eastAsia="zh-CN"/>
              </w:rPr>
            </w:pPr>
            <w:r>
              <w:rPr>
                <w:rFonts w:hint="eastAsia" w:ascii="仿宋" w:hAnsi="仿宋" w:eastAsia="仿宋" w:cs="仿宋"/>
                <w:sz w:val="24"/>
              </w:rPr>
              <w:t>01010</w:t>
            </w:r>
            <w:r>
              <w:rPr>
                <w:rFonts w:hint="eastAsia" w:ascii="仿宋" w:hAnsi="仿宋" w:eastAsia="仿宋" w:cs="仿宋"/>
                <w:sz w:val="24"/>
                <w:lang w:val="en-US" w:eastAsia="zh-CN"/>
              </w:rPr>
              <w:t>11012000001</w:t>
            </w:r>
          </w:p>
        </w:tc>
      </w:tr>
    </w:tbl>
    <w:p>
      <w:pPr>
        <w:pStyle w:val="3"/>
        <w:spacing w:line="400" w:lineRule="exact"/>
        <w:ind w:left="199" w:leftChars="95" w:right="210"/>
        <w:rPr>
          <w:szCs w:val="28"/>
        </w:rPr>
      </w:pPr>
      <w:bookmarkStart w:id="7" w:name="_Toc92188463"/>
      <w:bookmarkStart w:id="8" w:name="_Toc68772824"/>
      <w:bookmarkStart w:id="9" w:name="_Toc69309020"/>
      <w:bookmarkStart w:id="10" w:name="_Toc69196713"/>
      <w:bookmarkStart w:id="11" w:name="_Toc69367709"/>
      <w:bookmarkStart w:id="12" w:name="_Toc69220036"/>
      <w:r>
        <w:rPr>
          <w:rFonts w:hint="eastAsia"/>
          <w:szCs w:val="28"/>
        </w:rPr>
        <w:t>二、灯杆的技术</w:t>
      </w:r>
      <w:r>
        <w:rPr>
          <w:szCs w:val="28"/>
        </w:rPr>
        <w:t>要求</w:t>
      </w:r>
      <w:bookmarkEnd w:id="7"/>
      <w:bookmarkEnd w:id="8"/>
      <w:bookmarkEnd w:id="9"/>
      <w:bookmarkEnd w:id="10"/>
      <w:bookmarkEnd w:id="11"/>
      <w:bookmarkEnd w:id="12"/>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1、通用要求</w:t>
      </w:r>
    </w:p>
    <w:p>
      <w:pPr>
        <w:spacing w:line="400" w:lineRule="exact"/>
        <w:ind w:firstLine="560" w:firstLineChars="200"/>
        <w:rPr>
          <w:rFonts w:hint="default" w:ascii="仿宋" w:hAnsi="仿宋" w:eastAsia="仿宋" w:cs="仿宋"/>
          <w:sz w:val="28"/>
          <w:szCs w:val="28"/>
          <w:lang w:val="en-US" w:eastAsia="zh-CN"/>
        </w:rPr>
      </w:pPr>
      <w:r>
        <w:rPr>
          <w:rFonts w:hint="eastAsia" w:ascii="仿宋" w:hAnsi="仿宋" w:eastAsia="仿宋" w:cs="仿宋"/>
          <w:sz w:val="28"/>
          <w:szCs w:val="28"/>
        </w:rPr>
        <w:t>1.1 所有灯杆高度和灯具仰角详见灯杆图纸附件 1。</w:t>
      </w:r>
      <w:r>
        <w:rPr>
          <w:rFonts w:hint="eastAsia" w:ascii="仿宋" w:hAnsi="仿宋" w:eastAsia="仿宋" w:cs="仿宋"/>
          <w:sz w:val="28"/>
          <w:szCs w:val="28"/>
          <w:lang w:val="en-US" w:eastAsia="zh-CN"/>
        </w:rPr>
        <w:t>灯杆由中标厂家进一步深化设计，经采购方同意后方可生产。挑臂仰角为10°。灯杆上需预留防坠固定点（M8螺丝）。</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1.2材质要求: 单挑灯灯杆体材质</w:t>
      </w:r>
      <w:r>
        <w:rPr>
          <w:rFonts w:hint="eastAsia" w:ascii="仿宋" w:hAnsi="仿宋" w:eastAsia="仿宋" w:cs="仿宋"/>
          <w:sz w:val="28"/>
          <w:szCs w:val="28"/>
          <w:lang w:val="en-US" w:eastAsia="zh-CN"/>
        </w:rPr>
        <w:t>4</w:t>
      </w:r>
      <w:r>
        <w:rPr>
          <w:rFonts w:hint="eastAsia" w:ascii="仿宋" w:hAnsi="仿宋" w:eastAsia="仿宋" w:cs="仿宋"/>
          <w:sz w:val="28"/>
          <w:szCs w:val="28"/>
        </w:rPr>
        <w:t>毫米Q235钢板，附钢材生产厂家“产品质量证明书”，特殊杆体材质详见附件 1。法兰盘材质22毫米Q235优质钢板，附钢材生产厂家“产品质量证明书”。</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1.3加工工艺要求：详见图纸；必须采用自动埋弧焊接工艺。灯具安装口径60 mm。整个杆体应无任何一处漏焊，</w:t>
      </w:r>
      <w:bookmarkStart w:id="16" w:name="_GoBack"/>
      <w:bookmarkEnd w:id="16"/>
      <w:r>
        <w:rPr>
          <w:rFonts w:hint="eastAsia" w:ascii="仿宋" w:hAnsi="仿宋" w:eastAsia="仿宋" w:cs="仿宋"/>
          <w:sz w:val="28"/>
          <w:szCs w:val="28"/>
        </w:rPr>
        <w:t>焊缝平整，表面光滑，不允许有横向焊缝，不允许有横向变形，无任何焊接缺陷。焊接工艺符合国家标准。</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1.4热浸锌防腐处理厚度δ≥70μm，</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1.5喷塑要求：表面喷塑处理，喷塑涂层外观表面光滑,平整,无露铁,桔皮,细小颗粒和缩孔等涂装缺陷。</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(1)喷塑表面涂层平均厚度应达到75um 以上。</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(2)喷塑涂层的附着力应达到GB/T 9286 规定的0 级要求。</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(3)喷塑涂层的硬度应按GB/T 6739规定，并达到2H要求。</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(4)喷塑涂层的冲击强度不小于1kg/50cm，并符合GB/T 1732 的要求。</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2、颜色要求：</w:t>
      </w:r>
      <w:r>
        <w:rPr>
          <w:rFonts w:hint="eastAsia" w:ascii="仿宋" w:hAnsi="仿宋" w:eastAsia="仿宋" w:cs="仿宋"/>
          <w:sz w:val="28"/>
          <w:szCs w:val="28"/>
          <w:lang w:val="en-US" w:eastAsia="zh-CN"/>
        </w:rPr>
        <w:t>灰色（可根据采购方要求调整颜色并由采购方确定验收方可生产）</w:t>
      </w:r>
      <w:r>
        <w:rPr>
          <w:rFonts w:hint="eastAsia" w:ascii="仿宋" w:hAnsi="仿宋" w:eastAsia="仿宋" w:cs="仿宋"/>
          <w:sz w:val="28"/>
          <w:szCs w:val="28"/>
        </w:rPr>
        <w:t>。</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同时要求中标厂家在所有灯杆下部2.5米以下喷涂专业抗涂鸦防粘贴涂料（即聚硅氧烷产品等），具体涂料特性要求能：抗紫外线老化、有优异的保光性、低VOC、 优异的耐热性、持久的可清洗性（用水就可清除涂鸦）、防广告粘贴、持久的弹性、 憎水憎油、呼吸透气、不易燃烧、适用于无机基材料表面。涂料特性为油性且环保特征抗，且不易沾灰。涂鸦防粘贴涂具体技术要求详见附件2。</w:t>
      </w:r>
    </w:p>
    <w:p>
      <w:pPr>
        <w:spacing w:line="240" w:lineRule="auto"/>
        <w:ind w:firstLine="560" w:firstLineChars="200"/>
        <w:rPr>
          <w:rFonts w:hint="eastAsia" w:ascii="仿宋" w:hAnsi="仿宋" w:eastAsia="仿宋" w:cs="仿宋"/>
          <w:sz w:val="28"/>
          <w:szCs w:val="28"/>
        </w:rPr>
      </w:pPr>
      <w:r>
        <w:rPr>
          <w:rFonts w:hint="eastAsia" w:ascii="仿宋" w:hAnsi="仿宋" w:eastAsia="仿宋" w:cs="仿宋"/>
          <w:sz w:val="28"/>
          <w:szCs w:val="28"/>
        </w:rPr>
        <w:t>3、配置要求：检修门内配置不锈钢螺丝（母）和不锈钢垫片，灯杆套接、固定处配置不锈钢材质螺丝（母），配置灯杆安装的热镀锌螺母，不锈钢材料为304，具体尺寸和数量详见灯杆图纸要求。灯杆和检修门在进行了镀锌工艺后，严禁再进行焊接工艺。</w:t>
      </w:r>
    </w:p>
    <w:p>
      <w:pPr>
        <w:spacing w:line="240" w:lineRule="auto"/>
        <w:ind w:firstLine="560" w:firstLineChars="200"/>
        <w:rPr>
          <w:rFonts w:ascii="仿宋" w:hAnsi="仿宋" w:eastAsia="仿宋" w:cs="仿宋"/>
          <w:sz w:val="28"/>
          <w:szCs w:val="28"/>
        </w:rPr>
      </w:pPr>
      <w:r>
        <w:rPr>
          <w:rFonts w:hint="eastAsia" w:ascii="仿宋" w:hAnsi="仿宋" w:eastAsia="仿宋" w:cs="仿宋"/>
          <w:sz w:val="28"/>
          <w:szCs w:val="28"/>
        </w:rPr>
        <w:t>4、安装辅材要求：所有单挑灯灯杆送货时需配置如下图1所示安装辅材（每杆一套）。</w:t>
      </w:r>
    </w:p>
    <w:p>
      <w:pPr>
        <w:spacing w:line="240" w:lineRule="auto"/>
        <w:ind w:firstLine="560" w:firstLineChars="200"/>
        <w:jc w:val="center"/>
        <w:rPr>
          <w:rFonts w:hint="eastAsia" w:ascii="仿宋" w:hAnsi="仿宋" w:eastAsia="仿宋" w:cs="仿宋"/>
          <w:sz w:val="28"/>
          <w:szCs w:val="28"/>
        </w:rPr>
      </w:pPr>
      <w:r>
        <w:rPr>
          <w:rFonts w:hint="eastAsia" w:ascii="仿宋" w:hAnsi="仿宋" w:eastAsia="仿宋" w:cs="仿宋"/>
          <w:sz w:val="28"/>
          <w:szCs w:val="28"/>
        </w:rPr>
        <w:drawing>
          <wp:inline distT="0" distB="0" distL="114300" distR="114300">
            <wp:extent cx="3516630" cy="2637155"/>
            <wp:effectExtent l="0" t="0" r="7620" b="10795"/>
            <wp:docPr id="2" name="图片 1" descr="IMG_20210930_095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0210930_095853"/>
                    <pic:cNvPicPr>
                      <a:picLocks noChangeAspect="1"/>
                    </pic:cNvPicPr>
                  </pic:nvPicPr>
                  <pic:blipFill>
                    <a:blip r:embed="rId6"/>
                    <a:stretch>
                      <a:fillRect/>
                    </a:stretch>
                  </pic:blipFill>
                  <pic:spPr>
                    <a:xfrm>
                      <a:off x="0" y="0"/>
                      <a:ext cx="3516630" cy="2637155"/>
                    </a:xfrm>
                    <a:prstGeom prst="rect">
                      <a:avLst/>
                    </a:prstGeom>
                    <a:noFill/>
                    <a:ln>
                      <a:noFill/>
                    </a:ln>
                  </pic:spPr>
                </pic:pic>
              </a:graphicData>
            </a:graphic>
          </wp:inline>
        </w:drawing>
      </w:r>
    </w:p>
    <w:p>
      <w:pPr>
        <w:spacing w:line="240" w:lineRule="auto"/>
        <w:ind w:firstLine="560" w:firstLineChars="200"/>
        <w:jc w:val="center"/>
        <w:rPr>
          <w:rFonts w:hint="eastAsia" w:ascii="仿宋" w:hAnsi="仿宋" w:eastAsia="仿宋" w:cs="仿宋"/>
          <w:sz w:val="28"/>
          <w:szCs w:val="28"/>
        </w:rPr>
      </w:pPr>
    </w:p>
    <w:p>
      <w:pPr>
        <w:spacing w:line="240" w:lineRule="auto"/>
        <w:ind w:firstLine="560" w:firstLineChars="200"/>
        <w:jc w:val="center"/>
        <w:rPr>
          <w:rFonts w:hint="eastAsia" w:ascii="仿宋" w:hAnsi="仿宋" w:eastAsia="仿宋" w:cs="仿宋"/>
          <w:sz w:val="28"/>
          <w:szCs w:val="28"/>
        </w:rPr>
      </w:pPr>
      <w:r>
        <w:rPr>
          <w:rFonts w:hint="eastAsia" w:ascii="仿宋" w:hAnsi="仿宋" w:eastAsia="仿宋" w:cs="仿宋"/>
          <w:sz w:val="28"/>
          <w:szCs w:val="28"/>
        </w:rPr>
        <w:t>图1：</w:t>
      </w:r>
    </w:p>
    <w:p>
      <w:pPr>
        <w:spacing w:line="240" w:lineRule="auto"/>
        <w:ind w:firstLine="560" w:firstLineChars="200"/>
        <w:jc w:val="center"/>
        <w:rPr>
          <w:rFonts w:hint="eastAsia" w:ascii="仿宋" w:hAnsi="仿宋" w:eastAsia="仿宋" w:cs="宋体"/>
          <w:kern w:val="0"/>
          <w:sz w:val="28"/>
          <w:szCs w:val="28"/>
        </w:rPr>
      </w:pPr>
      <w:r>
        <w:rPr>
          <w:rFonts w:hint="eastAsia" w:ascii="仿宋" w:hAnsi="仿宋" w:eastAsia="仿宋" w:cs="宋体"/>
          <w:kern w:val="0"/>
          <w:sz w:val="28"/>
          <w:szCs w:val="28"/>
        </w:rPr>
        <w:t>热镀锌螺母D20(12个/套)、热镀锌加大垫片D20(12个/套)、304不锈钢8*25螺丝(2个/套)、304不锈钢D8垫片(4个/套)、304不锈钢D8弹簧垫(2个/套)、304不锈钢D8螺母(2个/套)、面板(1块/套)、卡式熔壳(1个/套)。</w:t>
      </w:r>
    </w:p>
    <w:p>
      <w:pPr>
        <w:spacing w:line="400" w:lineRule="exact"/>
        <w:ind w:firstLine="560" w:firstLineChars="200"/>
        <w:rPr>
          <w:rFonts w:hint="eastAsia" w:ascii="仿宋" w:hAnsi="仿宋" w:eastAsia="仿宋" w:cs="宋体"/>
          <w:kern w:val="0"/>
          <w:sz w:val="28"/>
          <w:szCs w:val="28"/>
        </w:rPr>
      </w:pPr>
      <w:r>
        <w:rPr>
          <w:rFonts w:hint="eastAsia" w:ascii="仿宋" w:hAnsi="仿宋" w:eastAsia="仿宋" w:cs="仿宋"/>
          <w:sz w:val="28"/>
          <w:szCs w:val="28"/>
          <w:lang w:val="en-US" w:eastAsia="zh-CN"/>
        </w:rPr>
        <w:t>5</w:t>
      </w:r>
      <w:r>
        <w:rPr>
          <w:rFonts w:hint="eastAsia" w:ascii="仿宋" w:hAnsi="仿宋" w:eastAsia="仿宋" w:cs="仿宋"/>
          <w:sz w:val="28"/>
          <w:szCs w:val="28"/>
        </w:rPr>
        <w:t>、灯杆</w:t>
      </w:r>
      <w:r>
        <w:rPr>
          <w:rFonts w:hint="eastAsia" w:ascii="仿宋" w:hAnsi="仿宋" w:eastAsia="仿宋" w:cs="仿宋"/>
          <w:sz w:val="28"/>
          <w:szCs w:val="28"/>
          <w:lang w:val="en-US" w:eastAsia="zh-CN"/>
        </w:rPr>
        <w:t>内需预留</w:t>
      </w:r>
      <w:r>
        <w:rPr>
          <w:rFonts w:hint="eastAsia" w:ascii="仿宋" w:hAnsi="仿宋" w:eastAsia="仿宋" w:cs="宋体"/>
          <w:sz w:val="28"/>
          <w:szCs w:val="28"/>
          <w:lang w:val="en-US" w:eastAsia="zh-CN"/>
        </w:rPr>
        <w:t>电源</w:t>
      </w:r>
      <w:r>
        <w:rPr>
          <w:rFonts w:hint="eastAsia" w:ascii="仿宋" w:hAnsi="仿宋" w:eastAsia="仿宋" w:cs="宋体"/>
          <w:sz w:val="28"/>
          <w:szCs w:val="28"/>
        </w:rPr>
        <w:t>线</w:t>
      </w:r>
      <w:r>
        <w:rPr>
          <w:rFonts w:hint="eastAsia" w:ascii="仿宋" w:hAnsi="仿宋" w:eastAsia="仿宋" w:cs="宋体"/>
          <w:sz w:val="28"/>
          <w:szCs w:val="28"/>
          <w:lang w:eastAsia="zh-CN"/>
        </w:rPr>
        <w:t>，</w:t>
      </w:r>
      <w:r>
        <w:rPr>
          <w:rFonts w:hint="eastAsia" w:ascii="仿宋" w:hAnsi="仿宋" w:eastAsia="仿宋" w:cs="宋体"/>
          <w:sz w:val="28"/>
          <w:szCs w:val="28"/>
          <w:lang w:val="en-US" w:eastAsia="zh-CN"/>
        </w:rPr>
        <w:t>型号</w:t>
      </w:r>
      <w:r>
        <w:rPr>
          <w:rFonts w:hint="eastAsia" w:ascii="仿宋" w:hAnsi="仿宋" w:eastAsia="仿宋" w:cs="宋体"/>
          <w:sz w:val="28"/>
          <w:szCs w:val="28"/>
        </w:rPr>
        <w:t>为BVV3×2.5,长度</w:t>
      </w:r>
      <w:r>
        <w:rPr>
          <w:rFonts w:hint="eastAsia" w:ascii="仿宋" w:hAnsi="仿宋" w:eastAsia="仿宋" w:cs="宋体"/>
          <w:sz w:val="28"/>
          <w:szCs w:val="28"/>
          <w:lang w:val="en-US" w:eastAsia="zh-CN"/>
        </w:rPr>
        <w:t>12m</w:t>
      </w:r>
      <w:r>
        <w:rPr>
          <w:rFonts w:hint="eastAsia" w:ascii="仿宋" w:hAnsi="仿宋" w:eastAsia="仿宋" w:cs="仿宋"/>
          <w:sz w:val="28"/>
          <w:szCs w:val="28"/>
        </w:rPr>
        <w:t>。</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6</w:t>
      </w:r>
      <w:r>
        <w:rPr>
          <w:rFonts w:hint="eastAsia" w:ascii="仿宋" w:hAnsi="仿宋" w:eastAsia="仿宋" w:cs="仿宋"/>
          <w:sz w:val="28"/>
          <w:szCs w:val="28"/>
        </w:rPr>
        <w:t>、灯杆法兰焊接方式和灯具防坠装置详见附件1。</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7</w:t>
      </w:r>
      <w:r>
        <w:rPr>
          <w:rFonts w:hint="eastAsia" w:ascii="仿宋" w:hAnsi="仿宋" w:eastAsia="仿宋" w:cs="仿宋"/>
          <w:sz w:val="28"/>
          <w:szCs w:val="28"/>
        </w:rPr>
        <w:t>、灯杆理论重量详见附件2。</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8</w:t>
      </w:r>
      <w:r>
        <w:rPr>
          <w:rFonts w:hint="eastAsia" w:ascii="仿宋" w:hAnsi="仿宋" w:eastAsia="仿宋" w:cs="仿宋"/>
          <w:sz w:val="28"/>
          <w:szCs w:val="28"/>
        </w:rPr>
        <w:t>、灯杆允许公差详见附件3。</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、运输包装标准详见附件4。</w:t>
      </w:r>
    </w:p>
    <w:p>
      <w:pPr>
        <w:spacing w:line="400" w:lineRule="exact"/>
        <w:ind w:firstLine="560" w:firstLineChars="200"/>
        <w:rPr>
          <w:rFonts w:hint="eastAsia" w:ascii="仿宋" w:hAnsi="仿宋" w:eastAsia="仿宋" w:cs="仿宋"/>
          <w:sz w:val="28"/>
          <w:szCs w:val="28"/>
        </w:rPr>
      </w:pP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附件1</w:t>
      </w:r>
    </w:p>
    <w:p>
      <w:pPr>
        <w:spacing w:line="40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drawing>
          <wp:anchor distT="0" distB="0" distL="114300" distR="114300" simplePos="0" relativeHeight="251662336" behindDoc="1" locked="0" layoutInCell="1" allowOverlap="1">
            <wp:simplePos x="0" y="0"/>
            <wp:positionH relativeFrom="column">
              <wp:posOffset>1775460</wp:posOffset>
            </wp:positionH>
            <wp:positionV relativeFrom="paragraph">
              <wp:posOffset>130810</wp:posOffset>
            </wp:positionV>
            <wp:extent cx="2439035" cy="6613525"/>
            <wp:effectExtent l="0" t="0" r="56515" b="34925"/>
            <wp:wrapTight wrapText="bothSides">
              <wp:wrapPolygon>
                <wp:start x="0" y="0"/>
                <wp:lineTo x="0" y="21527"/>
                <wp:lineTo x="21426" y="21527"/>
                <wp:lineTo x="21426" y="0"/>
                <wp:lineTo x="0" y="0"/>
              </wp:wrapPolygon>
            </wp:wrapTight>
            <wp:docPr id="8" name="图片 8" descr="11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12123"/>
                    <pic:cNvPicPr>
                      <a:picLocks noChangeAspect="1"/>
                    </pic:cNvPicPr>
                  </pic:nvPicPr>
                  <pic:blipFill>
                    <a:blip r:embed="rId7"/>
                    <a:srcRect l="28609" t="12950" r="29481" b="14161"/>
                    <a:stretch>
                      <a:fillRect/>
                    </a:stretch>
                  </pic:blipFill>
                  <pic:spPr>
                    <a:xfrm>
                      <a:off x="0" y="0"/>
                      <a:ext cx="2439035" cy="6613525"/>
                    </a:xfrm>
                    <a:prstGeom prst="rect">
                      <a:avLst/>
                    </a:prstGeom>
                  </pic:spPr>
                </pic:pic>
              </a:graphicData>
            </a:graphic>
          </wp:anchor>
        </w:drawing>
      </w:r>
    </w:p>
    <w:p>
      <w:pPr>
        <w:spacing w:line="400" w:lineRule="exact"/>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效果图</w:t>
      </w:r>
    </w:p>
    <w:p>
      <w:pPr>
        <w:spacing w:line="400" w:lineRule="exact"/>
        <w:ind w:firstLine="560" w:firstLineChars="200"/>
        <w:rPr>
          <w:rFonts w:hint="eastAsia" w:ascii="仿宋" w:hAnsi="仿宋" w:eastAsia="仿宋" w:cs="仿宋"/>
          <w:sz w:val="28"/>
          <w:szCs w:val="28"/>
          <w:lang w:eastAsia="zh-CN"/>
        </w:rPr>
      </w:pPr>
    </w:p>
    <w:p>
      <w:pPr>
        <w:spacing w:line="400" w:lineRule="exact"/>
        <w:ind w:firstLine="560" w:firstLineChars="200"/>
        <w:rPr>
          <w:rFonts w:hint="eastAsia" w:ascii="仿宋" w:hAnsi="仿宋" w:eastAsia="仿宋" w:cs="仿宋"/>
          <w:sz w:val="28"/>
          <w:szCs w:val="28"/>
          <w:lang w:eastAsia="zh-CN"/>
        </w:rPr>
      </w:pPr>
    </w:p>
    <w:p>
      <w:pPr>
        <w:spacing w:line="400" w:lineRule="exact"/>
        <w:rPr>
          <w:rFonts w:hint="eastAsia"/>
        </w:rPr>
      </w:pPr>
      <w:bookmarkStart w:id="13" w:name="_Toc92188464"/>
    </w:p>
    <w:p>
      <w:pPr>
        <w:pStyle w:val="3"/>
        <w:spacing w:line="400" w:lineRule="exact"/>
        <w:ind w:left="199" w:leftChars="95" w:right="210"/>
        <w:rPr>
          <w:rFonts w:hint="eastAsia"/>
        </w:rPr>
      </w:pPr>
    </w:p>
    <w:p>
      <w:pPr>
        <w:rPr>
          <w:rFonts w:hint="eastAsia" w:eastAsia="宋体"/>
          <w:lang w:eastAsia="zh-CN"/>
        </w:rPr>
      </w:pPr>
    </w:p>
    <w:p>
      <w:pPr>
        <w:jc w:val="center"/>
        <w:rPr>
          <w:rFonts w:hint="eastAsia" w:ascii="仿宋" w:hAnsi="仿宋" w:eastAsia="仿宋" w:cs="仿宋"/>
          <w:sz w:val="28"/>
          <w:szCs w:val="28"/>
          <w:lang w:val="en-US" w:eastAsia="zh-CN"/>
        </w:rPr>
      </w:pPr>
      <w:r>
        <w:rPr>
          <w:rFonts w:hint="eastAsia" w:eastAsia="宋体"/>
          <w:lang w:eastAsia="zh-CN"/>
        </w:rPr>
        <w:drawing>
          <wp:inline distT="0" distB="0" distL="114300" distR="114300">
            <wp:extent cx="6872605" cy="4202430"/>
            <wp:effectExtent l="0" t="0" r="7620" b="4445"/>
            <wp:docPr id="9" name="图片 9" descr="10米路灯改灯头10.13-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10米路灯改灯头10.13-Model"/>
                    <pic:cNvPicPr>
                      <a:picLocks noChangeAspect="1"/>
                    </pic:cNvPicPr>
                  </pic:nvPicPr>
                  <pic:blipFill>
                    <a:blip r:embed="rId8"/>
                    <a:srcRect t="8732" b="14830"/>
                    <a:stretch>
                      <a:fillRect/>
                    </a:stretch>
                  </pic:blipFill>
                  <pic:spPr>
                    <a:xfrm rot="16200000">
                      <a:off x="0" y="0"/>
                      <a:ext cx="6872605" cy="4202430"/>
                    </a:xfrm>
                    <a:prstGeom prst="rect">
                      <a:avLst/>
                    </a:prstGeom>
                  </pic:spPr>
                </pic:pic>
              </a:graphicData>
            </a:graphic>
          </wp:inline>
        </w:drawing>
      </w: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ind w:firstLine="560" w:firstLineChars="200"/>
        <w:jc w:val="center"/>
        <w:rPr>
          <w:rFonts w:hint="eastAsia" w:ascii="仿宋" w:hAnsi="仿宋" w:eastAsia="仿宋" w:cs="仿宋"/>
          <w:sz w:val="28"/>
          <w:szCs w:val="28"/>
          <w:lang w:val="en-US" w:eastAsia="zh-CN"/>
        </w:rPr>
      </w:pPr>
    </w:p>
    <w:p>
      <w:pPr>
        <w:spacing w:line="400" w:lineRule="exact"/>
        <w:jc w:val="center"/>
        <w:rPr>
          <w:rFonts w:hint="eastAsia" w:ascii="仿宋" w:hAnsi="仿宋" w:eastAsia="仿宋" w:cs="仿宋"/>
          <w:sz w:val="28"/>
          <w:szCs w:val="28"/>
          <w:lang w:eastAsia="zh-CN"/>
        </w:rPr>
      </w:pPr>
      <w:r>
        <w:rPr>
          <w:rFonts w:hint="eastAsia" w:ascii="仿宋" w:hAnsi="仿宋" w:eastAsia="仿宋" w:cs="仿宋"/>
          <w:sz w:val="28"/>
          <w:szCs w:val="28"/>
          <w:lang w:val="en-US" w:eastAsia="zh-CN"/>
        </w:rPr>
        <w:t>尺寸图</w:t>
      </w:r>
    </w:p>
    <w:p>
      <w:pPr>
        <w:rPr>
          <w:rFonts w:hint="eastAsia"/>
        </w:rPr>
      </w:pPr>
    </w:p>
    <w:p>
      <w:pPr>
        <w:pStyle w:val="3"/>
        <w:spacing w:line="400" w:lineRule="exact"/>
        <w:ind w:left="199" w:leftChars="95" w:right="210"/>
        <w:rPr>
          <w:rFonts w:hint="eastAsia" w:eastAsia="黑体"/>
          <w:lang w:eastAsia="zh-CN"/>
        </w:rPr>
      </w:pPr>
      <w:r>
        <w:rPr>
          <w:rFonts w:hint="eastAsia" w:eastAsia="黑体"/>
          <w:lang w:eastAsia="zh-CN"/>
        </w:rPr>
        <w:drawing>
          <wp:anchor distT="0" distB="0" distL="114300" distR="114300" simplePos="0" relativeHeight="251661312" behindDoc="1" locked="0" layoutInCell="1" allowOverlap="1">
            <wp:simplePos x="0" y="0"/>
            <wp:positionH relativeFrom="column">
              <wp:posOffset>680085</wp:posOffset>
            </wp:positionH>
            <wp:positionV relativeFrom="paragraph">
              <wp:posOffset>-111125</wp:posOffset>
            </wp:positionV>
            <wp:extent cx="4579620" cy="4829175"/>
            <wp:effectExtent l="0" t="0" r="9525" b="11430"/>
            <wp:wrapTight wrapText="bothSides">
              <wp:wrapPolygon>
                <wp:start x="21600" y="3"/>
                <wp:lineTo x="126" y="3"/>
                <wp:lineTo x="126" y="21560"/>
                <wp:lineTo x="21600" y="21560"/>
                <wp:lineTo x="21600" y="3"/>
              </wp:wrapPolygon>
            </wp:wrapTight>
            <wp:docPr id="7" name="图片 7" descr="10.8弯头10米灯图-Mode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0.8弯头10米灯图-Model1"/>
                    <pic:cNvPicPr>
                      <a:picLocks noChangeAspect="1"/>
                    </pic:cNvPicPr>
                  </pic:nvPicPr>
                  <pic:blipFill>
                    <a:blip r:embed="rId9"/>
                    <a:srcRect l="14451" r="9682"/>
                    <a:stretch>
                      <a:fillRect/>
                    </a:stretch>
                  </pic:blipFill>
                  <pic:spPr>
                    <a:xfrm rot="16200000">
                      <a:off x="0" y="0"/>
                      <a:ext cx="4579620" cy="4829175"/>
                    </a:xfrm>
                    <a:prstGeom prst="rect">
                      <a:avLst/>
                    </a:prstGeom>
                  </pic:spPr>
                </pic:pic>
              </a:graphicData>
            </a:graphic>
          </wp:anchor>
        </w:drawing>
      </w:r>
    </w:p>
    <w:p>
      <w:pPr>
        <w:pStyle w:val="3"/>
        <w:spacing w:line="400" w:lineRule="exact"/>
        <w:ind w:left="199" w:leftChars="95" w:right="210"/>
        <w:rPr>
          <w:rFonts w:hint="eastAsia" w:eastAsia="黑体"/>
          <w:lang w:eastAsia="zh-CN"/>
        </w:rPr>
      </w:pPr>
    </w:p>
    <w:p>
      <w:pPr>
        <w:pStyle w:val="3"/>
        <w:spacing w:line="400" w:lineRule="exact"/>
        <w:ind w:left="199" w:leftChars="95" w:right="210"/>
        <w:rPr>
          <w:rFonts w:hint="eastAsia" w:eastAsia="黑体"/>
          <w:lang w:eastAsia="zh-CN"/>
        </w:rPr>
      </w:pPr>
    </w:p>
    <w:p>
      <w:pPr>
        <w:pStyle w:val="3"/>
        <w:spacing w:line="400" w:lineRule="exact"/>
        <w:ind w:left="0" w:leftChars="0" w:right="210" w:firstLine="0" w:firstLineChars="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left="199" w:leftChars="95" w:right="210"/>
        <w:rPr>
          <w:rFonts w:hint="eastAsia"/>
        </w:rPr>
      </w:pPr>
    </w:p>
    <w:p>
      <w:pPr>
        <w:pStyle w:val="3"/>
        <w:spacing w:line="400" w:lineRule="exact"/>
        <w:ind w:right="210"/>
        <w:rPr>
          <w:rFonts w:hint="eastAsia"/>
        </w:rPr>
      </w:pPr>
    </w:p>
    <w:p>
      <w:pPr>
        <w:spacing w:line="400" w:lineRule="exact"/>
        <w:ind w:firstLine="560" w:firstLineChars="200"/>
        <w:jc w:val="center"/>
        <w:rPr>
          <w:rFonts w:hint="eastAsia"/>
        </w:rPr>
      </w:pPr>
      <w:r>
        <w:rPr>
          <w:rFonts w:hint="eastAsia" w:ascii="仿宋" w:hAnsi="仿宋" w:eastAsia="仿宋" w:cs="仿宋"/>
          <w:sz w:val="28"/>
          <w:szCs w:val="28"/>
          <w:lang w:val="en-US" w:eastAsia="zh-CN"/>
        </w:rPr>
        <w:t>基础法兰图</w:t>
      </w:r>
    </w:p>
    <w:p>
      <w:pPr>
        <w:pStyle w:val="3"/>
        <w:spacing w:line="400" w:lineRule="exact"/>
        <w:ind w:left="199" w:leftChars="95" w:right="210"/>
        <w:rPr>
          <w:rFonts w:hint="eastAsia"/>
        </w:rPr>
      </w:pPr>
    </w:p>
    <w:p>
      <w:pPr>
        <w:pStyle w:val="3"/>
        <w:spacing w:line="400" w:lineRule="exact"/>
        <w:ind w:left="199" w:leftChars="95" w:right="210"/>
        <w:rPr>
          <w:rFonts w:hint="eastAsia"/>
        </w:rPr>
      </w:pPr>
      <w:r>
        <w:rPr>
          <w:rFonts w:hint="eastAsia"/>
        </w:rPr>
        <w:t>三、路灯灯杆防涂鸦抗粘贴涂料技术要求</w:t>
      </w:r>
      <w:bookmarkEnd w:id="13"/>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（一）执行技术或质量标准</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下列文件对于本文件的应用是必不可少的。凡是注日期的版本适用于本文件。凡是不注日期的引用文件，其最新版本（包括所有的修改单）适用于本文件。同时包括其他未明示的相关的最新国家及江苏省现行的技术规范及相关要求文件等。</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GB/T1728漆膜、腻子膜干燥时间测定法</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GB/T1766色漆和清漆  涂层老化的评级方法</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 xml:space="preserve">GB/T1865色漆和清漆  人工气候老化利人工辐射暴露(滤过的氙弧辐射) </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GB/T2792-2014压敏胶带180°剥离强度试验方法</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 xml:space="preserve">GB/T3186色漆、清漆和色漆与清漆用原材料 取样(IS015528：2000，IDT) </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GB/T3880.1-2012 一般工业用铝及铝合金板、带材  第1部分：一般要求</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 xml:space="preserve">GB/T6682-2008 分析实验室用水规格和实验方法(IS03696：1987.MOD) </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GB/T6739涂膜硬度铅笔测定法</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GB/T9271-2008色漆和清漆  标准试板</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GB/T9278 涂料试样状态调节和试验的温湿度(IS03270：1984.IDT)</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GB/T9286色漆和清漆  漆膜的划格试验</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GB/T9750涂料产品包装标志</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GB/T13491涂料产品包装通则</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HG/T 2458 涂料产品检验、运输和贮存通则</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GB 24408-2009 建筑用外墙涂料中有害物质限量</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JG/T 304-2011 建筑用防涂鸦抗粘贴涂料</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BB/T0047-2007气雾漆</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JC/T412.1-2006纤维水泥平板  第1部分：无石棉纤维水泥平板</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QB/T2777-2006记号笔</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QB/T2860-2007墨汁</w:t>
      </w:r>
    </w:p>
    <w:p>
      <w:pPr>
        <w:spacing w:line="400" w:lineRule="exact"/>
        <w:rPr>
          <w:rFonts w:hint="eastAsia" w:ascii="仿宋" w:hAnsi="仿宋" w:eastAsia="仿宋" w:cs="仿宋"/>
          <w:sz w:val="28"/>
          <w:szCs w:val="28"/>
        </w:rPr>
      </w:pPr>
      <w:r>
        <w:rPr>
          <w:rFonts w:hint="eastAsia" w:ascii="仿宋" w:hAnsi="仿宋" w:eastAsia="仿宋" w:cs="仿宋"/>
          <w:sz w:val="28"/>
          <w:szCs w:val="28"/>
        </w:rPr>
        <w:t>（二）性能要求</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1、防涂鸦抗粘贴涂料需具有如下特性：</w:t>
      </w:r>
    </w:p>
    <w:p>
      <w:pPr>
        <w:spacing w:line="400" w:lineRule="exact"/>
        <w:ind w:left="424" w:leftChars="202" w:firstLine="560" w:firstLineChars="200"/>
        <w:jc w:val="left"/>
        <w:rPr>
          <w:rFonts w:hint="eastAsia" w:ascii="仿宋" w:hAnsi="仿宋" w:eastAsia="仿宋" w:cs="仿宋"/>
          <w:sz w:val="28"/>
          <w:szCs w:val="28"/>
        </w:rPr>
      </w:pPr>
      <w:r>
        <w:rPr>
          <w:rFonts w:hint="eastAsia" w:ascii="仿宋" w:hAnsi="仿宋" w:eastAsia="仿宋" w:cs="仿宋"/>
          <w:sz w:val="28"/>
          <w:szCs w:val="28"/>
        </w:rPr>
        <w:t>(1）具有良好的抗黏贴性、防涂鸦性、户外耐久性、耐寒性、耐粘贴性、耐擦洗性、耐溶剂性、防水防漏电、二次以上涂刷无障碍，可调配各种颜色等特点；涂料特性为油性且环保特征。</w:t>
      </w:r>
    </w:p>
    <w:p>
      <w:pPr>
        <w:spacing w:line="400" w:lineRule="exact"/>
        <w:ind w:left="424" w:leftChars="202" w:firstLine="560" w:firstLineChars="200"/>
        <w:jc w:val="left"/>
        <w:rPr>
          <w:rFonts w:hint="eastAsia" w:ascii="仿宋" w:hAnsi="仿宋" w:eastAsia="仿宋" w:cs="仿宋"/>
          <w:sz w:val="28"/>
          <w:szCs w:val="28"/>
        </w:rPr>
      </w:pPr>
      <w:r>
        <w:rPr>
          <w:rFonts w:hint="eastAsia" w:ascii="仿宋" w:hAnsi="仿宋" w:eastAsia="仿宋" w:cs="仿宋"/>
          <w:sz w:val="28"/>
          <w:szCs w:val="28"/>
        </w:rPr>
        <w:t>(2）苯、甲醛、重金属等有害物质的含量应符合GB24408-2009《建筑用外墙涂料中有害物质限量》中规定的要求，具有户外用环保型、美化城市环境等特点。</w:t>
      </w:r>
    </w:p>
    <w:p>
      <w:pPr>
        <w:spacing w:line="400" w:lineRule="exact"/>
        <w:ind w:firstLine="840" w:firstLineChars="300"/>
        <w:jc w:val="left"/>
        <w:rPr>
          <w:rFonts w:hint="eastAsia" w:ascii="仿宋" w:hAnsi="仿宋" w:eastAsia="仿宋" w:cs="仿宋"/>
          <w:sz w:val="28"/>
          <w:szCs w:val="28"/>
        </w:rPr>
      </w:pPr>
      <w:r>
        <w:rPr>
          <w:rFonts w:hint="eastAsia" w:ascii="仿宋" w:hAnsi="仿宋" w:eastAsia="仿宋" w:cs="仿宋"/>
          <w:sz w:val="28"/>
          <w:szCs w:val="28"/>
        </w:rPr>
        <w:t>2、防涂鸦抗粘贴涂料应具有如下使用效果：</w:t>
      </w:r>
    </w:p>
    <w:p>
      <w:pPr>
        <w:spacing w:line="400" w:lineRule="exact"/>
        <w:ind w:left="424" w:leftChars="202" w:firstLine="560" w:firstLineChars="200"/>
        <w:jc w:val="left"/>
        <w:rPr>
          <w:rFonts w:hint="eastAsia" w:ascii="仿宋" w:hAnsi="仿宋" w:eastAsia="仿宋" w:cs="仿宋"/>
          <w:sz w:val="28"/>
          <w:szCs w:val="28"/>
        </w:rPr>
      </w:pPr>
      <w:r>
        <w:rPr>
          <w:rFonts w:hint="eastAsia" w:ascii="仿宋" w:hAnsi="仿宋" w:eastAsia="仿宋" w:cs="仿宋"/>
          <w:sz w:val="28"/>
          <w:szCs w:val="28"/>
        </w:rPr>
        <w:t>(1）质感面、凹凸面、不干胶、防水类等粘贴物不粘；</w:t>
      </w:r>
    </w:p>
    <w:p>
      <w:pPr>
        <w:spacing w:line="400" w:lineRule="exact"/>
        <w:ind w:left="424" w:leftChars="202" w:firstLine="560" w:firstLineChars="200"/>
        <w:jc w:val="left"/>
        <w:rPr>
          <w:rFonts w:hint="eastAsia" w:ascii="仿宋" w:hAnsi="仿宋" w:eastAsia="仿宋" w:cs="仿宋"/>
          <w:sz w:val="28"/>
          <w:szCs w:val="28"/>
        </w:rPr>
      </w:pPr>
      <w:r>
        <w:rPr>
          <w:rFonts w:hint="eastAsia" w:ascii="仿宋" w:hAnsi="仿宋" w:eastAsia="仿宋" w:cs="仿宋"/>
          <w:sz w:val="28"/>
          <w:szCs w:val="28"/>
        </w:rPr>
        <w:t>(2）浆糊类粘贴物干透风吹雨淋自行脱落或可轻易揭去；</w:t>
      </w:r>
    </w:p>
    <w:p>
      <w:pPr>
        <w:spacing w:line="400" w:lineRule="exact"/>
        <w:ind w:left="424" w:leftChars="202" w:firstLine="560" w:firstLineChars="200"/>
        <w:jc w:val="left"/>
        <w:rPr>
          <w:rFonts w:hint="eastAsia" w:ascii="仿宋" w:hAnsi="仿宋" w:eastAsia="仿宋" w:cs="仿宋"/>
          <w:sz w:val="28"/>
          <w:szCs w:val="28"/>
        </w:rPr>
      </w:pPr>
      <w:r>
        <w:rPr>
          <w:rFonts w:hint="eastAsia" w:ascii="仿宋" w:hAnsi="仿宋" w:eastAsia="仿宋" w:cs="仿宋"/>
          <w:sz w:val="28"/>
          <w:szCs w:val="28"/>
        </w:rPr>
        <w:t>(3）涂鸦印章和笔等不易涂写，手喷漆不渗透，用清水即可清理干净；</w:t>
      </w:r>
    </w:p>
    <w:p>
      <w:pPr>
        <w:spacing w:line="400" w:lineRule="exact"/>
        <w:ind w:left="424" w:leftChars="202" w:firstLine="560" w:firstLineChars="200"/>
        <w:jc w:val="left"/>
        <w:rPr>
          <w:rFonts w:hint="eastAsia" w:ascii="仿宋" w:hAnsi="仿宋" w:eastAsia="仿宋" w:cs="仿宋"/>
          <w:sz w:val="28"/>
          <w:szCs w:val="28"/>
        </w:rPr>
      </w:pPr>
      <w:r>
        <w:rPr>
          <w:rFonts w:hint="eastAsia" w:ascii="仿宋" w:hAnsi="仿宋" w:eastAsia="仿宋" w:cs="仿宋"/>
          <w:sz w:val="28"/>
          <w:szCs w:val="28"/>
        </w:rPr>
        <w:t>3、防涂鸦抗粘贴涂料的具体性能要求，应符合《JG/T 304-2011 建筑用防涂鸦抗粘贴涂料》中的要求，具体见表一。防涂鸦抗粘贴涂料的有害物质含量应符合《GB 24408-2009 建筑用外墙涂料中有害物质限量》中表1的要求。</w:t>
      </w:r>
    </w:p>
    <w:p>
      <w:pPr>
        <w:spacing w:line="400" w:lineRule="exact"/>
        <w:ind w:left="424" w:leftChars="202" w:firstLine="560" w:firstLineChars="200"/>
        <w:jc w:val="left"/>
        <w:rPr>
          <w:rFonts w:hint="eastAsia" w:ascii="仿宋" w:hAnsi="仿宋" w:eastAsia="仿宋" w:cs="仿宋"/>
          <w:sz w:val="28"/>
          <w:szCs w:val="28"/>
        </w:rPr>
      </w:pPr>
      <w:r>
        <w:rPr>
          <w:rFonts w:hint="eastAsia" w:ascii="仿宋" w:hAnsi="仿宋" w:eastAsia="仿宋" w:cs="仿宋"/>
          <w:sz w:val="28"/>
          <w:szCs w:val="28"/>
        </w:rPr>
        <w:t>4、防涂鸦抗粘贴涂料要求质保至少2年。 防涂鸦抗粘贴涂料的颜色应与路灯灯杆原颜色匹配，具体颜色待中标后以招标人通知为准。</w:t>
      </w:r>
    </w:p>
    <w:p>
      <w:pPr>
        <w:spacing w:line="40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表一：</w:t>
      </w:r>
    </w:p>
    <w:tbl>
      <w:tblPr>
        <w:tblStyle w:val="6"/>
        <w:tblW w:w="5000" w:type="pct"/>
        <w:tblInd w:w="0" w:type="dxa"/>
        <w:tblLayout w:type="autofit"/>
        <w:tblCellMar>
          <w:top w:w="0" w:type="dxa"/>
          <w:left w:w="108" w:type="dxa"/>
          <w:bottom w:w="0" w:type="dxa"/>
          <w:right w:w="108" w:type="dxa"/>
        </w:tblCellMar>
      </w:tblPr>
      <w:tblGrid>
        <w:gridCol w:w="622"/>
        <w:gridCol w:w="1406"/>
        <w:gridCol w:w="53"/>
        <w:gridCol w:w="2156"/>
        <w:gridCol w:w="4285"/>
      </w:tblGrid>
      <w:tr>
        <w:tblPrEx>
          <w:tblCellMar>
            <w:top w:w="0" w:type="dxa"/>
            <w:left w:w="108" w:type="dxa"/>
            <w:bottom w:w="0" w:type="dxa"/>
            <w:right w:w="108" w:type="dxa"/>
          </w:tblCellMar>
        </w:tblPrEx>
        <w:trPr>
          <w:trHeight w:val="695"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序号</w:t>
            </w:r>
          </w:p>
        </w:tc>
        <w:tc>
          <w:tcPr>
            <w:tcW w:w="2121" w:type="pct"/>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检验项目</w:t>
            </w:r>
          </w:p>
        </w:tc>
        <w:tc>
          <w:tcPr>
            <w:tcW w:w="2514"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标准及性能合格要求                             （C型抗粘贴并防涂鸦型）</w:t>
            </w:r>
          </w:p>
        </w:tc>
      </w:tr>
      <w:tr>
        <w:tblPrEx>
          <w:tblCellMar>
            <w:top w:w="0" w:type="dxa"/>
            <w:left w:w="108" w:type="dxa"/>
            <w:bottom w:w="0" w:type="dxa"/>
            <w:right w:w="108" w:type="dxa"/>
          </w:tblCellMar>
        </w:tblPrEx>
        <w:trPr>
          <w:trHeight w:val="465"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w:t>
            </w:r>
          </w:p>
        </w:tc>
        <w:tc>
          <w:tcPr>
            <w:tcW w:w="2121" w:type="pct"/>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容器中状态</w:t>
            </w:r>
          </w:p>
        </w:tc>
        <w:tc>
          <w:tcPr>
            <w:tcW w:w="2514" w:type="pct"/>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搅拌后无硬块、无凝聚，呈均匀状态</w:t>
            </w:r>
          </w:p>
        </w:tc>
      </w:tr>
      <w:tr>
        <w:tblPrEx>
          <w:tblCellMar>
            <w:top w:w="0" w:type="dxa"/>
            <w:left w:w="108" w:type="dxa"/>
            <w:bottom w:w="0" w:type="dxa"/>
            <w:right w:w="108" w:type="dxa"/>
          </w:tblCellMar>
        </w:tblPrEx>
        <w:trPr>
          <w:trHeight w:val="375" w:hRule="atLeast"/>
        </w:trPr>
        <w:tc>
          <w:tcPr>
            <w:tcW w:w="365" w:type="pct"/>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2</w:t>
            </w:r>
          </w:p>
        </w:tc>
        <w:tc>
          <w:tcPr>
            <w:tcW w:w="2121" w:type="pct"/>
            <w:gridSpan w:val="3"/>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施工性</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施涂无障碍</w:t>
            </w:r>
          </w:p>
        </w:tc>
      </w:tr>
      <w:tr>
        <w:tblPrEx>
          <w:tblCellMar>
            <w:top w:w="0" w:type="dxa"/>
            <w:left w:w="108" w:type="dxa"/>
            <w:bottom w:w="0" w:type="dxa"/>
            <w:right w:w="108" w:type="dxa"/>
          </w:tblCellMar>
        </w:tblPrEx>
        <w:trPr>
          <w:trHeight w:val="450" w:hRule="atLeast"/>
        </w:trPr>
        <w:tc>
          <w:tcPr>
            <w:tcW w:w="365" w:type="pct"/>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3</w:t>
            </w:r>
          </w:p>
        </w:tc>
        <w:tc>
          <w:tcPr>
            <w:tcW w:w="2121" w:type="pct"/>
            <w:gridSpan w:val="3"/>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涂膜外观</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涂膜均匀，无针孔、无流挂</w:t>
            </w:r>
          </w:p>
        </w:tc>
      </w:tr>
      <w:tr>
        <w:tblPrEx>
          <w:tblCellMar>
            <w:top w:w="0" w:type="dxa"/>
            <w:left w:w="108" w:type="dxa"/>
            <w:bottom w:w="0" w:type="dxa"/>
            <w:right w:w="108" w:type="dxa"/>
          </w:tblCellMar>
        </w:tblPrEx>
        <w:trPr>
          <w:trHeight w:val="345" w:hRule="atLeast"/>
        </w:trPr>
        <w:tc>
          <w:tcPr>
            <w:tcW w:w="365" w:type="pct"/>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4</w:t>
            </w:r>
          </w:p>
        </w:tc>
        <w:tc>
          <w:tcPr>
            <w:tcW w:w="2121" w:type="pct"/>
            <w:gridSpan w:val="3"/>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表干时间</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≦1h</w:t>
            </w:r>
          </w:p>
        </w:tc>
      </w:tr>
      <w:tr>
        <w:tblPrEx>
          <w:tblCellMar>
            <w:top w:w="0" w:type="dxa"/>
            <w:left w:w="108" w:type="dxa"/>
            <w:bottom w:w="0" w:type="dxa"/>
            <w:right w:w="108" w:type="dxa"/>
          </w:tblCellMar>
        </w:tblPrEx>
        <w:trPr>
          <w:trHeight w:val="270" w:hRule="atLeast"/>
        </w:trPr>
        <w:tc>
          <w:tcPr>
            <w:tcW w:w="365" w:type="pct"/>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5</w:t>
            </w:r>
          </w:p>
        </w:tc>
        <w:tc>
          <w:tcPr>
            <w:tcW w:w="2121" w:type="pct"/>
            <w:gridSpan w:val="3"/>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耐水性</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96h无气泡、无掉粉、无明显变色和失光</w:t>
            </w:r>
          </w:p>
        </w:tc>
      </w:tr>
      <w:tr>
        <w:tblPrEx>
          <w:tblCellMar>
            <w:top w:w="0" w:type="dxa"/>
            <w:left w:w="108" w:type="dxa"/>
            <w:bottom w:w="0" w:type="dxa"/>
            <w:right w:w="108" w:type="dxa"/>
          </w:tblCellMar>
        </w:tblPrEx>
        <w:trPr>
          <w:trHeight w:val="375" w:hRule="atLeast"/>
        </w:trPr>
        <w:tc>
          <w:tcPr>
            <w:tcW w:w="365" w:type="pct"/>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6</w:t>
            </w:r>
          </w:p>
        </w:tc>
        <w:tc>
          <w:tcPr>
            <w:tcW w:w="2121" w:type="pct"/>
            <w:gridSpan w:val="3"/>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耐碱性</w:t>
            </w:r>
          </w:p>
        </w:tc>
        <w:tc>
          <w:tcPr>
            <w:tcW w:w="2514" w:type="pct"/>
            <w:tcBorders>
              <w:top w:val="nil"/>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48h无气泡、无掉粉、无明显变色和失光</w:t>
            </w:r>
          </w:p>
        </w:tc>
      </w:tr>
      <w:tr>
        <w:tblPrEx>
          <w:tblCellMar>
            <w:top w:w="0" w:type="dxa"/>
            <w:left w:w="108" w:type="dxa"/>
            <w:bottom w:w="0" w:type="dxa"/>
            <w:right w:w="108" w:type="dxa"/>
          </w:tblCellMar>
        </w:tblPrEx>
        <w:trPr>
          <w:trHeight w:val="345" w:hRule="atLeast"/>
        </w:trPr>
        <w:tc>
          <w:tcPr>
            <w:tcW w:w="365" w:type="pct"/>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7</w:t>
            </w:r>
          </w:p>
        </w:tc>
        <w:tc>
          <w:tcPr>
            <w:tcW w:w="2121" w:type="pct"/>
            <w:gridSpan w:val="3"/>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铅笔硬度</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≧2h</w:t>
            </w:r>
          </w:p>
        </w:tc>
      </w:tr>
      <w:tr>
        <w:tblPrEx>
          <w:tblCellMar>
            <w:top w:w="0" w:type="dxa"/>
            <w:left w:w="108" w:type="dxa"/>
            <w:bottom w:w="0" w:type="dxa"/>
            <w:right w:w="108" w:type="dxa"/>
          </w:tblCellMar>
        </w:tblPrEx>
        <w:trPr>
          <w:trHeight w:val="375" w:hRule="atLeast"/>
        </w:trPr>
        <w:tc>
          <w:tcPr>
            <w:tcW w:w="365" w:type="pct"/>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8</w:t>
            </w:r>
          </w:p>
        </w:tc>
        <w:tc>
          <w:tcPr>
            <w:tcW w:w="2121" w:type="pct"/>
            <w:gridSpan w:val="3"/>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耐溶剂擦拭性</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100次不露底</w:t>
            </w:r>
          </w:p>
        </w:tc>
      </w:tr>
      <w:tr>
        <w:tblPrEx>
          <w:tblCellMar>
            <w:top w:w="0" w:type="dxa"/>
            <w:left w:w="108" w:type="dxa"/>
            <w:bottom w:w="0" w:type="dxa"/>
            <w:right w:w="108" w:type="dxa"/>
          </w:tblCellMar>
        </w:tblPrEx>
        <w:trPr>
          <w:trHeight w:val="375" w:hRule="atLeast"/>
        </w:trPr>
        <w:tc>
          <w:tcPr>
            <w:tcW w:w="365" w:type="pct"/>
            <w:tcBorders>
              <w:top w:val="nil"/>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9</w:t>
            </w:r>
          </w:p>
        </w:tc>
        <w:tc>
          <w:tcPr>
            <w:tcW w:w="2121" w:type="pct"/>
            <w:gridSpan w:val="3"/>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附着力（划格法）/级</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≦1级</w:t>
            </w:r>
          </w:p>
        </w:tc>
      </w:tr>
      <w:tr>
        <w:tblPrEx>
          <w:tblCellMar>
            <w:top w:w="0" w:type="dxa"/>
            <w:left w:w="108" w:type="dxa"/>
            <w:bottom w:w="0" w:type="dxa"/>
            <w:right w:w="108" w:type="dxa"/>
          </w:tblCellMar>
        </w:tblPrEx>
        <w:trPr>
          <w:trHeight w:val="385"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10</w:t>
            </w:r>
          </w:p>
        </w:tc>
        <w:tc>
          <w:tcPr>
            <w:tcW w:w="2121" w:type="pct"/>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抗粘贴性（180°剥离强度）/(N/mm)</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≦0.10N/mm</w:t>
            </w:r>
          </w:p>
        </w:tc>
      </w:tr>
      <w:tr>
        <w:tblPrEx>
          <w:tblCellMar>
            <w:top w:w="0" w:type="dxa"/>
            <w:left w:w="108" w:type="dxa"/>
            <w:bottom w:w="0" w:type="dxa"/>
            <w:right w:w="108" w:type="dxa"/>
          </w:tblCellMar>
        </w:tblPrEx>
        <w:trPr>
          <w:trHeight w:val="375" w:hRule="atLeast"/>
        </w:trPr>
        <w:tc>
          <w:tcPr>
            <w:tcW w:w="365" w:type="pct"/>
            <w:vMerge w:val="restart"/>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11</w:t>
            </w:r>
          </w:p>
        </w:tc>
        <w:tc>
          <w:tcPr>
            <w:tcW w:w="825" w:type="pct"/>
            <w:vMerge w:val="restart"/>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抗反复粘贴性50次</w:t>
            </w:r>
          </w:p>
        </w:tc>
        <w:tc>
          <w:tcPr>
            <w:tcW w:w="1296" w:type="pct"/>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外观</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无剥落、无明显失光、无胶残留物</w:t>
            </w:r>
          </w:p>
        </w:tc>
      </w:tr>
      <w:tr>
        <w:tblPrEx>
          <w:tblCellMar>
            <w:top w:w="0" w:type="dxa"/>
            <w:left w:w="108" w:type="dxa"/>
            <w:bottom w:w="0" w:type="dxa"/>
            <w:right w:w="108" w:type="dxa"/>
          </w:tblCellMar>
        </w:tblPrEx>
        <w:trPr>
          <w:trHeight w:val="405" w:hRule="atLeast"/>
        </w:trPr>
        <w:tc>
          <w:tcPr>
            <w:tcW w:w="365" w:type="pct"/>
            <w:vMerge w:val="continue"/>
            <w:tcBorders>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825" w:type="pct"/>
            <w:vMerge w:val="continue"/>
            <w:tcBorders>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1296" w:type="pct"/>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180°剥离强度/(N/mm）</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≦0.20N/mm，胶带无法粘贴</w:t>
            </w:r>
          </w:p>
        </w:tc>
      </w:tr>
      <w:tr>
        <w:tblPrEx>
          <w:tblCellMar>
            <w:top w:w="0" w:type="dxa"/>
            <w:left w:w="108" w:type="dxa"/>
            <w:bottom w:w="0" w:type="dxa"/>
            <w:right w:w="108" w:type="dxa"/>
          </w:tblCellMar>
        </w:tblPrEx>
        <w:trPr>
          <w:trHeight w:val="450" w:hRule="atLeast"/>
        </w:trPr>
        <w:tc>
          <w:tcPr>
            <w:tcW w:w="365" w:type="pct"/>
            <w:vMerge w:val="restart"/>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12</w:t>
            </w:r>
          </w:p>
        </w:tc>
        <w:tc>
          <w:tcPr>
            <w:tcW w:w="825" w:type="pct"/>
            <w:vMerge w:val="restart"/>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抗高温粘贴性50℃,24h</w:t>
            </w:r>
          </w:p>
        </w:tc>
        <w:tc>
          <w:tcPr>
            <w:tcW w:w="1296" w:type="pct"/>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外观</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无剥落、无明显失光、无胶残留物</w:t>
            </w:r>
          </w:p>
        </w:tc>
      </w:tr>
      <w:tr>
        <w:tblPrEx>
          <w:tblCellMar>
            <w:top w:w="0" w:type="dxa"/>
            <w:left w:w="108" w:type="dxa"/>
            <w:bottom w:w="0" w:type="dxa"/>
            <w:right w:w="108" w:type="dxa"/>
          </w:tblCellMar>
        </w:tblPrEx>
        <w:trPr>
          <w:trHeight w:val="270" w:hRule="atLeast"/>
        </w:trPr>
        <w:tc>
          <w:tcPr>
            <w:tcW w:w="365" w:type="pct"/>
            <w:vMerge w:val="continue"/>
            <w:tcBorders>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825" w:type="pct"/>
            <w:vMerge w:val="continue"/>
            <w:tcBorders>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1296" w:type="pct"/>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180°剥离强度/(N/mm）</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≦0.25N/mm，胶带无法粘贴</w:t>
            </w:r>
          </w:p>
        </w:tc>
      </w:tr>
      <w:tr>
        <w:tblPrEx>
          <w:tblCellMar>
            <w:top w:w="0" w:type="dxa"/>
            <w:left w:w="108" w:type="dxa"/>
            <w:bottom w:w="0" w:type="dxa"/>
            <w:right w:w="108" w:type="dxa"/>
          </w:tblCellMar>
        </w:tblPrEx>
        <w:trPr>
          <w:trHeight w:val="90" w:hRule="atLeast"/>
        </w:trPr>
        <w:tc>
          <w:tcPr>
            <w:tcW w:w="36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13</w:t>
            </w:r>
          </w:p>
        </w:tc>
        <w:tc>
          <w:tcPr>
            <w:tcW w:w="82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耐人工气候老化性400h</w:t>
            </w:r>
          </w:p>
        </w:tc>
        <w:tc>
          <w:tcPr>
            <w:tcW w:w="1296" w:type="pct"/>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外观</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无开裂、无剥落、无明显失光</w:t>
            </w:r>
          </w:p>
        </w:tc>
      </w:tr>
      <w:tr>
        <w:tblPrEx>
          <w:tblCellMar>
            <w:top w:w="0" w:type="dxa"/>
            <w:left w:w="108" w:type="dxa"/>
            <w:bottom w:w="0" w:type="dxa"/>
            <w:right w:w="108" w:type="dxa"/>
          </w:tblCellMar>
        </w:tblPrEx>
        <w:trPr>
          <w:trHeight w:val="270" w:hRule="atLeast"/>
        </w:trPr>
        <w:tc>
          <w:tcPr>
            <w:tcW w:w="365" w:type="pct"/>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825" w:type="pct"/>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1296" w:type="pct"/>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180°剥离强度/(N/mm）</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≦0.20N/mm</w:t>
            </w:r>
          </w:p>
        </w:tc>
      </w:tr>
      <w:tr>
        <w:tblPrEx>
          <w:tblCellMar>
            <w:top w:w="0" w:type="dxa"/>
            <w:left w:w="108" w:type="dxa"/>
            <w:bottom w:w="0" w:type="dxa"/>
            <w:right w:w="108" w:type="dxa"/>
          </w:tblCellMar>
        </w:tblPrEx>
        <w:trPr>
          <w:trHeight w:val="305" w:hRule="atLeast"/>
        </w:trPr>
        <w:tc>
          <w:tcPr>
            <w:tcW w:w="36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14</w:t>
            </w:r>
          </w:p>
        </w:tc>
        <w:tc>
          <w:tcPr>
            <w:tcW w:w="825" w:type="pct"/>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防涂鸦性</w:t>
            </w:r>
          </w:p>
          <w:p>
            <w:pPr>
              <w:widowControl/>
              <w:spacing w:line="360" w:lineRule="exact"/>
              <w:jc w:val="center"/>
              <w:rPr>
                <w:rFonts w:hint="eastAsia" w:ascii="仿宋" w:hAnsi="仿宋" w:eastAsia="仿宋" w:cs="仿宋"/>
                <w:sz w:val="24"/>
              </w:rPr>
            </w:pPr>
            <w:r>
              <w:rPr>
                <w:rFonts w:hint="eastAsia" w:ascii="仿宋" w:hAnsi="仿宋" w:eastAsia="仿宋" w:cs="仿宋"/>
                <w:sz w:val="24"/>
              </w:rPr>
              <w:t>(可清洗级别）</w:t>
            </w:r>
          </w:p>
        </w:tc>
        <w:tc>
          <w:tcPr>
            <w:tcW w:w="1296" w:type="pct"/>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墨汁/级</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≦2</w:t>
            </w:r>
          </w:p>
        </w:tc>
      </w:tr>
      <w:tr>
        <w:tblPrEx>
          <w:tblCellMar>
            <w:top w:w="0" w:type="dxa"/>
            <w:left w:w="108" w:type="dxa"/>
            <w:bottom w:w="0" w:type="dxa"/>
            <w:right w:w="108" w:type="dxa"/>
          </w:tblCellMar>
        </w:tblPrEx>
        <w:trPr>
          <w:trHeight w:val="405" w:hRule="atLeast"/>
        </w:trPr>
        <w:tc>
          <w:tcPr>
            <w:tcW w:w="365" w:type="pct"/>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825" w:type="pct"/>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1296" w:type="pct"/>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油性记号笔/级</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≦3</w:t>
            </w:r>
          </w:p>
        </w:tc>
      </w:tr>
      <w:tr>
        <w:tblPrEx>
          <w:tblCellMar>
            <w:top w:w="0" w:type="dxa"/>
            <w:left w:w="108" w:type="dxa"/>
            <w:bottom w:w="0" w:type="dxa"/>
            <w:right w:w="108" w:type="dxa"/>
          </w:tblCellMar>
        </w:tblPrEx>
        <w:trPr>
          <w:trHeight w:val="345" w:hRule="atLeast"/>
        </w:trPr>
        <w:tc>
          <w:tcPr>
            <w:tcW w:w="365" w:type="pct"/>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825" w:type="pct"/>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1296" w:type="pct"/>
            <w:gridSpan w:val="2"/>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喷漆/级</w:t>
            </w:r>
          </w:p>
        </w:tc>
        <w:tc>
          <w:tcPr>
            <w:tcW w:w="2514" w:type="pct"/>
            <w:tcBorders>
              <w:top w:val="single" w:color="auto" w:sz="4" w:space="0"/>
              <w:left w:val="nil"/>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≦3</w:t>
            </w:r>
          </w:p>
        </w:tc>
      </w:tr>
      <w:tr>
        <w:tblPrEx>
          <w:tblCellMar>
            <w:top w:w="0" w:type="dxa"/>
            <w:left w:w="108" w:type="dxa"/>
            <w:bottom w:w="0" w:type="dxa"/>
            <w:right w:w="108" w:type="dxa"/>
          </w:tblCellMar>
        </w:tblPrEx>
        <w:trPr>
          <w:trHeight w:val="90"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15</w:t>
            </w:r>
          </w:p>
        </w:tc>
        <w:tc>
          <w:tcPr>
            <w:tcW w:w="2121" w:type="pct"/>
            <w:gridSpan w:val="3"/>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防涂鸦抗粘贴涂料</w:t>
            </w:r>
          </w:p>
          <w:p>
            <w:pPr>
              <w:widowControl/>
              <w:spacing w:line="360" w:lineRule="exact"/>
              <w:jc w:val="center"/>
              <w:rPr>
                <w:rFonts w:hint="eastAsia" w:ascii="仿宋" w:hAnsi="仿宋" w:eastAsia="仿宋" w:cs="仿宋"/>
                <w:sz w:val="24"/>
              </w:rPr>
            </w:pPr>
            <w:r>
              <w:rPr>
                <w:rFonts w:hint="eastAsia" w:ascii="仿宋" w:hAnsi="仿宋" w:eastAsia="仿宋" w:cs="仿宋"/>
                <w:sz w:val="24"/>
              </w:rPr>
              <w:t>有害物质含量</w:t>
            </w:r>
          </w:p>
        </w:tc>
        <w:tc>
          <w:tcPr>
            <w:tcW w:w="2514"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应符合《GB 24408-2009 建筑用外墙涂料中有害物质限量》中表1的要求</w:t>
            </w:r>
          </w:p>
        </w:tc>
      </w:tr>
      <w:tr>
        <w:tblPrEx>
          <w:tblCellMar>
            <w:top w:w="0" w:type="dxa"/>
            <w:left w:w="108" w:type="dxa"/>
            <w:bottom w:w="0" w:type="dxa"/>
            <w:right w:w="108" w:type="dxa"/>
          </w:tblCellMar>
        </w:tblPrEx>
        <w:trPr>
          <w:trHeight w:val="435" w:hRule="atLeast"/>
        </w:trPr>
        <w:tc>
          <w:tcPr>
            <w:tcW w:w="365" w:type="pct"/>
            <w:vMerge w:val="restart"/>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16</w:t>
            </w:r>
          </w:p>
        </w:tc>
        <w:tc>
          <w:tcPr>
            <w:tcW w:w="856" w:type="pct"/>
            <w:gridSpan w:val="2"/>
            <w:vMerge w:val="restart"/>
            <w:tcBorders>
              <w:top w:val="single" w:color="auto" w:sz="4" w:space="0"/>
              <w:left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可清洗性</w:t>
            </w:r>
          </w:p>
        </w:tc>
        <w:tc>
          <w:tcPr>
            <w:tcW w:w="12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墨汁</w:t>
            </w:r>
          </w:p>
        </w:tc>
        <w:tc>
          <w:tcPr>
            <w:tcW w:w="2514"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棉布蘸清水可清洗</w:t>
            </w:r>
          </w:p>
        </w:tc>
      </w:tr>
      <w:tr>
        <w:tblPrEx>
          <w:tblCellMar>
            <w:top w:w="0" w:type="dxa"/>
            <w:left w:w="108" w:type="dxa"/>
            <w:bottom w:w="0" w:type="dxa"/>
            <w:right w:w="108" w:type="dxa"/>
          </w:tblCellMar>
        </w:tblPrEx>
        <w:trPr>
          <w:trHeight w:val="460" w:hRule="atLeast"/>
        </w:trPr>
        <w:tc>
          <w:tcPr>
            <w:tcW w:w="365" w:type="pct"/>
            <w:vMerge w:val="continue"/>
            <w:tcBorders>
              <w:left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856" w:type="pct"/>
            <w:gridSpan w:val="2"/>
            <w:vMerge w:val="continue"/>
            <w:tcBorders>
              <w:left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12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油性记号笔</w:t>
            </w:r>
          </w:p>
        </w:tc>
        <w:tc>
          <w:tcPr>
            <w:tcW w:w="2514"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棉布蘸清水可清洗</w:t>
            </w:r>
          </w:p>
        </w:tc>
      </w:tr>
      <w:tr>
        <w:tblPrEx>
          <w:tblCellMar>
            <w:top w:w="0" w:type="dxa"/>
            <w:left w:w="108" w:type="dxa"/>
            <w:bottom w:w="0" w:type="dxa"/>
            <w:right w:w="108" w:type="dxa"/>
          </w:tblCellMar>
        </w:tblPrEx>
        <w:trPr>
          <w:trHeight w:val="315" w:hRule="atLeast"/>
        </w:trPr>
        <w:tc>
          <w:tcPr>
            <w:tcW w:w="365" w:type="pct"/>
            <w:vMerge w:val="continue"/>
            <w:tcBorders>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856" w:type="pct"/>
            <w:gridSpan w:val="2"/>
            <w:vMerge w:val="continue"/>
            <w:tcBorders>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p>
        </w:tc>
        <w:tc>
          <w:tcPr>
            <w:tcW w:w="1265"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喷漆</w:t>
            </w:r>
          </w:p>
        </w:tc>
        <w:tc>
          <w:tcPr>
            <w:tcW w:w="2514" w:type="pct"/>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jc w:val="center"/>
              <w:rPr>
                <w:rFonts w:hint="eastAsia" w:ascii="仿宋" w:hAnsi="仿宋" w:eastAsia="仿宋" w:cs="仿宋"/>
                <w:sz w:val="24"/>
              </w:rPr>
            </w:pPr>
            <w:r>
              <w:rPr>
                <w:rFonts w:hint="eastAsia" w:ascii="仿宋" w:hAnsi="仿宋" w:eastAsia="仿宋" w:cs="仿宋"/>
                <w:sz w:val="24"/>
              </w:rPr>
              <w:t>棉布蘸清水可清洗</w:t>
            </w:r>
          </w:p>
        </w:tc>
      </w:tr>
      <w:tr>
        <w:tblPrEx>
          <w:tblCellMar>
            <w:top w:w="0" w:type="dxa"/>
            <w:left w:w="108" w:type="dxa"/>
            <w:bottom w:w="0" w:type="dxa"/>
            <w:right w:w="108" w:type="dxa"/>
          </w:tblCellMar>
        </w:tblPrEx>
        <w:trPr>
          <w:trHeight w:val="1554" w:hRule="atLeast"/>
        </w:trPr>
        <w:tc>
          <w:tcPr>
            <w:tcW w:w="5000" w:type="pct"/>
            <w:gridSpan w:val="5"/>
            <w:tcBorders>
              <w:top w:val="single" w:color="auto" w:sz="4" w:space="0"/>
              <w:left w:val="single" w:color="auto" w:sz="4" w:space="0"/>
              <w:bottom w:val="single" w:color="auto" w:sz="4" w:space="0"/>
              <w:right w:val="single" w:color="auto" w:sz="4" w:space="0"/>
            </w:tcBorders>
            <w:noWrap w:val="0"/>
            <w:vAlign w:val="center"/>
          </w:tcPr>
          <w:p>
            <w:pPr>
              <w:widowControl/>
              <w:spacing w:line="360" w:lineRule="exact"/>
              <w:rPr>
                <w:rFonts w:hint="eastAsia" w:ascii="仿宋" w:hAnsi="仿宋" w:eastAsia="仿宋" w:cs="仿宋"/>
                <w:sz w:val="24"/>
              </w:rPr>
            </w:pPr>
            <w:r>
              <w:rPr>
                <w:rFonts w:hint="eastAsia" w:ascii="仿宋" w:hAnsi="仿宋" w:eastAsia="仿宋" w:cs="仿宋"/>
                <w:sz w:val="24"/>
              </w:rPr>
              <w:t>说明：1、该表格内容为防涂鸦抗粘贴涂料投标时需要提供检测报告的必要内容。</w:t>
            </w:r>
          </w:p>
          <w:p>
            <w:pPr>
              <w:widowControl/>
              <w:spacing w:line="360" w:lineRule="exact"/>
              <w:rPr>
                <w:rFonts w:hint="eastAsia" w:ascii="仿宋" w:hAnsi="仿宋" w:eastAsia="仿宋" w:cs="仿宋"/>
                <w:sz w:val="24"/>
              </w:rPr>
            </w:pPr>
            <w:r>
              <w:rPr>
                <w:rFonts w:hint="eastAsia" w:ascii="仿宋" w:hAnsi="仿宋" w:eastAsia="仿宋" w:cs="仿宋"/>
                <w:sz w:val="24"/>
              </w:rPr>
              <w:t xml:space="preserve">      2、该表格内容同时为防涂鸦抗粘贴涂料中标后抽检时必要的的检测项目。</w:t>
            </w:r>
          </w:p>
          <w:p>
            <w:pPr>
              <w:widowControl/>
              <w:spacing w:line="360" w:lineRule="exact"/>
              <w:rPr>
                <w:rFonts w:hint="eastAsia" w:ascii="仿宋" w:hAnsi="仿宋" w:eastAsia="仿宋" w:cs="仿宋"/>
                <w:sz w:val="24"/>
              </w:rPr>
            </w:pPr>
            <w:r>
              <w:rPr>
                <w:rFonts w:hint="eastAsia" w:ascii="仿宋" w:hAnsi="仿宋" w:eastAsia="仿宋" w:cs="仿宋"/>
                <w:sz w:val="24"/>
              </w:rPr>
              <w:t xml:space="preserve">      3、中标后，招标人在招标文件中未尽表述的检测内容，在与中标人协商后，仍可进行检测，并应符合相关要求。</w:t>
            </w:r>
          </w:p>
        </w:tc>
      </w:tr>
    </w:tbl>
    <w:p>
      <w:pPr>
        <w:spacing w:line="400" w:lineRule="exact"/>
        <w:ind w:left="0" w:leftChars="0" w:firstLine="0" w:firstLineChars="0"/>
        <w:rPr>
          <w:rFonts w:hint="eastAsia" w:ascii="仿宋" w:hAnsi="仿宋" w:eastAsia="仿宋" w:cs="仿宋"/>
          <w:sz w:val="28"/>
          <w:szCs w:val="28"/>
        </w:rPr>
      </w:pPr>
    </w:p>
    <w:p>
      <w:pPr>
        <w:spacing w:line="400" w:lineRule="exact"/>
        <w:ind w:left="0" w:leftChars="0" w:firstLine="0" w:firstLineChars="0"/>
        <w:rPr>
          <w:rFonts w:hint="eastAsia" w:ascii="仿宋" w:hAnsi="仿宋" w:eastAsia="仿宋" w:cs="仿宋"/>
          <w:sz w:val="28"/>
          <w:szCs w:val="28"/>
        </w:rPr>
      </w:pPr>
    </w:p>
    <w:p>
      <w:pPr>
        <w:spacing w:line="400" w:lineRule="exact"/>
        <w:ind w:left="0" w:leftChars="0" w:firstLine="0" w:firstLineChars="0"/>
        <w:rPr>
          <w:rFonts w:hint="default" w:ascii="仿宋" w:hAnsi="仿宋" w:eastAsia="仿宋" w:cs="仿宋"/>
          <w:sz w:val="28"/>
          <w:szCs w:val="28"/>
        </w:rPr>
      </w:pPr>
      <w:r>
        <w:rPr>
          <w:rFonts w:hint="eastAsia" w:ascii="仿宋" w:hAnsi="仿宋" w:eastAsia="仿宋" w:cs="仿宋"/>
          <w:sz w:val="28"/>
          <w:szCs w:val="28"/>
        </w:rPr>
        <w:t>（三）灯杆防涂鸦抗粘贴涂料是否运用需经采购单位通知后实施。</w:t>
      </w:r>
    </w:p>
    <w:p>
      <w:pPr>
        <w:ind w:left="424" w:leftChars="202" w:firstLine="120" w:firstLineChars="50"/>
        <w:rPr>
          <w:rFonts w:hint="eastAsia" w:ascii="仿宋" w:hAnsi="仿宋" w:eastAsia="仿宋" w:cs="仿宋"/>
          <w:sz w:val="24"/>
        </w:rPr>
      </w:pPr>
    </w:p>
    <w:p>
      <w:pPr>
        <w:ind w:left="424" w:leftChars="202" w:firstLine="120" w:firstLineChars="50"/>
        <w:rPr>
          <w:rFonts w:hint="eastAsia" w:ascii="仿宋" w:hAnsi="仿宋" w:eastAsia="仿宋" w:cs="仿宋"/>
          <w:sz w:val="24"/>
        </w:rPr>
      </w:pPr>
      <w:r>
        <w:rPr>
          <w:rFonts w:hint="eastAsia" w:ascii="仿宋" w:hAnsi="仿宋" w:eastAsia="仿宋" w:cs="仿宋"/>
          <w:sz w:val="24"/>
        </w:rPr>
        <w:t>附件2：灯杆理论重量表</w:t>
      </w:r>
    </w:p>
    <w:p>
      <w:pPr>
        <w:ind w:left="424" w:leftChars="202" w:firstLine="120" w:firstLineChars="50"/>
        <w:rPr>
          <w:rFonts w:hint="eastAsia" w:ascii="仿宋" w:hAnsi="仿宋" w:eastAsia="仿宋" w:cs="仿宋"/>
          <w:sz w:val="24"/>
        </w:rPr>
      </w:pPr>
    </w:p>
    <w:tbl>
      <w:tblPr>
        <w:tblStyle w:val="6"/>
        <w:tblW w:w="5000" w:type="pct"/>
        <w:tblInd w:w="0" w:type="dxa"/>
        <w:tblLayout w:type="autofit"/>
        <w:tblCellMar>
          <w:top w:w="0" w:type="dxa"/>
          <w:left w:w="108" w:type="dxa"/>
          <w:bottom w:w="0" w:type="dxa"/>
          <w:right w:w="108" w:type="dxa"/>
        </w:tblCellMar>
      </w:tblPr>
      <w:tblGrid>
        <w:gridCol w:w="1762"/>
        <w:gridCol w:w="2729"/>
        <w:gridCol w:w="1928"/>
        <w:gridCol w:w="2103"/>
      </w:tblGrid>
      <w:tr>
        <w:tblPrEx>
          <w:tblCellMar>
            <w:top w:w="0" w:type="dxa"/>
            <w:left w:w="108" w:type="dxa"/>
            <w:bottom w:w="0" w:type="dxa"/>
            <w:right w:w="108" w:type="dxa"/>
          </w:tblCellMar>
        </w:tblPrEx>
        <w:trPr>
          <w:trHeight w:val="476" w:hRule="atLeast"/>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sz w:val="24"/>
              </w:rPr>
            </w:pPr>
            <w:r>
              <w:rPr>
                <w:rFonts w:hint="eastAsia" w:ascii="仿宋" w:hAnsi="仿宋" w:eastAsia="仿宋" w:cs="仿宋"/>
                <w:sz w:val="24"/>
              </w:rPr>
              <w:t>灯杆理论重量</w:t>
            </w:r>
          </w:p>
        </w:tc>
      </w:tr>
      <w:tr>
        <w:tblPrEx>
          <w:tblCellMar>
            <w:top w:w="0" w:type="dxa"/>
            <w:left w:w="108" w:type="dxa"/>
            <w:bottom w:w="0" w:type="dxa"/>
            <w:right w:w="108" w:type="dxa"/>
          </w:tblCellMar>
        </w:tblPrEx>
        <w:trPr>
          <w:trHeight w:val="683" w:hRule="atLeast"/>
        </w:trPr>
        <w:tc>
          <w:tcPr>
            <w:tcW w:w="1034" w:type="pct"/>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sz w:val="24"/>
              </w:rPr>
            </w:pPr>
            <w:r>
              <w:rPr>
                <w:rFonts w:hint="eastAsia" w:ascii="仿宋" w:hAnsi="仿宋" w:eastAsia="仿宋" w:cs="仿宋"/>
                <w:sz w:val="24"/>
              </w:rPr>
              <w:t>序号</w:t>
            </w:r>
          </w:p>
        </w:tc>
        <w:tc>
          <w:tcPr>
            <w:tcW w:w="1601" w:type="pct"/>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sz w:val="24"/>
              </w:rPr>
            </w:pPr>
            <w:r>
              <w:rPr>
                <w:rFonts w:hint="eastAsia" w:ascii="仿宋" w:hAnsi="仿宋" w:eastAsia="仿宋" w:cs="仿宋"/>
                <w:sz w:val="24"/>
              </w:rPr>
              <w:t>名称型号规格</w:t>
            </w:r>
          </w:p>
        </w:tc>
        <w:tc>
          <w:tcPr>
            <w:tcW w:w="1131" w:type="pct"/>
            <w:vMerge w:val="restart"/>
            <w:tcBorders>
              <w:top w:val="nil"/>
              <w:left w:val="single" w:color="auto" w:sz="4" w:space="0"/>
              <w:bottom w:val="single" w:color="auto" w:sz="4" w:space="0"/>
              <w:right w:val="single" w:color="auto" w:sz="4" w:space="0"/>
            </w:tcBorders>
            <w:noWrap w:val="0"/>
            <w:vAlign w:val="center"/>
          </w:tcPr>
          <w:p>
            <w:r>
              <w:rPr>
                <w:rFonts w:hint="eastAsia" w:ascii="仿宋" w:hAnsi="仿宋" w:eastAsia="仿宋" w:cs="仿宋"/>
                <w:sz w:val="24"/>
              </w:rPr>
              <w:t>黑杆重量</w:t>
            </w:r>
          </w:p>
          <w:p>
            <w:pPr>
              <w:widowControl/>
              <w:jc w:val="center"/>
              <w:rPr>
                <w:rFonts w:hint="eastAsia" w:ascii="仿宋" w:hAnsi="仿宋" w:eastAsia="仿宋" w:cs="仿宋"/>
                <w:sz w:val="24"/>
              </w:rPr>
            </w:pPr>
          </w:p>
          <w:p>
            <w:pPr>
              <w:widowControl/>
              <w:jc w:val="center"/>
              <w:rPr>
                <w:rFonts w:hint="eastAsia" w:ascii="仿宋" w:hAnsi="仿宋" w:eastAsia="仿宋" w:cs="仿宋"/>
                <w:sz w:val="24"/>
              </w:rPr>
            </w:pPr>
            <w:r>
              <w:rPr>
                <w:rFonts w:hint="eastAsia" w:ascii="仿宋" w:hAnsi="仿宋" w:eastAsia="仿宋" w:cs="仿宋"/>
                <w:sz w:val="24"/>
              </w:rPr>
              <w:t>(公斤)</w:t>
            </w:r>
          </w:p>
        </w:tc>
        <w:tc>
          <w:tcPr>
            <w:tcW w:w="1233" w:type="pct"/>
            <w:vMerge w:val="restart"/>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sz w:val="24"/>
              </w:rPr>
            </w:pPr>
            <w:r>
              <w:rPr>
                <w:rFonts w:hint="eastAsia" w:ascii="仿宋" w:hAnsi="仿宋" w:eastAsia="仿宋" w:cs="仿宋"/>
                <w:sz w:val="24"/>
              </w:rPr>
              <w:t>镀锌喷塑后重量(公斤)</w:t>
            </w:r>
          </w:p>
        </w:tc>
      </w:tr>
      <w:tr>
        <w:tblPrEx>
          <w:tblCellMar>
            <w:top w:w="0" w:type="dxa"/>
            <w:left w:w="108" w:type="dxa"/>
            <w:bottom w:w="0" w:type="dxa"/>
            <w:right w:w="108" w:type="dxa"/>
          </w:tblCellMar>
        </w:tblPrEx>
        <w:trPr>
          <w:trHeight w:val="683" w:hRule="atLeast"/>
        </w:trPr>
        <w:tc>
          <w:tcPr>
            <w:tcW w:w="1034" w:type="pct"/>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sz w:val="24"/>
              </w:rPr>
            </w:pPr>
          </w:p>
        </w:tc>
        <w:tc>
          <w:tcPr>
            <w:tcW w:w="1601" w:type="pct"/>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sz w:val="24"/>
              </w:rPr>
            </w:pPr>
          </w:p>
        </w:tc>
        <w:tc>
          <w:tcPr>
            <w:tcW w:w="1131" w:type="pct"/>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sz w:val="24"/>
              </w:rPr>
            </w:pPr>
          </w:p>
        </w:tc>
        <w:tc>
          <w:tcPr>
            <w:tcW w:w="1233" w:type="pct"/>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sz w:val="24"/>
              </w:rPr>
            </w:pPr>
          </w:p>
        </w:tc>
      </w:tr>
      <w:tr>
        <w:tblPrEx>
          <w:tblCellMar>
            <w:top w:w="0" w:type="dxa"/>
            <w:left w:w="108" w:type="dxa"/>
            <w:bottom w:w="0" w:type="dxa"/>
            <w:right w:w="108" w:type="dxa"/>
          </w:tblCellMar>
        </w:tblPrEx>
        <w:trPr>
          <w:trHeight w:val="476" w:hRule="atLeast"/>
        </w:trPr>
        <w:tc>
          <w:tcPr>
            <w:tcW w:w="1034" w:type="pct"/>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sz w:val="24"/>
              </w:rPr>
            </w:pPr>
          </w:p>
        </w:tc>
        <w:tc>
          <w:tcPr>
            <w:tcW w:w="1601" w:type="pct"/>
            <w:vMerge w:val="continue"/>
            <w:tcBorders>
              <w:top w:val="nil"/>
              <w:left w:val="single" w:color="auto" w:sz="4" w:space="0"/>
              <w:bottom w:val="single" w:color="auto" w:sz="4" w:space="0"/>
              <w:right w:val="single" w:color="auto" w:sz="4" w:space="0"/>
            </w:tcBorders>
            <w:noWrap w:val="0"/>
            <w:vAlign w:val="center"/>
          </w:tcPr>
          <w:p>
            <w:pPr>
              <w:widowControl/>
              <w:jc w:val="left"/>
              <w:rPr>
                <w:rFonts w:hint="eastAsia" w:ascii="仿宋" w:hAnsi="仿宋" w:eastAsia="仿宋" w:cs="仿宋"/>
                <w:sz w:val="24"/>
              </w:rPr>
            </w:pPr>
          </w:p>
        </w:tc>
        <w:tc>
          <w:tcPr>
            <w:tcW w:w="1131" w:type="pct"/>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sz w:val="24"/>
              </w:rPr>
            </w:pPr>
            <w:r>
              <w:rPr>
                <w:rFonts w:hint="eastAsia" w:ascii="仿宋" w:hAnsi="仿宋" w:eastAsia="仿宋" w:cs="仿宋"/>
                <w:sz w:val="24"/>
              </w:rPr>
              <w:t>Q235</w:t>
            </w:r>
          </w:p>
        </w:tc>
        <w:tc>
          <w:tcPr>
            <w:tcW w:w="1233" w:type="pct"/>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sz w:val="24"/>
              </w:rPr>
            </w:pPr>
            <w:r>
              <w:rPr>
                <w:rFonts w:hint="eastAsia" w:ascii="仿宋" w:hAnsi="仿宋" w:eastAsia="仿宋" w:cs="仿宋"/>
                <w:sz w:val="24"/>
              </w:rPr>
              <w:t>Q235</w:t>
            </w:r>
          </w:p>
        </w:tc>
      </w:tr>
      <w:tr>
        <w:tblPrEx>
          <w:tblCellMar>
            <w:top w:w="0" w:type="dxa"/>
            <w:left w:w="108" w:type="dxa"/>
            <w:bottom w:w="0" w:type="dxa"/>
            <w:right w:w="108" w:type="dxa"/>
          </w:tblCellMar>
        </w:tblPrEx>
        <w:trPr>
          <w:trHeight w:val="476" w:hRule="atLeast"/>
        </w:trPr>
        <w:tc>
          <w:tcPr>
            <w:tcW w:w="1034" w:type="pct"/>
            <w:tcBorders>
              <w:top w:val="nil"/>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sz w:val="24"/>
              </w:rPr>
            </w:pPr>
            <w:r>
              <w:rPr>
                <w:rFonts w:hint="eastAsia" w:ascii="仿宋" w:hAnsi="仿宋" w:eastAsia="仿宋" w:cs="仿宋"/>
                <w:sz w:val="24"/>
              </w:rPr>
              <w:t>1</w:t>
            </w:r>
          </w:p>
        </w:tc>
        <w:tc>
          <w:tcPr>
            <w:tcW w:w="1601" w:type="pct"/>
            <w:tcBorders>
              <w:top w:val="nil"/>
              <w:left w:val="nil"/>
              <w:bottom w:val="single" w:color="auto" w:sz="4" w:space="0"/>
              <w:right w:val="single" w:color="auto" w:sz="4" w:space="0"/>
            </w:tcBorders>
            <w:noWrap w:val="0"/>
            <w:vAlign w:val="center"/>
          </w:tcPr>
          <w:p>
            <w:pPr>
              <w:widowControl/>
              <w:jc w:val="center"/>
              <w:rPr>
                <w:rFonts w:hint="eastAsia" w:ascii="仿宋" w:hAnsi="仿宋" w:eastAsia="仿宋" w:cs="仿宋"/>
                <w:sz w:val="24"/>
              </w:rPr>
            </w:pPr>
            <w:r>
              <w:rPr>
                <w:rFonts w:hint="eastAsia" w:ascii="仿宋" w:hAnsi="仿宋" w:eastAsia="仿宋" w:cs="仿宋"/>
                <w:sz w:val="24"/>
                <w:lang w:val="en-US" w:eastAsia="zh-CN"/>
              </w:rPr>
              <w:t>10</w:t>
            </w:r>
            <w:r>
              <w:rPr>
                <w:rFonts w:hint="eastAsia" w:ascii="仿宋" w:hAnsi="仿宋" w:eastAsia="仿宋" w:cs="仿宋"/>
                <w:sz w:val="24"/>
              </w:rPr>
              <w:t>米单挑灯</w:t>
            </w:r>
          </w:p>
        </w:tc>
        <w:tc>
          <w:tcPr>
            <w:tcW w:w="1131" w:type="pct"/>
            <w:tcBorders>
              <w:top w:val="nil"/>
              <w:left w:val="nil"/>
              <w:bottom w:val="single" w:color="auto" w:sz="4" w:space="0"/>
              <w:right w:val="single" w:color="auto" w:sz="4" w:space="0"/>
            </w:tcBorders>
            <w:noWrap w:val="0"/>
            <w:vAlign w:val="center"/>
          </w:tcPr>
          <w:p>
            <w:pPr>
              <w:widowControl/>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460</w:t>
            </w:r>
          </w:p>
        </w:tc>
        <w:tc>
          <w:tcPr>
            <w:tcW w:w="1233" w:type="pct"/>
            <w:tcBorders>
              <w:top w:val="nil"/>
              <w:left w:val="nil"/>
              <w:bottom w:val="single" w:color="auto" w:sz="4" w:space="0"/>
              <w:right w:val="single" w:color="auto" w:sz="4" w:space="0"/>
            </w:tcBorders>
            <w:noWrap w:val="0"/>
            <w:vAlign w:val="center"/>
          </w:tcPr>
          <w:p>
            <w:pPr>
              <w:widowControl/>
              <w:jc w:val="center"/>
              <w:rPr>
                <w:rFonts w:hint="default" w:ascii="仿宋" w:hAnsi="仿宋" w:eastAsia="仿宋" w:cs="仿宋"/>
                <w:color w:val="000000" w:themeColor="text1"/>
                <w:sz w:val="24"/>
                <w:lang w:val="en-US" w:eastAsia="zh-CN"/>
                <w14:textFill>
                  <w14:solidFill>
                    <w14:schemeClr w14:val="tx1"/>
                  </w14:solidFill>
                </w14:textFill>
              </w:rPr>
            </w:pPr>
            <w:r>
              <w:rPr>
                <w:rFonts w:hint="eastAsia" w:ascii="仿宋" w:hAnsi="仿宋" w:eastAsia="仿宋" w:cs="仿宋"/>
                <w:color w:val="000000" w:themeColor="text1"/>
                <w:sz w:val="24"/>
                <w:lang w:val="en-US" w:eastAsia="zh-CN"/>
                <w14:textFill>
                  <w14:solidFill>
                    <w14:schemeClr w14:val="tx1"/>
                  </w14:solidFill>
                </w14:textFill>
              </w:rPr>
              <w:t>483</w:t>
            </w:r>
          </w:p>
        </w:tc>
      </w:tr>
      <w:tr>
        <w:tblPrEx>
          <w:tblCellMar>
            <w:top w:w="0" w:type="dxa"/>
            <w:left w:w="108" w:type="dxa"/>
            <w:bottom w:w="0" w:type="dxa"/>
            <w:right w:w="108" w:type="dxa"/>
          </w:tblCellMar>
        </w:tblPrEx>
        <w:trPr>
          <w:trHeight w:val="1149" w:hRule="atLeast"/>
        </w:trPr>
        <w:tc>
          <w:tcPr>
            <w:tcW w:w="5000" w:type="pct"/>
            <w:gridSpan w:val="4"/>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sz w:val="24"/>
              </w:rPr>
            </w:pPr>
            <w:r>
              <w:rPr>
                <w:rFonts w:hint="eastAsia" w:ascii="仿宋" w:hAnsi="仿宋" w:eastAsia="仿宋" w:cs="仿宋"/>
                <w:sz w:val="24"/>
              </w:rPr>
              <w:t>镀锌喷塑后乘系数1.05</w:t>
            </w:r>
          </w:p>
        </w:tc>
      </w:tr>
    </w:tbl>
    <w:p>
      <w:pPr>
        <w:spacing w:line="360" w:lineRule="auto"/>
        <w:rPr>
          <w:rFonts w:ascii="仿宋" w:hAnsi="仿宋" w:eastAsia="仿宋" w:cs="仿宋"/>
          <w:sz w:val="28"/>
          <w:szCs w:val="28"/>
        </w:rPr>
      </w:pPr>
    </w:p>
    <w:p>
      <w:pPr>
        <w:widowControl/>
        <w:ind w:firstLine="560" w:firstLineChars="200"/>
        <w:rPr>
          <w:rFonts w:ascii="仿宋" w:hAnsi="仿宋" w:eastAsia="仿宋" w:cs="仿宋"/>
          <w:sz w:val="28"/>
          <w:szCs w:val="28"/>
        </w:rPr>
      </w:pPr>
      <w:r>
        <w:rPr>
          <w:rFonts w:hint="eastAsia" w:ascii="仿宋" w:hAnsi="仿宋" w:eastAsia="仿宋" w:cs="仿宋"/>
          <w:sz w:val="28"/>
          <w:szCs w:val="28"/>
        </w:rPr>
        <w:t>附件3： 灯杆尺寸公差表</w:t>
      </w:r>
    </w:p>
    <w:tbl>
      <w:tblPr>
        <w:tblStyle w:val="6"/>
        <w:tblW w:w="5000" w:type="pct"/>
        <w:tblInd w:w="0" w:type="dxa"/>
        <w:tblLayout w:type="autofit"/>
        <w:tblCellMar>
          <w:top w:w="0" w:type="dxa"/>
          <w:left w:w="108" w:type="dxa"/>
          <w:bottom w:w="0" w:type="dxa"/>
          <w:right w:w="108" w:type="dxa"/>
        </w:tblCellMar>
      </w:tblPr>
      <w:tblGrid>
        <w:gridCol w:w="1282"/>
        <w:gridCol w:w="2476"/>
        <w:gridCol w:w="4764"/>
      </w:tblGrid>
      <w:tr>
        <w:tblPrEx>
          <w:tblCellMar>
            <w:top w:w="0" w:type="dxa"/>
            <w:left w:w="108" w:type="dxa"/>
            <w:bottom w:w="0" w:type="dxa"/>
            <w:right w:w="108" w:type="dxa"/>
          </w:tblCellMar>
        </w:tblPrEx>
        <w:trPr>
          <w:trHeight w:val="391" w:hRule="atLeast"/>
        </w:trPr>
        <w:tc>
          <w:tcPr>
            <w:tcW w:w="5000" w:type="pct"/>
            <w:gridSpan w:val="3"/>
            <w:tcBorders>
              <w:top w:val="single" w:color="auto" w:sz="4" w:space="0"/>
              <w:left w:val="single" w:color="auto" w:sz="4" w:space="0"/>
              <w:bottom w:val="single" w:color="auto" w:sz="4" w:space="0"/>
              <w:right w:val="single" w:color="000000"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灯杆技术要求</w:t>
            </w:r>
          </w:p>
        </w:tc>
      </w:tr>
      <w:tr>
        <w:tblPrEx>
          <w:tblCellMar>
            <w:top w:w="0" w:type="dxa"/>
            <w:left w:w="108" w:type="dxa"/>
            <w:bottom w:w="0" w:type="dxa"/>
            <w:right w:w="108" w:type="dxa"/>
          </w:tblCellMar>
        </w:tblPrEx>
        <w:trPr>
          <w:trHeight w:val="391" w:hRule="atLeast"/>
        </w:trPr>
        <w:tc>
          <w:tcPr>
            <w:tcW w:w="752" w:type="pct"/>
            <w:tcBorders>
              <w:top w:val="nil"/>
              <w:left w:val="single" w:color="auto" w:sz="4" w:space="0"/>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序号</w:t>
            </w:r>
          </w:p>
        </w:tc>
        <w:tc>
          <w:tcPr>
            <w:tcW w:w="1453" w:type="pct"/>
            <w:tcBorders>
              <w:top w:val="nil"/>
              <w:left w:val="nil"/>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项目</w:t>
            </w:r>
          </w:p>
        </w:tc>
        <w:tc>
          <w:tcPr>
            <w:tcW w:w="2793" w:type="pct"/>
            <w:tcBorders>
              <w:top w:val="nil"/>
              <w:left w:val="nil"/>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允许公差</w:t>
            </w:r>
          </w:p>
        </w:tc>
      </w:tr>
      <w:tr>
        <w:tblPrEx>
          <w:tblCellMar>
            <w:top w:w="0" w:type="dxa"/>
            <w:left w:w="108" w:type="dxa"/>
            <w:bottom w:w="0" w:type="dxa"/>
            <w:right w:w="108" w:type="dxa"/>
          </w:tblCellMar>
        </w:tblPrEx>
        <w:trPr>
          <w:trHeight w:val="597" w:hRule="atLeast"/>
        </w:trPr>
        <w:tc>
          <w:tcPr>
            <w:tcW w:w="752" w:type="pct"/>
            <w:tcBorders>
              <w:top w:val="nil"/>
              <w:left w:val="single" w:color="auto" w:sz="4" w:space="0"/>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1</w:t>
            </w:r>
          </w:p>
        </w:tc>
        <w:tc>
          <w:tcPr>
            <w:tcW w:w="1453" w:type="pct"/>
            <w:tcBorders>
              <w:top w:val="nil"/>
              <w:left w:val="nil"/>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灯杆高度</w:t>
            </w:r>
          </w:p>
        </w:tc>
        <w:tc>
          <w:tcPr>
            <w:tcW w:w="2793" w:type="pct"/>
            <w:tcBorders>
              <w:top w:val="nil"/>
              <w:left w:val="nil"/>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±0.1%</w:t>
            </w:r>
          </w:p>
        </w:tc>
      </w:tr>
      <w:tr>
        <w:tblPrEx>
          <w:tblCellMar>
            <w:top w:w="0" w:type="dxa"/>
            <w:left w:w="108" w:type="dxa"/>
            <w:bottom w:w="0" w:type="dxa"/>
            <w:right w:w="108" w:type="dxa"/>
          </w:tblCellMar>
        </w:tblPrEx>
        <w:trPr>
          <w:trHeight w:val="475" w:hRule="atLeast"/>
        </w:trPr>
        <w:tc>
          <w:tcPr>
            <w:tcW w:w="752" w:type="pct"/>
            <w:tcBorders>
              <w:top w:val="nil"/>
              <w:left w:val="single" w:color="auto" w:sz="4" w:space="0"/>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2</w:t>
            </w:r>
          </w:p>
        </w:tc>
        <w:tc>
          <w:tcPr>
            <w:tcW w:w="1453" w:type="pct"/>
            <w:tcBorders>
              <w:top w:val="nil"/>
              <w:left w:val="nil"/>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挑臂长度</w:t>
            </w:r>
          </w:p>
        </w:tc>
        <w:tc>
          <w:tcPr>
            <w:tcW w:w="2793" w:type="pct"/>
            <w:tcBorders>
              <w:top w:val="nil"/>
              <w:left w:val="nil"/>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±0.1%</w:t>
            </w:r>
          </w:p>
        </w:tc>
      </w:tr>
      <w:tr>
        <w:tblPrEx>
          <w:tblCellMar>
            <w:top w:w="0" w:type="dxa"/>
            <w:left w:w="108" w:type="dxa"/>
            <w:bottom w:w="0" w:type="dxa"/>
            <w:right w:w="108" w:type="dxa"/>
          </w:tblCellMar>
        </w:tblPrEx>
        <w:trPr>
          <w:trHeight w:val="485" w:hRule="atLeast"/>
        </w:trPr>
        <w:tc>
          <w:tcPr>
            <w:tcW w:w="752" w:type="pct"/>
            <w:tcBorders>
              <w:top w:val="nil"/>
              <w:left w:val="single" w:color="auto" w:sz="4" w:space="0"/>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3</w:t>
            </w:r>
          </w:p>
        </w:tc>
        <w:tc>
          <w:tcPr>
            <w:tcW w:w="1453" w:type="pct"/>
            <w:tcBorders>
              <w:top w:val="nil"/>
              <w:left w:val="nil"/>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灯具仰角</w:t>
            </w:r>
          </w:p>
        </w:tc>
        <w:tc>
          <w:tcPr>
            <w:tcW w:w="2793" w:type="pct"/>
            <w:tcBorders>
              <w:top w:val="nil"/>
              <w:left w:val="nil"/>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±0.5°</w:t>
            </w:r>
          </w:p>
        </w:tc>
      </w:tr>
      <w:tr>
        <w:tblPrEx>
          <w:tblCellMar>
            <w:top w:w="0" w:type="dxa"/>
            <w:left w:w="108" w:type="dxa"/>
            <w:bottom w:w="0" w:type="dxa"/>
            <w:right w:w="108" w:type="dxa"/>
          </w:tblCellMar>
        </w:tblPrEx>
        <w:trPr>
          <w:trHeight w:val="563" w:hRule="atLeast"/>
        </w:trPr>
        <w:tc>
          <w:tcPr>
            <w:tcW w:w="752" w:type="pct"/>
            <w:tcBorders>
              <w:top w:val="nil"/>
              <w:left w:val="single" w:color="auto" w:sz="4" w:space="0"/>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4</w:t>
            </w:r>
          </w:p>
        </w:tc>
        <w:tc>
          <w:tcPr>
            <w:tcW w:w="1453" w:type="pct"/>
            <w:tcBorders>
              <w:top w:val="nil"/>
              <w:left w:val="nil"/>
              <w:bottom w:val="single" w:color="auto" w:sz="4" w:space="0"/>
              <w:right w:val="single" w:color="auto" w:sz="4" w:space="0"/>
            </w:tcBorders>
            <w:noWrap w:val="0"/>
            <w:vAlign w:val="center"/>
          </w:tcPr>
          <w:p>
            <w:pPr>
              <w:widowControl/>
              <w:jc w:val="center"/>
              <w:rPr>
                <w:rFonts w:hint="default" w:ascii="仿宋" w:hAnsi="仿宋" w:eastAsia="仿宋" w:cs="仿宋"/>
                <w:sz w:val="24"/>
                <w:lang w:val="en-US" w:eastAsia="zh-CN"/>
              </w:rPr>
            </w:pPr>
            <w:r>
              <w:rPr>
                <w:rFonts w:hint="eastAsia" w:ascii="仿宋" w:hAnsi="仿宋" w:eastAsia="仿宋" w:cs="仿宋"/>
                <w:sz w:val="24"/>
                <w:lang w:val="en-US" w:eastAsia="zh-CN"/>
              </w:rPr>
              <w:t>杆体宽度</w:t>
            </w:r>
          </w:p>
        </w:tc>
        <w:tc>
          <w:tcPr>
            <w:tcW w:w="2793" w:type="pct"/>
            <w:tcBorders>
              <w:top w:val="nil"/>
              <w:left w:val="nil"/>
              <w:bottom w:val="single" w:color="auto" w:sz="4" w:space="0"/>
              <w:right w:val="single" w:color="auto" w:sz="4" w:space="0"/>
            </w:tcBorders>
            <w:noWrap w:val="0"/>
            <w:vAlign w:val="center"/>
          </w:tcPr>
          <w:p>
            <w:pPr>
              <w:widowControl/>
              <w:jc w:val="center"/>
              <w:rPr>
                <w:rFonts w:ascii="仿宋" w:hAnsi="仿宋" w:eastAsia="仿宋" w:cs="仿宋"/>
                <w:sz w:val="24"/>
              </w:rPr>
            </w:pPr>
            <w:r>
              <w:rPr>
                <w:rFonts w:hint="eastAsia" w:ascii="仿宋" w:hAnsi="仿宋" w:eastAsia="仿宋" w:cs="仿宋"/>
                <w:sz w:val="24"/>
              </w:rPr>
              <w:t>±0.1%</w:t>
            </w:r>
          </w:p>
        </w:tc>
      </w:tr>
      <w:tr>
        <w:tblPrEx>
          <w:tblCellMar>
            <w:top w:w="0" w:type="dxa"/>
            <w:left w:w="108" w:type="dxa"/>
            <w:bottom w:w="0" w:type="dxa"/>
            <w:right w:w="108" w:type="dxa"/>
          </w:tblCellMar>
        </w:tblPrEx>
        <w:trPr>
          <w:trHeight w:val="1545" w:hRule="atLeast"/>
        </w:trPr>
        <w:tc>
          <w:tcPr>
            <w:tcW w:w="5000" w:type="pct"/>
            <w:gridSpan w:val="3"/>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仿宋" w:hAnsi="仿宋" w:eastAsia="仿宋" w:cs="仿宋"/>
                <w:sz w:val="24"/>
              </w:rPr>
            </w:pPr>
            <w:r>
              <w:rPr>
                <w:rFonts w:hint="eastAsia" w:ascii="仿宋" w:hAnsi="仿宋" w:eastAsia="仿宋" w:cs="仿宋"/>
                <w:sz w:val="24"/>
              </w:rPr>
              <w:t>要求说明：除上述公差要求外，其他未标注公差按GB/T1804-2000  m级标准执行，位置公差和安装公差按GB/T1804-2000  f级标准执行。钢板厚度公差按 GB/T 708-2006 标准执行</w:t>
            </w:r>
          </w:p>
        </w:tc>
      </w:tr>
    </w:tbl>
    <w:p>
      <w:pPr>
        <w:spacing w:line="360" w:lineRule="auto"/>
        <w:rPr>
          <w:rFonts w:hint="eastAsia" w:ascii="仿宋" w:hAnsi="仿宋" w:eastAsia="仿宋" w:cs="仿宋"/>
          <w:sz w:val="28"/>
          <w:szCs w:val="28"/>
        </w:rPr>
      </w:pPr>
    </w:p>
    <w:p>
      <w:pPr>
        <w:pStyle w:val="3"/>
        <w:spacing w:line="400" w:lineRule="exact"/>
        <w:ind w:left="199" w:leftChars="95" w:right="210"/>
        <w:rPr>
          <w:rFonts w:hint="eastAsia"/>
        </w:rPr>
      </w:pPr>
      <w:bookmarkStart w:id="14" w:name="_Toc92188465"/>
      <w:r>
        <w:t>四、灯杆的运输包装要求</w:t>
      </w:r>
      <w:r>
        <w:rPr>
          <w:rFonts w:hint="eastAsia"/>
        </w:rPr>
        <w:t>（附件4）</w:t>
      </w:r>
      <w:bookmarkEnd w:id="14"/>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1、基本设备及常用材料</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a.行车</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b.叉车</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c.各种规格的胶合板垫木</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d.带塑料保护套的钢丝绳、紧固拉钩套件、花兰螺丝、捆绑器、钢钉</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e.晴纶卷、橡胶板、稻草绳</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f.钢制打包带</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g.发泡塑料（喷塑杆专用）</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h.尼龙绳（用于替代目前喷塑杆包装中使用的草绳）</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i.胶合板配件箱</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j.木料切割机</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k.镀锌螺丝及螺母（用于小部件固定）</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2、杆体包装和装箱</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1）喷塑杆直杆打包标准</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单根杆打包，直杆底部约300mm长度及直杆顶部放垫木处约300mm长度先用发泡塑料包裹1层，后用稻草绳紧密绕一圈，最后整根用晴纶卷包裹1层。</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整体打包的基本原则是3*4（层和列根据车辆和灯杆的实际情况调整），推荐使用掉头打包，每包以12根为准。每层4根，掉头各放2根，第二层、第三层同样堆放。也可以使用单头打包方式，每层4根，第二层、第三层同样堆放。打包时，每层杆体之间在底板处和杆体之间的间隙需要用适当厚度的胶合板隔开。在打包处用晴纶卷包好，再用镀锌铁皮打包带来收紧、固定；捆装包装件每件长度小于或等于6m ，每捆捆扎道数不少于4道，长度大于6m 的捆装件，每件捆扎道数不少于5道，捆扎应整齐牢固。</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2）喷塑杆自弯杆的打包标准：</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单根杆打包，杆顶部约300mm长度，杆底部约300mm长度，起弯处约1m长度（起弯点上下各500mm），用发泡塑料先包裹1层，后用稻草绳紧密绕一圈，最后整根用晴纶卷包裹1层。</w:t>
      </w:r>
    </w:p>
    <w:p>
      <w:pPr>
        <w:spacing w:line="400" w:lineRule="exact"/>
        <w:ind w:left="424" w:leftChars="202" w:firstLine="560" w:firstLineChars="200"/>
        <w:rPr>
          <w:rFonts w:ascii="仿宋" w:hAnsi="仿宋" w:eastAsia="仿宋" w:cs="仿宋"/>
          <w:sz w:val="28"/>
          <w:szCs w:val="28"/>
        </w:rPr>
      </w:pPr>
      <w:r>
        <w:rPr>
          <w:rFonts w:hint="eastAsia" w:ascii="仿宋" w:hAnsi="仿宋" w:eastAsia="仿宋" w:cs="仿宋"/>
          <w:sz w:val="28"/>
          <w:szCs w:val="28"/>
        </w:rPr>
        <w:t>整体打包的基本原则是4*4（层和列根据车辆和灯杆的实际情况调整），单头   打包，每包以16根为准。每层4根，第二层、第三层同样堆放，打包时，每层杆体之间在底板处和杆体之间的间隙需要用适当厚度的胶合板隔开。在打包处用晴纶卷包好，再用镀锌铁皮打包带来收紧、固定，每包杆体杆体的打包数是根据杆体长度来决定：10米以下（包含10米）的打3道、12米以下（包含12米）的打4道，14米以下（包含14米）的打5道，依次类推。（参见下图）</w:t>
      </w:r>
    </w:p>
    <w:p>
      <w:pPr>
        <w:spacing w:line="360" w:lineRule="auto"/>
        <w:jc w:val="left"/>
        <w:rPr>
          <w:rFonts w:ascii="仿宋" w:hAnsi="仿宋" w:eastAsia="仿宋" w:cs="仿宋"/>
          <w:sz w:val="28"/>
          <w:szCs w:val="28"/>
        </w:rPr>
      </w:pPr>
      <w:r>
        <w:rPr>
          <w:rFonts w:ascii="仿宋" w:hAnsi="仿宋" w:eastAsia="仿宋" w:cs="仿宋"/>
          <w:sz w:val="28"/>
          <w:szCs w:val="28"/>
        </w:rPr>
        <w:drawing>
          <wp:inline distT="0" distB="0" distL="114300" distR="114300">
            <wp:extent cx="5486400" cy="3185795"/>
            <wp:effectExtent l="0" t="0" r="0" b="14605"/>
            <wp:docPr id="30" name="未知 30"/>
            <wp:cNvGraphicFramePr/>
            <a:graphic xmlns:a="http://schemas.openxmlformats.org/drawingml/2006/main">
              <a:graphicData uri="http://schemas.openxmlformats.org/drawingml/2006/lockedCanvas">
                <lc:lockedCanvas xmlns:lc="http://schemas.openxmlformats.org/drawingml/2006/lockedCanvas">
                  <a:nvGrpSpPr>
                    <a:cNvPr id="1" name="组合 0"/>
                    <a:cNvGrpSpPr/>
                  </a:nvGrpSpPr>
                  <a:grpSpPr>
                    <a:xfrm>
                      <a:off x="0" y="0"/>
                      <a:ext cx="9140825" cy="5308600"/>
                      <a:chOff x="0" y="0"/>
                      <a:chExt cx="9140825" cy="5308600"/>
                    </a:xfrm>
                  </a:grpSpPr>
                  <a:pic>
                    <a:nvPicPr>
                      <a:cNvPr id="1175" name="Picture 1"/>
                      <a:cNvPicPr>
                        <a:picLocks noChangeAspect="1" noChangeArrowheads="1"/>
                      </a:cNvPicPr>
                    </a:nvPicPr>
                    <a:blipFill>
                      <a:blip r:embed="rId10"/>
                      <a:srcRect l="-78" t="18164" r="2969" b="15352"/>
                      <a:stretch>
                        <a:fillRect/>
                      </a:stretch>
                    </a:blipFill>
                    <a:spPr bwMode="auto">
                      <a:xfrm>
                        <a:off x="0" y="0"/>
                        <a:ext cx="9140825" cy="5308600"/>
                      </a:xfrm>
                      <a:prstGeom prst="rect">
                        <a:avLst/>
                      </a:prstGeom>
                      <a:noFill/>
                      <a:ln w="1">
                        <a:noFill/>
                        <a:miter lim="800000"/>
                        <a:headEnd/>
                        <a:tailEnd/>
                      </a:ln>
                    </a:spPr>
                  </a:pic>
                  <a:sp>
                    <a:nvSpPr>
                      <a:cNvPr id="1176" name="Rectangle 74"/>
                      <a:cNvSpPr>
                        <a:spLocks noChangeArrowheads="1"/>
                      </a:cNvSpPr>
                    </a:nvSpPr>
                    <a:spPr bwMode="auto">
                      <a:xfrm>
                        <a:off x="5054600" y="1235075"/>
                        <a:ext cx="454025" cy="2667000"/>
                      </a:xfrm>
                      <a:prstGeom prst="rect">
                        <a:avLst/>
                      </a:prstGeom>
                      <a:noFill/>
                      <a:ln w="28575">
                        <a:solidFill>
                          <a:srgbClr val="FF0000"/>
                        </a:solidFill>
                        <a:miter lim="800000"/>
                      </a:ln>
                    </a:spPr>
                  </a:sp>
                  <a:sp>
                    <a:nvSpPr>
                      <a:cNvPr id="1177" name="Rectangle 75"/>
                      <a:cNvSpPr>
                        <a:spLocks noChangeArrowheads="1"/>
                      </a:cNvSpPr>
                    </a:nvSpPr>
                    <a:spPr bwMode="auto">
                      <a:xfrm>
                        <a:off x="266700" y="0"/>
                        <a:ext cx="996950" cy="3425825"/>
                      </a:xfrm>
                      <a:prstGeom prst="rect">
                        <a:avLst/>
                      </a:prstGeom>
                      <a:noFill/>
                      <a:ln w="28575">
                        <a:solidFill>
                          <a:srgbClr val="FF0000"/>
                        </a:solidFill>
                        <a:miter lim="800000"/>
                      </a:ln>
                    </a:spPr>
                  </a:sp>
                </lc:lockedCanvas>
              </a:graphicData>
            </a:graphic>
          </wp:inline>
        </w:drawing>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3）装车及固定</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⑴首先是检查运输工具或容器的完好性；将集车内清理干净、确定工具或容器完好后方可开始装货。发运前确认待发货物的质量完好、外观清洁、管内无异物。</w:t>
      </w:r>
    </w:p>
    <w:p>
      <w:pPr>
        <w:spacing w:line="400" w:lineRule="exact"/>
        <w:ind w:left="424" w:leftChars="202" w:firstLine="560" w:firstLineChars="200"/>
        <w:rPr>
          <w:rFonts w:ascii="仿宋" w:hAnsi="仿宋" w:eastAsia="仿宋" w:cs="仿宋"/>
          <w:sz w:val="28"/>
          <w:szCs w:val="28"/>
        </w:rPr>
      </w:pPr>
      <w:r>
        <w:rPr>
          <w:rFonts w:hint="eastAsia" w:ascii="仿宋" w:hAnsi="仿宋" w:eastAsia="仿宋" w:cs="仿宋"/>
          <w:sz w:val="28"/>
          <w:szCs w:val="28"/>
        </w:rPr>
        <w:t>⑵在车底部将方形垫木、捆绑器和带塑料保护套的钢丝绳依次排列好。各材料的使用数量及放置位置：按长度方向上每排杆段两个；垫木垫在距离杆子端口约2.0～3.0米处，捆绑器和钢丝绳根据实际情况调整错开到相应的位置（参考下图）。</w:t>
      </w:r>
    </w:p>
    <w:p>
      <w:pPr>
        <w:spacing w:line="360" w:lineRule="auto"/>
        <w:ind w:left="424" w:leftChars="202" w:firstLine="560" w:firstLineChars="200"/>
        <w:jc w:val="left"/>
        <w:rPr>
          <w:rFonts w:ascii="仿宋" w:hAnsi="仿宋" w:eastAsia="仿宋" w:cs="仿宋"/>
          <w:sz w:val="28"/>
          <w:szCs w:val="28"/>
        </w:rPr>
      </w:pPr>
      <w:r>
        <w:rPr>
          <w:rFonts w:ascii="仿宋" w:hAnsi="仿宋" w:eastAsia="仿宋" w:cs="仿宋"/>
          <w:sz w:val="28"/>
          <w:szCs w:val="28"/>
        </w:rPr>
        <w:drawing>
          <wp:inline distT="0" distB="0" distL="114300" distR="114300">
            <wp:extent cx="4624705" cy="3074035"/>
            <wp:effectExtent l="0" t="0" r="4445" b="12065"/>
            <wp:docPr id="24" name="图片 26"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6" descr="3"/>
                    <pic:cNvPicPr>
                      <a:picLocks noChangeAspect="1"/>
                    </pic:cNvPicPr>
                  </pic:nvPicPr>
                  <pic:blipFill>
                    <a:blip r:embed="rId11"/>
                    <a:stretch>
                      <a:fillRect/>
                    </a:stretch>
                  </pic:blipFill>
                  <pic:spPr>
                    <a:xfrm>
                      <a:off x="0" y="0"/>
                      <a:ext cx="4624705" cy="3074035"/>
                    </a:xfrm>
                    <a:prstGeom prst="rect">
                      <a:avLst/>
                    </a:prstGeom>
                    <a:noFill/>
                    <a:ln>
                      <a:noFill/>
                    </a:ln>
                  </pic:spPr>
                </pic:pic>
              </a:graphicData>
            </a:graphic>
          </wp:inline>
        </w:drawing>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3 卸杆</w:t>
      </w:r>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根据杆体长度预先放置3处泡沫块，灯杆卸下后放置于泡沫块上，不能与地面直接接触。</w:t>
      </w:r>
    </w:p>
    <w:p>
      <w:pPr>
        <w:pStyle w:val="3"/>
        <w:spacing w:line="400" w:lineRule="exact"/>
        <w:ind w:left="199" w:leftChars="95" w:right="210" w:firstLine="562" w:firstLineChars="200"/>
      </w:pPr>
      <w:bookmarkStart w:id="15" w:name="_Toc92188466"/>
      <w:r>
        <w:rPr>
          <w:rFonts w:hint="eastAsia"/>
        </w:rPr>
        <w:t>五</w:t>
      </w:r>
      <w:r>
        <w:t>、灯杆的检测要求</w:t>
      </w:r>
      <w:bookmarkEnd w:id="15"/>
    </w:p>
    <w:p>
      <w:p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1、投标时投标单位须提供所投防涂鸦抗粘贴涂料由具有省级以上的检测资质的检测机构（建议由国家建筑材料测试中心出具）出具的合格的技术参数检测报告复印件（投标时携带原件以核查，否则视为无效投标），检测报告必须包含：防涂鸦抗粘贴涂料的基本参数，物理性能，有害物质含量等内容，必须满足技术文件相关指标要求。中标供货后，招标人将随机抽取一次涂料产品进行送检，检测费用由中标人承担，检测要求需满足技术文件的要求。</w:t>
      </w:r>
    </w:p>
    <w:p>
      <w:pPr>
        <w:numPr>
          <w:ilvl w:val="0"/>
          <w:numId w:val="1"/>
        </w:num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灯杆尺寸需符合附件1、附件2要求。</w:t>
      </w:r>
    </w:p>
    <w:p>
      <w:pPr>
        <w:numPr>
          <w:ilvl w:val="0"/>
          <w:numId w:val="1"/>
        </w:numPr>
        <w:spacing w:line="400" w:lineRule="exact"/>
        <w:ind w:left="424" w:leftChars="202" w:firstLine="560" w:firstLineChars="200"/>
        <w:rPr>
          <w:rFonts w:hint="eastAsia" w:ascii="仿宋" w:hAnsi="仿宋" w:eastAsia="仿宋" w:cs="仿宋"/>
          <w:sz w:val="28"/>
          <w:szCs w:val="28"/>
        </w:rPr>
      </w:pPr>
      <w:r>
        <w:rPr>
          <w:rFonts w:hint="eastAsia" w:ascii="仿宋" w:hAnsi="仿宋" w:eastAsia="仿宋" w:cs="仿宋"/>
          <w:sz w:val="28"/>
          <w:szCs w:val="28"/>
        </w:rPr>
        <w:t>灯杆材质及壁厚需符合技术文件要求。</w:t>
      </w:r>
    </w:p>
    <w:p>
      <w:pPr>
        <w:numPr>
          <w:ilvl w:val="0"/>
          <w:numId w:val="1"/>
        </w:numPr>
        <w:spacing w:line="400" w:lineRule="exact"/>
        <w:ind w:left="424" w:leftChars="202" w:firstLine="560" w:firstLineChars="200"/>
        <w:rPr>
          <w:rFonts w:ascii="仿宋" w:hAnsi="仿宋" w:eastAsia="仿宋" w:cs="仿宋"/>
          <w:sz w:val="28"/>
          <w:szCs w:val="28"/>
        </w:rPr>
      </w:pPr>
      <w:r>
        <w:rPr>
          <w:rFonts w:hint="eastAsia" w:ascii="仿宋" w:hAnsi="仿宋" w:eastAsia="仿宋" w:cs="仿宋"/>
          <w:sz w:val="28"/>
          <w:szCs w:val="28"/>
        </w:rPr>
        <w:t>灯杆的镀锌及喷塑需符合技术文件要求。</w:t>
      </w:r>
    </w:p>
    <w:p>
      <w:pPr>
        <w:numPr>
          <w:ilvl w:val="0"/>
          <w:numId w:val="1"/>
        </w:numPr>
        <w:spacing w:line="400" w:lineRule="exact"/>
        <w:ind w:left="424" w:leftChars="202" w:firstLine="560" w:firstLineChars="200"/>
        <w:rPr>
          <w:rFonts w:ascii="仿宋" w:hAnsi="仿宋" w:eastAsia="仿宋" w:cs="仿宋"/>
          <w:sz w:val="28"/>
          <w:szCs w:val="28"/>
        </w:rPr>
      </w:pPr>
      <w:r>
        <w:rPr>
          <w:rFonts w:hint="eastAsia" w:ascii="仿宋" w:hAnsi="仿宋" w:eastAsia="仿宋" w:cs="仿宋"/>
          <w:sz w:val="28"/>
          <w:szCs w:val="28"/>
        </w:rPr>
        <w:t>灯杆需符合CJ/T527-2018《道路照明灯杆技术条件》要求。</w:t>
      </w:r>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hint="eastAsia"/>
      </w:rPr>
    </w:pPr>
    <w:r>
      <mc:AlternateContent>
        <mc:Choice Requires="wps">
          <w:drawing>
            <wp:anchor distT="0" distB="0" distL="114300" distR="114300" simplePos="0" relativeHeight="251660288" behindDoc="0" locked="0" layoutInCell="1" allowOverlap="1">
              <wp:simplePos x="0" y="0"/>
              <wp:positionH relativeFrom="margin">
                <wp:align>inside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jc w:val="center"/>
                          </w:pPr>
                          <w:r>
                            <w:fldChar w:fldCharType="begin"/>
                          </w:r>
                          <w:r>
                            <w:instrText xml:space="preserve">PAGE  </w:instrText>
                          </w:r>
                          <w:r>
                            <w:fldChar w:fldCharType="separate"/>
                          </w:r>
                          <w:r>
                            <w:t>66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DafIfXTAQAApQMAAA4AAAAAAAAAAQAgAAAA&#10;IgEAAGRycy9lMm9Eb2MueG1sUEsFBgAAAAAGAAYAWQEAAGcFAAAAAA==&#10;">
              <v:fill on="f" focussize="0,0"/>
              <v:stroke on="f" weight="1.25pt"/>
              <v:imagedata o:title=""/>
              <o:lock v:ext="edit" aspectratio="f"/>
              <v:textbox inset="0mm,0mm,0mm,0mm" style="mso-fit-shape-to-text:t;">
                <w:txbxContent>
                  <w:p>
                    <w:pPr>
                      <w:jc w:val="center"/>
                    </w:pPr>
                    <w:r>
                      <w:fldChar w:fldCharType="begin"/>
                    </w:r>
                    <w:r>
                      <w:instrText xml:space="preserve">PAGE  </w:instrText>
                    </w:r>
                    <w:r>
                      <w:fldChar w:fldCharType="separate"/>
                    </w:r>
                    <w:r>
                      <w:t>66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left="2100" w:hanging="42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1E3C6E"/>
    <w:multiLevelType w:val="singleLevel"/>
    <w:tmpl w:val="E11E3C6E"/>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xYWIzZTk5ZDY3MTFiYjEzNmNmY2IyYzMyMjMwYTEifQ=="/>
  </w:docVars>
  <w:rsids>
    <w:rsidRoot w:val="00000000"/>
    <w:rsid w:val="03C03826"/>
    <w:rsid w:val="07CC09EB"/>
    <w:rsid w:val="1A5F2FF9"/>
    <w:rsid w:val="1D352737"/>
    <w:rsid w:val="323859EF"/>
    <w:rsid w:val="37881852"/>
    <w:rsid w:val="447E3548"/>
    <w:rsid w:val="4C771B75"/>
    <w:rsid w:val="53D355AF"/>
    <w:rsid w:val="5A241975"/>
    <w:rsid w:val="5A726FC0"/>
    <w:rsid w:val="5B325134"/>
    <w:rsid w:val="5CDC1CAC"/>
    <w:rsid w:val="5D63611F"/>
    <w:rsid w:val="714F444D"/>
    <w:rsid w:val="787259C9"/>
    <w:rsid w:val="7F4224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99"/>
    <w:pPr>
      <w:keepNext/>
      <w:keepLines/>
      <w:spacing w:before="260" w:beforeLines="0" w:after="260" w:afterLines="0" w:line="415" w:lineRule="auto"/>
      <w:outlineLvl w:val="1"/>
    </w:pPr>
    <w:rPr>
      <w:rFonts w:ascii="Arial" w:hAnsi="Arial" w:eastAsia="黑体"/>
      <w:b/>
      <w:bCs/>
      <w:sz w:val="32"/>
      <w:szCs w:val="32"/>
    </w:rPr>
  </w:style>
  <w:style w:type="paragraph" w:styleId="3">
    <w:name w:val="heading 3"/>
    <w:basedOn w:val="1"/>
    <w:next w:val="1"/>
    <w:qFormat/>
    <w:uiPriority w:val="0"/>
    <w:pPr>
      <w:keepNext/>
      <w:keepLines/>
      <w:spacing w:before="20" w:after="20" w:line="360" w:lineRule="auto"/>
      <w:ind w:left="200" w:leftChars="200" w:right="100" w:rightChars="100"/>
      <w:jc w:val="left"/>
      <w:outlineLvl w:val="2"/>
    </w:pPr>
    <w:rPr>
      <w:rFonts w:hAnsi="黑体" w:eastAsia="黑体"/>
      <w:b/>
      <w:sz w:val="28"/>
      <w:szCs w:val="20"/>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20"/>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3822</Words>
  <Characters>4424</Characters>
  <Lines>0</Lines>
  <Paragraphs>0</Paragraphs>
  <TotalTime>2</TotalTime>
  <ScaleCrop>false</ScaleCrop>
  <LinksUpToDate>false</LinksUpToDate>
  <CharactersWithSpaces>4525</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2022-09-21T09:02:00Z</dcterms:created>
  <dc:creator>Administrator</dc:creator>
  <cp:lastModifiedBy>Administrator</cp:lastModifiedBy>
  <cp:lastPrinted>2022-10-12T02:43:12Z</cp:lastPrinted>
  <dcterms:modified xsi:type="dcterms:W3CDTF">2022-10-13T06:57:47Z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E8672C057D0E43328B75059F9948E29D</vt:lpwstr>
  </property>
</Properties>
</file>