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line="500" w:lineRule="exact"/>
        <w:contextualSpacing/>
        <w:jc w:val="center"/>
        <w:rPr>
          <w:rFonts w:asciiTheme="minorEastAsia" w:hAnsiTheme="minorEastAsia" w:eastAsiaTheme="minorEastAsia"/>
          <w:b/>
          <w:sz w:val="24"/>
          <w:szCs w:val="24"/>
        </w:rPr>
      </w:pPr>
      <w:r>
        <w:rPr>
          <w:rFonts w:hint="eastAsia" w:asciiTheme="minorEastAsia" w:hAnsiTheme="minorEastAsia" w:eastAsiaTheme="minorEastAsia"/>
          <w:b/>
          <w:color w:val="000000"/>
          <w:sz w:val="24"/>
          <w:szCs w:val="24"/>
        </w:rPr>
        <w:t>煅烧、焙烧烟气连续监测系统运营服务协议</w:t>
      </w:r>
    </w:p>
    <w:p>
      <w:pPr>
        <w:pStyle w:val="3"/>
        <w:spacing w:before="100" w:beforeAutospacing="1" w:after="100" w:afterAutospacing="1" w:line="500" w:lineRule="exact"/>
        <w:contextualSpacing/>
        <w:rPr>
          <w:rFonts w:asciiTheme="minorEastAsia" w:hAnsiTheme="minorEastAsia" w:eastAsiaTheme="minorEastAsia"/>
          <w:color w:val="000000"/>
          <w:szCs w:val="24"/>
        </w:rPr>
      </w:pPr>
      <w:r>
        <w:rPr>
          <w:rFonts w:hint="eastAsia" w:asciiTheme="minorEastAsia" w:hAnsiTheme="minorEastAsia" w:eastAsiaTheme="minorEastAsia"/>
          <w:color w:val="000000"/>
          <w:szCs w:val="24"/>
        </w:rPr>
        <w:t xml:space="preserve">订立合同双方：                                   </w:t>
      </w:r>
    </w:p>
    <w:p>
      <w:pPr>
        <w:autoSpaceDE w:val="0"/>
        <w:autoSpaceDN w:val="0"/>
        <w:snapToGrid/>
        <w:spacing w:line="500" w:lineRule="exact"/>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xml:space="preserve">甲方（全称）：内蒙古霍煤通顺碳素有限责任公司                          </w:t>
      </w:r>
    </w:p>
    <w:p>
      <w:pPr>
        <w:autoSpaceDE w:val="0"/>
        <w:autoSpaceDN w:val="0"/>
        <w:snapToGrid/>
        <w:spacing w:line="500" w:lineRule="exact"/>
        <w:contextualSpacing/>
        <w:rPr>
          <w:rFonts w:asciiTheme="minorEastAsia" w:hAnsiTheme="minorEastAsia" w:eastAsiaTheme="minorEastAsia"/>
          <w:color w:val="000000"/>
          <w:sz w:val="24"/>
          <w:szCs w:val="24"/>
          <w:u w:val="single"/>
        </w:rPr>
      </w:pPr>
      <w:r>
        <w:rPr>
          <w:rFonts w:hint="eastAsia" w:asciiTheme="minorEastAsia" w:hAnsiTheme="minorEastAsia" w:eastAsiaTheme="minorEastAsia"/>
          <w:color w:val="000000"/>
          <w:sz w:val="24"/>
          <w:szCs w:val="24"/>
        </w:rPr>
        <w:t>乙方（全称）：</w:t>
      </w:r>
      <w:r>
        <w:rPr>
          <w:rFonts w:hint="eastAsia" w:asciiTheme="minorEastAsia" w:hAnsiTheme="minorEastAsia" w:eastAsiaTheme="minorEastAsia"/>
          <w:color w:val="000000"/>
          <w:sz w:val="24"/>
          <w:szCs w:val="24"/>
          <w:u w:val="single"/>
        </w:rPr>
        <w:t xml:space="preserve">                           </w:t>
      </w:r>
    </w:p>
    <w:p>
      <w:pPr>
        <w:spacing w:line="420" w:lineRule="exact"/>
        <w:ind w:firstLine="600" w:firstLineChars="250"/>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为保证污染源自动监控设施正常运行，根据《污染源自动监控管理办法（原环保总局令28号）》和《污染源自动监控设施运行管理办法》等法规规定，经甲、乙双方共同协商，就甲方委托乙方对污染源烟气自动监控设施运行维护事宜，达成以下条款。 </w:t>
      </w:r>
    </w:p>
    <w:p>
      <w:pPr>
        <w:autoSpaceDE w:val="0"/>
        <w:autoSpaceDN w:val="0"/>
        <w:snapToGrid/>
        <w:spacing w:line="500" w:lineRule="exact"/>
        <w:contextualSpacing/>
        <w:rPr>
          <w:rFonts w:asciiTheme="minorEastAsia" w:hAnsiTheme="minorEastAsia" w:eastAsiaTheme="minorEastAsia"/>
          <w:b/>
          <w:color w:val="000000"/>
          <w:sz w:val="24"/>
          <w:szCs w:val="24"/>
        </w:rPr>
      </w:pPr>
      <w:r>
        <w:rPr>
          <w:rFonts w:hint="eastAsia" w:asciiTheme="minorEastAsia" w:hAnsiTheme="minorEastAsia" w:eastAsiaTheme="minorEastAsia"/>
          <w:b/>
          <w:color w:val="000000"/>
          <w:sz w:val="24"/>
          <w:szCs w:val="24"/>
        </w:rPr>
        <w:t>一、合同标的、数量、价款及期限</w:t>
      </w:r>
    </w:p>
    <w:p>
      <w:pPr>
        <w:autoSpaceDE w:val="0"/>
        <w:autoSpaceDN w:val="0"/>
        <w:snapToGrid/>
        <w:spacing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 合同履行地点：内蒙古霍煤通顺碳素有限责任公司厂内</w:t>
      </w:r>
    </w:p>
    <w:p>
      <w:pPr>
        <w:autoSpaceDE w:val="0"/>
        <w:autoSpaceDN w:val="0"/>
        <w:snapToGrid/>
        <w:spacing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xml:space="preserve">2、 </w:t>
      </w:r>
      <w:r>
        <w:rPr>
          <w:rFonts w:hint="eastAsia" w:asciiTheme="minorEastAsia" w:hAnsiTheme="minorEastAsia" w:eastAsiaTheme="minorEastAsia"/>
          <w:sz w:val="24"/>
          <w:szCs w:val="24"/>
        </w:rPr>
        <w:t>协议范围：对甲方煅烧（1#）、焙烧（3#）烟气进行监控，内容包括颗粒物、二氧化硫、氮氧化物以及烟气流量、温度、湿度、氧含量、压力及流速，并提供连续监测系统的运营服务工作。</w:t>
      </w:r>
    </w:p>
    <w:p>
      <w:pPr>
        <w:autoSpaceDE w:val="0"/>
        <w:autoSpaceDN w:val="0"/>
        <w:snapToGrid/>
        <w:spacing w:line="500" w:lineRule="exact"/>
        <w:ind w:firstLine="480" w:firstLineChars="200"/>
        <w:contextualSpacing/>
        <w:rPr>
          <w:rFonts w:asciiTheme="minorEastAsia" w:hAnsiTheme="minorEastAsia" w:eastAsiaTheme="minorEastAsia"/>
          <w:color w:val="000000"/>
          <w:sz w:val="24"/>
          <w:szCs w:val="24"/>
        </w:rPr>
      </w:pPr>
      <w:bookmarkStart w:id="0" w:name="_Toc458720234"/>
      <w:bookmarkStart w:id="1" w:name="_Toc447706719"/>
      <w:bookmarkStart w:id="2" w:name="_Toc265069024"/>
      <w:bookmarkStart w:id="3" w:name="_Toc263171556"/>
      <w:bookmarkStart w:id="4" w:name="_Toc263171090"/>
      <w:bookmarkStart w:id="5" w:name="_Toc263238374"/>
      <w:r>
        <w:rPr>
          <w:rFonts w:hint="eastAsia" w:asciiTheme="minorEastAsia" w:hAnsiTheme="minorEastAsia" w:eastAsiaTheme="minorEastAsia"/>
          <w:color w:val="000000"/>
          <w:sz w:val="24"/>
          <w:szCs w:val="24"/>
        </w:rPr>
        <w:t>3、运行维护期限</w:t>
      </w:r>
      <w:bookmarkEnd w:id="0"/>
      <w:bookmarkEnd w:id="1"/>
      <w:r>
        <w:rPr>
          <w:rFonts w:hint="eastAsia" w:asciiTheme="minorEastAsia" w:hAnsiTheme="minorEastAsia" w:eastAsiaTheme="minorEastAsia"/>
          <w:color w:val="000000"/>
          <w:sz w:val="24"/>
          <w:szCs w:val="24"/>
        </w:rPr>
        <w:t>：双方同意本合同的有效期为</w:t>
      </w:r>
      <w:r>
        <w:rPr>
          <w:rFonts w:asciiTheme="minorEastAsia" w:hAnsiTheme="minorEastAsia" w:eastAsiaTheme="minorEastAsia"/>
          <w:color w:val="000000"/>
          <w:sz w:val="24"/>
          <w:szCs w:val="24"/>
        </w:rPr>
        <w:t>3</w:t>
      </w:r>
      <w:r>
        <w:rPr>
          <w:rFonts w:hint="eastAsia" w:asciiTheme="minorEastAsia" w:hAnsiTheme="minorEastAsia" w:eastAsiaTheme="minorEastAsia"/>
          <w:color w:val="000000"/>
          <w:sz w:val="24"/>
          <w:szCs w:val="24"/>
        </w:rPr>
        <w:t>年。</w:t>
      </w:r>
      <w:r>
        <w:rPr>
          <w:rFonts w:asciiTheme="minorEastAsia" w:hAnsiTheme="minorEastAsia" w:eastAsiaTheme="minorEastAsia"/>
          <w:color w:val="000000"/>
          <w:sz w:val="24"/>
          <w:szCs w:val="24"/>
        </w:rPr>
        <w:t xml:space="preserve"> </w:t>
      </w:r>
    </w:p>
    <w:p>
      <w:pPr>
        <w:snapToGrid/>
        <w:spacing w:line="500" w:lineRule="exact"/>
        <w:ind w:firstLine="480" w:firstLineChars="200"/>
        <w:contextualSpacing/>
        <w:rPr>
          <w:rFonts w:asciiTheme="minorEastAsia" w:hAnsiTheme="minorEastAsia" w:eastAsiaTheme="minorEastAsia"/>
          <w:sz w:val="24"/>
          <w:szCs w:val="24"/>
        </w:rPr>
      </w:pPr>
      <w:bookmarkStart w:id="6" w:name="_Toc271218886"/>
      <w:bookmarkStart w:id="7" w:name="_Toc287517055"/>
      <w:bookmarkStart w:id="8" w:name="_Toc271218349"/>
      <w:bookmarkStart w:id="9" w:name="_Toc287472263"/>
      <w:bookmarkStart w:id="10" w:name="_Toc293478722"/>
      <w:r>
        <w:rPr>
          <w:rFonts w:hint="eastAsia" w:asciiTheme="minorEastAsia" w:hAnsiTheme="minorEastAsia" w:eastAsiaTheme="minorEastAsia"/>
          <w:sz w:val="24"/>
          <w:szCs w:val="24"/>
        </w:rPr>
        <w:t>运行维护起始日期：煅烧1#监控点烟气</w:t>
      </w:r>
      <w:bookmarkStart w:id="11" w:name="_GoBack"/>
      <w:r>
        <w:rPr>
          <w:rFonts w:hint="eastAsia" w:asciiTheme="minorEastAsia" w:hAnsiTheme="minorEastAsia" w:eastAsiaTheme="minorEastAsia"/>
          <w:sz w:val="24"/>
          <w:szCs w:val="24"/>
          <w:highlight w:val="none"/>
        </w:rPr>
        <w:t>连续监测系统</w:t>
      </w:r>
      <w:bookmarkEnd w:id="2"/>
      <w:bookmarkEnd w:id="3"/>
      <w:bookmarkEnd w:id="4"/>
      <w:bookmarkEnd w:id="5"/>
      <w:bookmarkEnd w:id="6"/>
      <w:bookmarkEnd w:id="7"/>
      <w:bookmarkEnd w:id="8"/>
      <w:bookmarkEnd w:id="9"/>
      <w:bookmarkEnd w:id="10"/>
      <w:r>
        <w:rPr>
          <w:rFonts w:hint="eastAsia" w:asciiTheme="minorEastAsia" w:hAnsiTheme="minorEastAsia" w:eastAsiaTheme="minorEastAsia"/>
          <w:sz w:val="24"/>
          <w:szCs w:val="24"/>
          <w:highlight w:val="none"/>
          <w:lang w:eastAsia="zh-CN"/>
        </w:rPr>
        <w:t>签订合同之日起</w:t>
      </w:r>
      <w:r>
        <w:rPr>
          <w:rFonts w:hint="eastAsia" w:asciiTheme="minorEastAsia" w:hAnsiTheme="minorEastAsia" w:eastAsiaTheme="minorEastAsia"/>
          <w:sz w:val="24"/>
          <w:szCs w:val="24"/>
          <w:highlight w:val="none"/>
        </w:rPr>
        <w:t>至2025年</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eastAsiaTheme="minorEastAsia"/>
          <w:sz w:val="24"/>
          <w:szCs w:val="24"/>
          <w:highlight w:val="none"/>
        </w:rPr>
        <w:t>日，焙烧3#监控点烟气连续监测系统</w:t>
      </w:r>
      <w:r>
        <w:rPr>
          <w:rFonts w:hint="eastAsia" w:asciiTheme="minorEastAsia" w:hAnsiTheme="minorEastAsia" w:eastAsiaTheme="minorEastAsia"/>
          <w:sz w:val="24"/>
          <w:szCs w:val="24"/>
          <w:highlight w:val="none"/>
          <w:lang w:eastAsia="zh-CN"/>
        </w:rPr>
        <w:t>自</w:t>
      </w:r>
      <w:r>
        <w:rPr>
          <w:rFonts w:hint="eastAsia" w:asciiTheme="minorEastAsia" w:hAnsiTheme="minorEastAsia" w:eastAsiaTheme="minorEastAsia"/>
          <w:sz w:val="24"/>
          <w:szCs w:val="24"/>
          <w:highlight w:val="none"/>
        </w:rPr>
        <w:t>2023年</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eastAsiaTheme="minorEastAsia"/>
          <w:sz w:val="24"/>
          <w:szCs w:val="24"/>
          <w:highlight w:val="none"/>
        </w:rPr>
        <w:t>日至2025年</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eastAsiaTheme="minorEastAsia"/>
          <w:sz w:val="24"/>
          <w:szCs w:val="24"/>
          <w:highlight w:val="none"/>
        </w:rPr>
        <w:t>日。</w:t>
      </w:r>
      <w:bookmarkEnd w:id="11"/>
    </w:p>
    <w:p>
      <w:pPr>
        <w:autoSpaceDE w:val="0"/>
        <w:autoSpaceDN w:val="0"/>
        <w:snapToGrid/>
        <w:spacing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4、 按本合同规定的内容，乙方完成本合同中规定的责任和义务，合同价格为：</w:t>
      </w:r>
    </w:p>
    <w:p>
      <w:pPr>
        <w:autoSpaceDE w:val="0"/>
        <w:autoSpaceDN w:val="0"/>
        <w:snapToGrid/>
        <w:spacing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每单位系统季度运维费</w:t>
      </w:r>
      <w:r>
        <w:rPr>
          <w:rFonts w:hint="eastAsia" w:asciiTheme="minorEastAsia" w:hAnsiTheme="minorEastAsia" w:eastAsiaTheme="minorEastAsia"/>
          <w:color w:val="000000"/>
          <w:sz w:val="24"/>
          <w:szCs w:val="24"/>
          <w:lang w:eastAsia="zh-CN"/>
        </w:rPr>
        <w:t>（含税）</w:t>
      </w:r>
      <w:r>
        <w:rPr>
          <w:rFonts w:hint="eastAsia"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u w:val="single"/>
        </w:rPr>
        <w:t xml:space="preserve">￥    </w:t>
      </w:r>
      <w:r>
        <w:rPr>
          <w:rFonts w:hint="eastAsia" w:asciiTheme="minorEastAsia" w:hAnsiTheme="minorEastAsia" w:eastAsiaTheme="minorEastAsia"/>
          <w:color w:val="000000"/>
          <w:sz w:val="24"/>
          <w:szCs w:val="24"/>
        </w:rPr>
        <w:t>元。</w:t>
      </w:r>
    </w:p>
    <w:p>
      <w:pPr>
        <w:autoSpaceDE w:val="0"/>
        <w:autoSpaceDN w:val="0"/>
        <w:snapToGrid/>
        <w:spacing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年总运维费</w:t>
      </w:r>
      <w:r>
        <w:rPr>
          <w:rFonts w:hint="eastAsia" w:asciiTheme="minorEastAsia" w:hAnsiTheme="minorEastAsia" w:eastAsiaTheme="minorEastAsia"/>
          <w:color w:val="000000"/>
          <w:sz w:val="24"/>
          <w:szCs w:val="24"/>
          <w:lang w:eastAsia="zh-CN"/>
        </w:rPr>
        <w:t>（含税）人民币（大写）：</w:t>
      </w:r>
      <w:r>
        <w:rPr>
          <w:rFonts w:hint="eastAsia" w:asciiTheme="minorEastAsia" w:hAnsiTheme="minorEastAsia" w:eastAsiaTheme="minorEastAsia"/>
          <w:color w:val="000000"/>
          <w:sz w:val="24"/>
          <w:szCs w:val="24"/>
          <w:u w:val="single"/>
          <w:lang w:val="en-US" w:eastAsia="zh-CN"/>
        </w:rPr>
        <w:t xml:space="preserve">               </w:t>
      </w:r>
      <w:r>
        <w:rPr>
          <w:rFonts w:hint="eastAsia" w:asciiTheme="minorEastAsia" w:hAnsiTheme="minorEastAsia" w:eastAsiaTheme="minorEastAsia"/>
          <w:color w:val="000000"/>
          <w:sz w:val="24"/>
          <w:szCs w:val="24"/>
          <w:u w:val="none"/>
          <w:lang w:val="en-US" w:eastAsia="zh-CN"/>
        </w:rPr>
        <w:t>，</w:t>
      </w:r>
      <w:r>
        <w:rPr>
          <w:rFonts w:hint="eastAsia"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u w:val="none"/>
        </w:rPr>
        <w:t xml:space="preserve"> ￥</w:t>
      </w:r>
      <w:r>
        <w:rPr>
          <w:rFonts w:hint="eastAsia" w:asciiTheme="minorEastAsia" w:hAnsiTheme="minorEastAsia" w:eastAsiaTheme="minorEastAsia"/>
          <w:color w:val="000000"/>
          <w:sz w:val="24"/>
          <w:szCs w:val="24"/>
          <w:u w:val="single"/>
          <w:lang w:eastAsia="zh-CN"/>
        </w:rPr>
        <w:t>：</w:t>
      </w:r>
      <w:r>
        <w:rPr>
          <w:rFonts w:hint="eastAsia" w:asciiTheme="minorEastAsia" w:hAnsiTheme="minorEastAsia" w:eastAsiaTheme="minorEastAsia"/>
          <w:color w:val="000000"/>
          <w:sz w:val="24"/>
          <w:szCs w:val="24"/>
          <w:u w:val="single"/>
          <w:lang w:val="en-US" w:eastAsia="zh-CN"/>
        </w:rPr>
        <w:t xml:space="preserve">  </w:t>
      </w:r>
      <w:r>
        <w:rPr>
          <w:rFonts w:hint="eastAsia" w:asciiTheme="minorEastAsia" w:hAnsiTheme="minorEastAsia" w:eastAsiaTheme="minorEastAsia"/>
          <w:color w:val="000000"/>
          <w:sz w:val="24"/>
          <w:szCs w:val="24"/>
          <w:u w:val="single"/>
        </w:rPr>
        <w:t xml:space="preserve">  </w:t>
      </w:r>
      <w:r>
        <w:rPr>
          <w:rFonts w:hint="eastAsia" w:asciiTheme="minorEastAsia" w:hAnsiTheme="minorEastAsia" w:eastAsiaTheme="minorEastAsia"/>
          <w:color w:val="000000"/>
          <w:sz w:val="24"/>
          <w:szCs w:val="24"/>
        </w:rPr>
        <w:t>元）。</w:t>
      </w:r>
    </w:p>
    <w:p>
      <w:pPr>
        <w:autoSpaceDE w:val="0"/>
        <w:autoSpaceDN w:val="0"/>
        <w:snapToGrid/>
        <w:spacing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sz w:val="24"/>
          <w:szCs w:val="24"/>
        </w:rPr>
        <w:t>上述费用包括煅烧、焙烧烟气在线监测系统运行、维护费、设备维修、校验、校准等相关费用。</w:t>
      </w:r>
    </w:p>
    <w:p>
      <w:pPr>
        <w:snapToGrid/>
        <w:spacing w:line="500" w:lineRule="exact"/>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二、合同结算方式、时间</w:t>
      </w:r>
    </w:p>
    <w:p>
      <w:pPr>
        <w:snapToGrid/>
        <w:spacing w:line="500" w:lineRule="exact"/>
        <w:ind w:firstLine="480" w:firstLineChars="200"/>
        <w:contextualSpacing/>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运维费用包括烟气在线监测系统运行、维护费，设备维修，校验、校准等相关费用。合同生效日起，每满3个月后10日内付清季度运维款项，以上费用需乙方定期提交合格增值税（</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rPr>
        <w:t xml:space="preserve"> %）专用发票。</w:t>
      </w:r>
    </w:p>
    <w:p>
      <w:pPr>
        <w:suppressAutoHyphens/>
        <w:spacing w:line="500" w:lineRule="exact"/>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三、甲、乙双方的工作内容</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1、甲方的责任和义务</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1.1 甲方负责监督、检查、落实、考核乙方运维服务质量。</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1.2 甲方提供通行、水、电、避雷等正常运行所需的基本条件。</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1.3甲方提供符合《固定污染源烟气排放连续排放监测技术规范》（HJ/T75-2007）、《固定污染源烟气排放连续排放监测技术规范》（HJ/T76-2007）中要求的监测点维护平台等基础条件。</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1.4 甲方有责任保证污染源自动监控设施及配套设施完好与完整性。因甲方原因使得污染源自动监控设施丢失、损坏，由甲方负责相应费用。</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1.5甲方监督并配合乙方达到工作标准，保证甲方在线监测系统达到国家、自治区及通辽市各级环保主管部门各项考核目标要求。</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1.6甲方负责及时支付合同约定的运维费用。</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 乙方的责任和义务</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2.1乙方必须遵循国家环境保护总局《固定污染源烟气排放连续监测技术规范（试行）》（HJ/T 75—2007标准）中规定的“固定污染源烟气CEMS日常运行管理要求”完成运行工作。</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2.2严格遵守、执行环保部门和甲方的各项管理制度，健全运行管理，制定各项运行记录，运行维护记录内容要有甲方签字确认。</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2.3乙方负责运维范围约定的在线监控系统全部维护、维修、校验和校准等工作。</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2.4按国家的相关规定，将甲方的在线监测数据完整上传至各级环保部门的监控平台，各在线监控系统正常运转率应大于95%。</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2.5通过各级环保部门定期比对监测和不定期抽查校验，确保在线监测数据的传输正确率达到100%。</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2.6乙方确保数据传输有效率大于75%。</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2.7在线监测设施运行不正常、日常运行监督考核（包括数据有效性审核）不合格期间，或维护维修设备不及时，造成数据传输有效率达不到要求等情况，按照国家有关规定，乙方负责必须在十日内完成所有在线数据补遗和凭证上传工作。</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2.8在线监测设施发生故障后乙方运维人员1小时内到达现场， 24小时内处理故障，恢复正常运行。配合各级环保部门检查，随时处理故障，保证在线监测设备正常运行。</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2.9乙方负责建立完整的运维档案，每套在线监测系统建立一个档案，确保各级环保部门可通过调阅运维技术档案，了解该在线监控系统的使用、维修、停运、性能检验、比对等全部历史资料，进而对在线监控系统各台设备的运行情况做出正确评估。</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2.10乙方按环保部门规定建立健全管理制度，主要包括：人员培训；运行维护岗位责任制；日常运行、巡检、维护制度和记录；定期校准、校验维护制度和记录；标准物质和易耗品的定期更换制度和记录；设备故障状态及处理制度和记录；异常、缺失数据标记和处理制度和记录；设备操作、使用制度；设施故障预防和应急措施等制度。</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2.11乙方将相应管理制度、运维人员资格证书、资质证明和承诺书等进行塑封并悬挂在各监测站房墙壁上。</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2.12乙方必须在通辽市科尔沁区配有固定人员、车辆。所有从事污染源自动监测设施的维护人员，能正确、熟练的掌握有关仪器设施的原理、操作、使用、调试、维修和更换等技能。运维人员应当取得相应资格或培训合格证书。</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2.13乙方提供CEMS系统所有备品备件，保证常用非消耗性备件、紧急故障、缺陷处理有备件替换。备件明细见附表1</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2.14乙方负责在线设备断传进行原因说明和故障分析报告。</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2.15凡在线数据出现异常，乙方应在24小时内向环保局、甲方生产技术部、车间出具在线数据异常原因报告。</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2.16乙方填写巡检、维护保养、维修、备件更换、校验和校准等记录时要有甲方人员确认签字。</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2.17对于CEMS系统一些容易诊断的故障，应直接带备件到现场进行针对性维护、维修，此类故障排除时间不超过8小时，对不易诊断或维修的仪器故障，若48小时内无法排除，则乙方使用备机以满足监测需求。</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2.18乙方负责备份在线监测数据。</w:t>
      </w:r>
    </w:p>
    <w:p>
      <w:pPr>
        <w:snapToGrid/>
        <w:spacing w:line="500" w:lineRule="exact"/>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四、现场安全管理</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乙方坚决贯彻执行关于安全生产的一系列方针、政策、法规、条例和规定，必须采取一切必要措施和手段强化维修安全管理，提高安全维修水平，确定严格的安全维修秩序以保证现场人员和设备在维修工作中的安全与健康。</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 乙方贯彻执行“安全第一、预防为主”的方针，严格执行甲方规章制度的有关规定。</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 乙方执行本合同前，组织运维人员参加甲方的生产安全部管理人员的安全技术交底和安全等方面的培训。</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 乙方人员在现场维修工作过程中，接受甲方安全各项考核制度和管理人员的安全监督。</w:t>
      </w:r>
    </w:p>
    <w:p>
      <w:pPr>
        <w:pStyle w:val="3"/>
        <w:spacing w:line="500" w:lineRule="exact"/>
        <w:ind w:firstLine="480" w:firstLineChars="200"/>
        <w:contextualSpacing/>
        <w:rPr>
          <w:rFonts w:asciiTheme="minorEastAsia" w:hAnsiTheme="minorEastAsia" w:eastAsiaTheme="minorEastAsia"/>
          <w:color w:val="000000"/>
          <w:szCs w:val="24"/>
        </w:rPr>
      </w:pPr>
      <w:r>
        <w:rPr>
          <w:rFonts w:hint="eastAsia" w:asciiTheme="minorEastAsia" w:hAnsiTheme="minorEastAsia" w:eastAsiaTheme="minorEastAsia"/>
          <w:color w:val="000000"/>
          <w:szCs w:val="24"/>
        </w:rPr>
        <w:t>5、乙方必须执行甲方安全管理，承担由乙方原因造成一切安全责任。</w:t>
      </w:r>
    </w:p>
    <w:p>
      <w:pPr>
        <w:snapToGrid/>
        <w:spacing w:line="500" w:lineRule="exact"/>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五、现场文明生产</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 乙方人员在现场遵守甲方有关文明生产的文件、规定、考核办法。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2、乙方人员在现场着装统一。</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 乙方采取一切合理措施，保护现场及周围的环境，避免污染、噪音或由于其运维方法的不当造成的对公共人员和财产等的危害或干扰。</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4、乙方随时保持所负责运维设备的整洁与卫生，保证每个运维作业点都做到“工完、料净、场地清”。</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5、乙方进行设备检修时，采取合理的预防措施，防止零件遗失或异物落入测量设备中。</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6、乙方的生产办公场所遵守甲方有关文明管理的规定。</w:t>
      </w:r>
    </w:p>
    <w:p>
      <w:pPr>
        <w:snapToGrid/>
        <w:spacing w:line="500" w:lineRule="exact"/>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六、运行工作方法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系统运行维护包括但不限于以下工作项目：</w:t>
      </w:r>
    </w:p>
    <w:p>
      <w:pPr>
        <w:snapToGrid/>
        <w:spacing w:line="500" w:lineRule="exact"/>
        <w:ind w:firstLine="482" w:firstLineChars="200"/>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1、日常维护工作</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1.1每2天到现场对系统进行一次全面检查和维护，包括：</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1.1.1定期检查、及时更换分析仪器所必需的高、中、低量程标准气体；</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1.1.2定期检查、定期更换系统所必须的易损设备，如供给软管、排水管、探头滤芯等，保证系统正常运行；</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1.1.3每天至少一次（节假日除外）向环保局监控中心查询仪器运行状态，数据传输系统是否正常，数据捕获率，并做好相关记录。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1.2每半月对仪器进行一次零点和量程的手动校准。</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1.3每月对整个系统（包括采样系统、分析仪器系统、数据存储/控制系统）进行一次保养和维护，包括：</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1.3.1采样探头及采样管路、反吹系统、仪器分析系统进行清洗和维护；</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1.3.2对数据存储／控制系统工作状态进行一次检查；</w:t>
      </w:r>
    </w:p>
    <w:p>
      <w:pPr>
        <w:snapToGrid/>
        <w:spacing w:line="500" w:lineRule="exact"/>
        <w:ind w:firstLine="480" w:firstLineChars="200"/>
        <w:contextualSpacing/>
        <w:rPr>
          <w:rFonts w:asciiTheme="minorEastAsia" w:hAnsiTheme="minorEastAsia" w:eastAsiaTheme="minorEastAsia"/>
          <w:color w:val="0070C0"/>
          <w:sz w:val="24"/>
          <w:szCs w:val="24"/>
        </w:rPr>
      </w:pPr>
      <w:r>
        <w:rPr>
          <w:rFonts w:hint="eastAsia" w:asciiTheme="minorEastAsia" w:hAnsiTheme="minorEastAsia" w:eastAsiaTheme="minorEastAsia"/>
          <w:sz w:val="24"/>
          <w:szCs w:val="24"/>
        </w:rPr>
        <w:t>1.3.3日常信号校验周期为每月不少于一次，由运营维护人员按时定期完</w:t>
      </w:r>
      <w:r>
        <w:rPr>
          <w:rFonts w:hint="eastAsia" w:asciiTheme="minorEastAsia" w:hAnsiTheme="minorEastAsia" w:eastAsiaTheme="minorEastAsia"/>
          <w:color w:val="000000"/>
          <w:sz w:val="24"/>
          <w:szCs w:val="24"/>
        </w:rPr>
        <w:t>成，维护人员将不定期对自动监控设备进行监督校验</w:t>
      </w:r>
      <w:r>
        <w:rPr>
          <w:rFonts w:hint="eastAsia" w:asciiTheme="minorEastAsia" w:hAnsiTheme="minorEastAsia" w:eastAsiaTheme="minorEastAsia"/>
          <w:sz w:val="24"/>
          <w:szCs w:val="24"/>
        </w:rPr>
        <w:t>；</w:t>
      </w:r>
      <w:r>
        <w:rPr>
          <w:rFonts w:hint="eastAsia" w:asciiTheme="minorEastAsia" w:hAnsiTheme="minorEastAsia" w:eastAsiaTheme="minorEastAsia"/>
          <w:color w:val="0070C0"/>
          <w:sz w:val="24"/>
          <w:szCs w:val="24"/>
        </w:rPr>
        <w:t xml:space="preserve"> </w:t>
      </w:r>
    </w:p>
    <w:p>
      <w:pPr>
        <w:snapToGrid/>
        <w:spacing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 xml:space="preserve">1.3.4每月以文字、报表方式向甲方提交工作报告，报告中应写明各自动监控设备的运行情况； </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1.4每3个月进行一次手动对比监测，根据测定结果对仪器进行校准（在每季度环保部门现场比对前完成系统校验并提供校验记录）。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1.5每年进行一次全系统检查。</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1.6保持仪器设备及站房的清洁。</w:t>
      </w:r>
    </w:p>
    <w:p>
      <w:pPr>
        <w:snapToGrid/>
        <w:spacing w:line="500" w:lineRule="exact"/>
        <w:ind w:firstLine="482" w:firstLineChars="200"/>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2、校验工作</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2.1至少每3个月进行一次现场校验，采用手工校准。</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2.2现场校验按H J/T 76-2007 固定污染源烟气排放连续监测系统技术要求及检测方法（试行）执行。</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2.3当仪器发生严重故障，经维修后在正常使用和运行之前必须对仪器进行一次校准和校验。</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2.4进行相关校准和校验时，设置专人负责监督工况，在测试期间保持相对稳定，作好测试记录和调整、维护记录。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2.5其它未提及的校验内容，参照国家相关法律法规制度和相关仪器说明书要求执行。</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2.6当仪器发生严重故障，经维修后在正常使用和运行之前亦必须对仪器进行一次电流校准和校验，并做好相关记录。</w:t>
      </w:r>
    </w:p>
    <w:p>
      <w:pPr>
        <w:snapToGrid/>
        <w:spacing w:line="500" w:lineRule="exact"/>
        <w:ind w:firstLine="482" w:firstLineChars="200"/>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3、仪器档案文件管理工作</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健全系统技术文件对污染源自动监控系统中的自动监控仪器进行科学管理的体现，乙方将对各个污染源连续排放子系统和系统中的各台仪器设备建立严格的技术档案。</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3.1技术档案内容</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3.1.1仪器的生产厂家、系统的安装单位和竣工验收记录。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3.1.2标准气体的购置记录和配置记录。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3.1.3自动监控仪器的例行检查记录。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3.1.4仪器设备的检修更换记录。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3.2技术档案基本要求</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3.2.1档案中的表格采用统一的标准表格；</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3.2.2记录清晰、完整，现场记录应在现场及时填写，有专业维护人员的签字；</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3.2.3可从技术档案中查阅和了解仪器设备的使用、维修和性能检验等全部历史资料，以对运行的各台仪器设备做出正确评价；</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3.2.4与仪器相关的记录可放置在现场，所有记录均妥善保存。</w:t>
      </w:r>
    </w:p>
    <w:p>
      <w:pPr>
        <w:snapToGrid/>
        <w:spacing w:line="500" w:lineRule="exact"/>
        <w:ind w:firstLine="482" w:firstLineChars="200"/>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4、运行服务响应组织措施</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4.1保障7×24小时技术服务和支持。并提供电话支持。</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4.2发生故障后服务人员1小时内到达现场处理问题。</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4.3不易诊断和维修的仪器故障24小时内完成维修。</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4.4对不能解除故障的设备，在48小时内予以无偿替代。</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4.5通信中断，数据传不到监控中心，乙方在厂运维期间及时处理故障并将故障信息通知甲方；乙方不在厂运维期间由甲方或监控中心通知乙方入厂处理故障；乙方向环保局和甲方出具故障分析报告。</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4.6仪器经过维修后，在正常使用和运行之前必须对仪器进行一次电流信号校验检查，并做好相关记录。</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4.7在运行维护过程中，运维人员不得以不了解设备状况或不了解现场情况为由，提出任何不去现场处理故障的要求。</w:t>
      </w:r>
    </w:p>
    <w:p>
      <w:pPr>
        <w:snapToGrid/>
        <w:spacing w:line="500" w:lineRule="exact"/>
        <w:ind w:firstLine="482" w:firstLineChars="200"/>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5、免责条款</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5.1甲方应为乙方提供通行、电、避雷、吹扫气源等正常运行所需的基本条件。因客观原因不能正常提供时，需提前告知乙方，乙方向县级以上环境保护行政主管部门报告，配合做好相关的应急工作；否则，由此造成的损失由甲方承担。</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5.2甲方有责任保证污染源自动监控设施及配套设施完好与完整性，若因甲方原因使得污染源自动监控设施丢失、损坏，造成污染源自动监控设施不能稳定运行，因此受到环保部门的考核和处罚由甲方承担。</w:t>
      </w:r>
    </w:p>
    <w:p>
      <w:pPr>
        <w:snapToGrid/>
        <w:spacing w:line="500" w:lineRule="exact"/>
        <w:contextualSpacing/>
        <w:rPr>
          <w:rFonts w:asciiTheme="minorEastAsia" w:hAnsiTheme="minorEastAsia" w:eastAsiaTheme="minorEastAsia"/>
          <w:b/>
          <w:sz w:val="24"/>
          <w:szCs w:val="24"/>
        </w:rPr>
      </w:pPr>
      <w:r>
        <w:rPr>
          <w:rFonts w:hint="eastAsia" w:asciiTheme="minorEastAsia" w:hAnsiTheme="minorEastAsia" w:eastAsiaTheme="minorEastAsia"/>
          <w:b/>
          <w:sz w:val="24"/>
          <w:szCs w:val="24"/>
        </w:rPr>
        <w:t>七、考核</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1、乙方未按要求定期巡视，每次考核200元；未按要求定期标定，每次考核500元。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2、乙方填写的各项记录不规范，每项考核200元。填写记录时，未与甲方人员确认，每次考核200元。记录人、负责人为同一人，每次考核400元。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3、乙方建立的技术档案不规范或记录不全，每项考核200元。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4、对日常巡检或维护保养中发现的故障或问题，乙方人员未及时处理并记录，每次每项考核200元。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5、接到故障报告后，乙方未在规定时间内到达现场进行处理，每次考核200元。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6、由于乙方运维服务不当或不及时，造成监测数据不准确，每次考核乙方1000元，所造成的后果由乙方负责，同时承担相关经济、法律责任。</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7、由于乙方运维服务不当或缺陷消除不及时，造成上传SO</w:t>
      </w:r>
      <w:r>
        <w:rPr>
          <w:rFonts w:hint="eastAsia" w:asciiTheme="minorEastAsia" w:hAnsiTheme="minorEastAsia" w:eastAsiaTheme="minorEastAsia"/>
          <w:sz w:val="24"/>
          <w:szCs w:val="24"/>
          <w:vertAlign w:val="subscript"/>
        </w:rPr>
        <w:t>2</w:t>
      </w:r>
      <w:r>
        <w:rPr>
          <w:rFonts w:hint="eastAsia" w:asciiTheme="minorEastAsia" w:hAnsiTheme="minorEastAsia" w:eastAsiaTheme="minorEastAsia"/>
          <w:sz w:val="24"/>
          <w:szCs w:val="24"/>
        </w:rPr>
        <w:t>、烟尘或HF超标，每小时考核500元。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8、因乙方原因在线CEMS历史数据丢失，10小时内考核1000元，超过10小时每小时累加考核200元。所造成的后果由乙方负责（分析仪、工控机、数据采集仪死机情况下除外），同时承担相关经济、法律责任。 </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9、乙方应配合环保部门进行定期的环保比对监测及有效性审核，并保证CEMS设备的准确性，由于CEMS设备不准确造成比对监测不合格或有效性没有通过，每次考核3000元。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10、乙方必须保证CEMS数据的真实性，不得造假，否则每次考核10000元，并且造成的后果由乙方负责，同时承担相关经济、法律责任。</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11、乙方应准备充足的备品备件及易耗易损件，应按周期进行易损件的更换，到期未更换考核500元；设备发生故障由于备件准备不充足造成数据异常的考核1000元。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12、乙方操作人员按国家相关规定，经培训考核合格，持证上岗。严禁无证人员及未经过培训无工作经验的新学员进行运维作业，否则每次考核500元。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13、乙方维护人员应具有独立维护消缺能力，更换人员时必须与甲方沟通，未与甲方沟通随意更换维护人员，考核1000元。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14、乙方应按照甲方要求对进厂运维人员进行安全教育，经考试合格后，方可进厂开展作业，否则每人次考核200元。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15、乙方现场运维过程中出现的违章（详见《</w:t>
      </w:r>
      <w:r>
        <w:rPr>
          <w:rFonts w:hint="eastAsia" w:asciiTheme="minorEastAsia" w:hAnsiTheme="minorEastAsia" w:eastAsiaTheme="minorEastAsia"/>
          <w:color w:val="000000"/>
          <w:sz w:val="24"/>
          <w:szCs w:val="24"/>
        </w:rPr>
        <w:t>内蒙古霍煤通顺碳素有限责任公司外来施工作业管理规定</w:t>
      </w:r>
      <w:r>
        <w:rPr>
          <w:rFonts w:hint="eastAsia" w:asciiTheme="minorEastAsia" w:hAnsiTheme="minorEastAsia" w:eastAsiaTheme="minorEastAsia"/>
          <w:sz w:val="24"/>
          <w:szCs w:val="24"/>
        </w:rPr>
        <w:t>》），每次考核200元。</w:t>
      </w:r>
    </w:p>
    <w:p>
      <w:pPr>
        <w:snapToGrid/>
        <w:spacing w:line="500" w:lineRule="exact"/>
        <w:ind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16、乙方未按要求悬挂塑封的制度、人员资格证书、资质证明、承诺书等，或损坏后未及时更换，每项考核200元。</w:t>
      </w:r>
    </w:p>
    <w:p>
      <w:pPr>
        <w:pStyle w:val="3"/>
        <w:spacing w:line="500" w:lineRule="exact"/>
        <w:contextualSpacing/>
        <w:rPr>
          <w:rFonts w:asciiTheme="minorEastAsia" w:hAnsiTheme="minorEastAsia" w:eastAsiaTheme="minorEastAsia"/>
          <w:b/>
          <w:color w:val="000000"/>
          <w:szCs w:val="24"/>
        </w:rPr>
      </w:pPr>
      <w:r>
        <w:rPr>
          <w:rFonts w:hint="eastAsia" w:cs="宋体" w:asciiTheme="minorEastAsia" w:hAnsiTheme="minorEastAsia" w:eastAsiaTheme="minorEastAsia"/>
          <w:b/>
          <w:szCs w:val="24"/>
        </w:rPr>
        <w:t>八</w:t>
      </w:r>
      <w:r>
        <w:rPr>
          <w:rFonts w:hint="eastAsia" w:asciiTheme="minorEastAsia" w:hAnsiTheme="minorEastAsia" w:eastAsiaTheme="minorEastAsia"/>
          <w:b/>
          <w:color w:val="000000"/>
          <w:szCs w:val="24"/>
        </w:rPr>
        <w:t>、合同的生效</w:t>
      </w:r>
    </w:p>
    <w:p>
      <w:pPr>
        <w:snapToGrid/>
        <w:spacing w:after="31" w:afterLines="10" w:line="500" w:lineRule="exact"/>
        <w:ind w:firstLine="480" w:firstLineChars="200"/>
        <w:contextualSpacing/>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1、本合同经甲乙双方法定代表人或授权委托人代表签字加盖合同章后生效。合同有效期内，甲乙双方均不得随意变更或解除合同。</w:t>
      </w:r>
    </w:p>
    <w:p>
      <w:pPr>
        <w:pStyle w:val="3"/>
        <w:spacing w:line="500" w:lineRule="exact"/>
        <w:ind w:firstLine="480" w:firstLineChars="200"/>
        <w:contextualSpacing/>
        <w:rPr>
          <w:rFonts w:asciiTheme="minorEastAsia" w:hAnsiTheme="minorEastAsia" w:eastAsiaTheme="minorEastAsia"/>
          <w:color w:val="000000"/>
          <w:szCs w:val="24"/>
        </w:rPr>
      </w:pPr>
      <w:r>
        <w:rPr>
          <w:rFonts w:hint="eastAsia" w:asciiTheme="minorEastAsia" w:hAnsiTheme="minorEastAsia" w:eastAsiaTheme="minorEastAsia"/>
          <w:color w:val="000000"/>
          <w:szCs w:val="24"/>
        </w:rPr>
        <w:t>2、本合同有效期至甲乙双方均已完成本合同中各自的义务。</w:t>
      </w:r>
    </w:p>
    <w:p>
      <w:pPr>
        <w:pStyle w:val="3"/>
        <w:spacing w:line="500" w:lineRule="exact"/>
        <w:ind w:firstLine="480" w:firstLineChars="200"/>
        <w:contextualSpacing/>
        <w:rPr>
          <w:rFonts w:asciiTheme="minorEastAsia" w:hAnsiTheme="minorEastAsia" w:eastAsiaTheme="minorEastAsia"/>
          <w:color w:val="000000"/>
          <w:szCs w:val="24"/>
        </w:rPr>
      </w:pPr>
      <w:r>
        <w:rPr>
          <w:rFonts w:hint="eastAsia" w:asciiTheme="minorEastAsia" w:hAnsiTheme="minorEastAsia" w:eastAsiaTheme="minorEastAsia"/>
          <w:color w:val="000000"/>
          <w:szCs w:val="24"/>
        </w:rPr>
        <w:t>3、合同订立地点：内蒙古通辽市科尔沁区。</w:t>
      </w:r>
    </w:p>
    <w:p>
      <w:pPr>
        <w:tabs>
          <w:tab w:val="left" w:pos="426"/>
        </w:tabs>
        <w:snapToGrid/>
        <w:spacing w:before="31" w:beforeLines="10" w:after="31" w:afterLines="10" w:line="500" w:lineRule="exact"/>
        <w:contextualSpacing/>
        <w:rPr>
          <w:rFonts w:cs="宋体" w:asciiTheme="minorEastAsia" w:hAnsiTheme="minorEastAsia" w:eastAsiaTheme="minorEastAsia"/>
          <w:b/>
          <w:sz w:val="24"/>
          <w:szCs w:val="24"/>
        </w:rPr>
      </w:pPr>
      <w:r>
        <w:rPr>
          <w:rFonts w:hint="eastAsia" w:asciiTheme="minorEastAsia" w:hAnsiTheme="minorEastAsia" w:eastAsiaTheme="minorEastAsia"/>
          <w:b/>
          <w:color w:val="000000"/>
          <w:sz w:val="24"/>
          <w:szCs w:val="24"/>
        </w:rPr>
        <w:t>九、</w:t>
      </w:r>
      <w:r>
        <w:rPr>
          <w:rFonts w:hint="eastAsia" w:cs="宋体" w:asciiTheme="minorEastAsia" w:hAnsiTheme="minorEastAsia" w:eastAsiaTheme="minorEastAsia"/>
          <w:b/>
          <w:sz w:val="24"/>
          <w:szCs w:val="24"/>
        </w:rPr>
        <w:t>争议解决</w:t>
      </w:r>
    </w:p>
    <w:p>
      <w:pPr>
        <w:snapToGrid/>
        <w:spacing w:line="500" w:lineRule="exact"/>
        <w:ind w:firstLine="480" w:firstLineChars="200"/>
        <w:contextualSpacing/>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执行本合同如发生争议由双方协商解决，协商不成，依法向人民法院起诉，由合同签订地人民法院管辖。</w:t>
      </w:r>
    </w:p>
    <w:p>
      <w:pPr>
        <w:snapToGrid/>
        <w:spacing w:before="31" w:beforeLines="10" w:after="31" w:afterLines="10" w:line="500" w:lineRule="exact"/>
        <w:contextualSpacing/>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十、其他约定</w:t>
      </w:r>
    </w:p>
    <w:p>
      <w:pPr>
        <w:snapToGrid/>
        <w:spacing w:line="500" w:lineRule="exact"/>
        <w:ind w:firstLine="480" w:firstLineChars="200"/>
        <w:contextualSpacing/>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1、本合同在执行过程中出现的未尽事宜，双方应协商解决，协商结果以“补充协议”形式双方签字盖章记录在案。</w:t>
      </w:r>
    </w:p>
    <w:p>
      <w:pPr>
        <w:snapToGrid/>
        <w:spacing w:line="500" w:lineRule="exact"/>
        <w:ind w:firstLine="480" w:firstLineChars="200"/>
        <w:contextualSpacing/>
        <w:rPr>
          <w:rFonts w:cs="宋体" w:asciiTheme="minorEastAsia" w:hAnsiTheme="minorEastAsia" w:eastAsiaTheme="minorEastAsia"/>
          <w:sz w:val="24"/>
          <w:szCs w:val="24"/>
        </w:rPr>
      </w:pPr>
      <w:r>
        <w:rPr>
          <w:rFonts w:hint="eastAsia" w:asciiTheme="minorEastAsia" w:hAnsiTheme="minorEastAsia" w:eastAsiaTheme="minorEastAsia"/>
          <w:sz w:val="24"/>
          <w:szCs w:val="24"/>
        </w:rPr>
        <w:t>2、本合同一式肆份，甲、乙双方各执二份。</w:t>
      </w:r>
    </w:p>
    <w:p>
      <w:pPr>
        <w:snapToGrid/>
        <w:spacing w:line="500" w:lineRule="exact"/>
        <w:contextualSpacing/>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附表1：</w:t>
      </w:r>
      <w:r>
        <w:rPr>
          <w:rFonts w:hint="eastAsia" w:cs="Arial" w:asciiTheme="minorEastAsia" w:hAnsiTheme="minorEastAsia" w:eastAsiaTheme="minorEastAsia"/>
          <w:sz w:val="24"/>
          <w:szCs w:val="24"/>
        </w:rPr>
        <w:t>备品备件清单</w:t>
      </w:r>
    </w:p>
    <w:tbl>
      <w:tblPr>
        <w:tblStyle w:val="5"/>
        <w:tblW w:w="8209" w:type="dxa"/>
        <w:jc w:val="center"/>
        <w:tblLayout w:type="fixed"/>
        <w:tblCellMar>
          <w:top w:w="0" w:type="dxa"/>
          <w:left w:w="108" w:type="dxa"/>
          <w:bottom w:w="0" w:type="dxa"/>
          <w:right w:w="108" w:type="dxa"/>
        </w:tblCellMar>
      </w:tblPr>
      <w:tblGrid>
        <w:gridCol w:w="922"/>
        <w:gridCol w:w="4927"/>
        <w:gridCol w:w="943"/>
        <w:gridCol w:w="1417"/>
      </w:tblGrid>
      <w:tr>
        <w:tblPrEx>
          <w:tblCellMar>
            <w:top w:w="0" w:type="dxa"/>
            <w:left w:w="108" w:type="dxa"/>
            <w:bottom w:w="0" w:type="dxa"/>
            <w:right w:w="108" w:type="dxa"/>
          </w:tblCellMar>
        </w:tblPrEx>
        <w:trPr>
          <w:cantSplit/>
          <w:trHeight w:val="454" w:hRule="exact"/>
          <w:jc w:val="center"/>
        </w:trPr>
        <w:tc>
          <w:tcPr>
            <w:tcW w:w="922" w:type="dxa"/>
            <w:tcBorders>
              <w:top w:val="single" w:color="auto" w:sz="4" w:space="0"/>
              <w:left w:val="single" w:color="auto" w:sz="4" w:space="0"/>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序号</w:t>
            </w:r>
          </w:p>
        </w:tc>
        <w:tc>
          <w:tcPr>
            <w:tcW w:w="4927"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名称</w:t>
            </w:r>
          </w:p>
        </w:tc>
        <w:tc>
          <w:tcPr>
            <w:tcW w:w="943"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使用时间</w:t>
            </w:r>
          </w:p>
        </w:tc>
        <w:tc>
          <w:tcPr>
            <w:tcW w:w="1417"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使用数量</w:t>
            </w:r>
          </w:p>
        </w:tc>
      </w:tr>
      <w:tr>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∮8聚四氟乙烯管</w:t>
            </w:r>
          </w:p>
        </w:tc>
        <w:tc>
          <w:tcPr>
            <w:tcW w:w="943" w:type="dxa"/>
            <w:vMerge w:val="restart"/>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运营期内</w:t>
            </w:r>
          </w:p>
        </w:tc>
        <w:tc>
          <w:tcPr>
            <w:tcW w:w="1417" w:type="dxa"/>
            <w:vMerge w:val="restart"/>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满足现场使用</w:t>
            </w: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∮6聚四氟乙烯管</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3</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三通快拧</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4</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PU管</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5</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生料带</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6</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电工胶带</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7</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1/8转∮6快拧</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8</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1/8转∮8弯头</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9</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∮8三通快拧</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10</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DN15转∮6软</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11</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取样器密封垫</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12</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热电阻</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single" w:color="auto" w:sz="4" w:space="0"/>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13</w:t>
            </w:r>
          </w:p>
        </w:tc>
        <w:tc>
          <w:tcPr>
            <w:tcW w:w="4927"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保险管</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14</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DN15手动球阀</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15</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带灯按钮开关</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16</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指示灯</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17</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接线端子</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18</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中间继电器</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19</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3P空开</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20</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2P空开</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21</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三孔插座</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single" w:color="auto" w:sz="4" w:space="0"/>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22</w:t>
            </w:r>
          </w:p>
        </w:tc>
        <w:tc>
          <w:tcPr>
            <w:tcW w:w="4927"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固态继电器</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23</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固态继电器散热器</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single" w:color="auto" w:sz="4" w:space="0"/>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24</w:t>
            </w:r>
          </w:p>
        </w:tc>
        <w:tc>
          <w:tcPr>
            <w:tcW w:w="4927"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伴热带终端接线盒</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nil"/>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25</w:t>
            </w:r>
          </w:p>
        </w:tc>
        <w:tc>
          <w:tcPr>
            <w:tcW w:w="4927" w:type="dxa"/>
            <w:tcBorders>
              <w:top w:val="nil"/>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卡箍</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single" w:color="auto" w:sz="4" w:space="0"/>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26</w:t>
            </w:r>
          </w:p>
        </w:tc>
        <w:tc>
          <w:tcPr>
            <w:tcW w:w="4927"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探头滤芯</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r>
        <w:tblPrEx>
          <w:tblCellMar>
            <w:top w:w="0" w:type="dxa"/>
            <w:left w:w="108" w:type="dxa"/>
            <w:bottom w:w="0" w:type="dxa"/>
            <w:right w:w="108" w:type="dxa"/>
          </w:tblCellMar>
        </w:tblPrEx>
        <w:trPr>
          <w:cantSplit/>
          <w:trHeight w:val="454" w:hRule="exact"/>
          <w:jc w:val="center"/>
        </w:trPr>
        <w:tc>
          <w:tcPr>
            <w:tcW w:w="922" w:type="dxa"/>
            <w:tcBorders>
              <w:top w:val="single" w:color="auto" w:sz="4" w:space="0"/>
              <w:left w:val="single" w:color="auto" w:sz="4" w:space="0"/>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r>
              <w:rPr>
                <w:rFonts w:hint="eastAsia" w:cs="Arial" w:asciiTheme="minorEastAsia" w:hAnsiTheme="minorEastAsia" w:eastAsiaTheme="minorEastAsia"/>
                <w:color w:val="000000"/>
                <w:sz w:val="21"/>
                <w:szCs w:val="21"/>
              </w:rPr>
              <w:t>27</w:t>
            </w:r>
          </w:p>
        </w:tc>
        <w:tc>
          <w:tcPr>
            <w:tcW w:w="4927" w:type="dxa"/>
            <w:tcBorders>
              <w:top w:val="single" w:color="auto" w:sz="4" w:space="0"/>
              <w:left w:val="nil"/>
              <w:bottom w:val="single" w:color="auto" w:sz="4" w:space="0"/>
              <w:right w:val="single" w:color="auto" w:sz="4" w:space="0"/>
            </w:tcBorders>
            <w:vAlign w:val="center"/>
          </w:tcPr>
          <w:p>
            <w:pPr>
              <w:snapToGrid/>
              <w:spacing w:line="500" w:lineRule="exact"/>
              <w:contextualSpacing/>
              <w:jc w:val="center"/>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二级滤芯</w:t>
            </w:r>
          </w:p>
        </w:tc>
        <w:tc>
          <w:tcPr>
            <w:tcW w:w="943"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c>
          <w:tcPr>
            <w:tcW w:w="1417" w:type="dxa"/>
            <w:vMerge w:val="continue"/>
            <w:tcBorders>
              <w:top w:val="nil"/>
              <w:left w:val="nil"/>
              <w:bottom w:val="single" w:color="auto" w:sz="4" w:space="0"/>
              <w:right w:val="single" w:color="auto" w:sz="4" w:space="0"/>
            </w:tcBorders>
            <w:vAlign w:val="center"/>
          </w:tcPr>
          <w:p>
            <w:pPr>
              <w:snapToGrid/>
              <w:spacing w:line="500" w:lineRule="exact"/>
              <w:contextualSpacing/>
              <w:jc w:val="center"/>
              <w:rPr>
                <w:rFonts w:cs="Arial" w:asciiTheme="minorEastAsia" w:hAnsiTheme="minorEastAsia" w:eastAsiaTheme="minorEastAsia"/>
                <w:color w:val="000000"/>
                <w:sz w:val="21"/>
                <w:szCs w:val="21"/>
              </w:rPr>
            </w:pPr>
          </w:p>
        </w:tc>
      </w:tr>
    </w:tbl>
    <w:p>
      <w:pPr>
        <w:pStyle w:val="4"/>
        <w:tabs>
          <w:tab w:val="clear" w:pos="720"/>
        </w:tabs>
        <w:spacing w:line="500" w:lineRule="exact"/>
        <w:ind w:left="0" w:firstLine="240" w:firstLineChars="100"/>
        <w:contextualSpacing/>
        <w:jc w:val="both"/>
        <w:outlineLvl w:val="9"/>
        <w:rPr>
          <w:rFonts w:asciiTheme="minorEastAsia" w:hAnsiTheme="minorEastAsia" w:eastAsiaTheme="minorEastAsia"/>
          <w:b w:val="0"/>
          <w:color w:val="000000"/>
          <w:sz w:val="24"/>
          <w:szCs w:val="24"/>
        </w:rPr>
      </w:pPr>
      <w:r>
        <w:rPr>
          <w:rFonts w:hint="eastAsia" w:asciiTheme="minorEastAsia" w:hAnsiTheme="minorEastAsia" w:eastAsiaTheme="minorEastAsia"/>
          <w:b w:val="0"/>
          <w:color w:val="000000"/>
          <w:sz w:val="24"/>
          <w:szCs w:val="24"/>
        </w:rPr>
        <w:t>说明：附表1列举的为运营维护备品备件，非附表1中所列组件均需付费后再提供。如下表中所列举：</w:t>
      </w:r>
    </w:p>
    <w:tbl>
      <w:tblPr>
        <w:tblStyle w:val="5"/>
        <w:tblpPr w:leftFromText="180" w:rightFromText="180" w:vertAnchor="text" w:horzAnchor="margin" w:tblpXSpec="center" w:tblpY="39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3246"/>
        <w:gridCol w:w="3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序号</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735" w:firstLineChars="35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名     称</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840" w:firstLineChars="40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所     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分析仪</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主机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2</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取样探枪</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采样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3</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加热护套</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取样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4</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防雨罩</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jc w:val="both"/>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 xml:space="preserve">              取样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5</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变送器</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主机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6</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显示屏</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主机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7</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射流泵</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采样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8</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光纤</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主机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9</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PLC主机及其配件</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10</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输出控制板</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11</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工控机主机</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12</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工控机配件</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存储控制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13</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采样复合管</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取样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14</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恒温箱加热板</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加热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15</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数据采集仪</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数据传输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16</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空压机/鼓风机</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反吹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17</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数据采集模块</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18</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数据转换模块</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19</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sz w:val="21"/>
                <w:szCs w:val="21"/>
                <w:lang w:val="en-GB"/>
              </w:rPr>
            </w:pPr>
            <w:r>
              <w:rPr>
                <w:rFonts w:hint="eastAsia" w:asciiTheme="minorEastAsia" w:hAnsiTheme="minorEastAsia" w:eastAsiaTheme="minorEastAsia"/>
                <w:b w:val="0"/>
                <w:sz w:val="21"/>
                <w:szCs w:val="21"/>
                <w:lang w:val="en-GB"/>
              </w:rPr>
              <w:t>数据通讯模块</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enter" w:pos="1664"/>
                <w:tab w:val="right" w:pos="3328"/>
                <w:tab w:val="clear" w:pos="720"/>
              </w:tabs>
              <w:spacing w:line="500" w:lineRule="exact"/>
              <w:ind w:left="0" w:firstLine="0"/>
              <w:contextualSpacing/>
              <w:jc w:val="left"/>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ab/>
            </w:r>
            <w:r>
              <w:rPr>
                <w:rFonts w:hint="eastAsia" w:asciiTheme="minorEastAsia" w:hAnsiTheme="minorEastAsia" w:eastAsiaTheme="minorEastAsia"/>
                <w:b w:val="0"/>
                <w:color w:val="000000"/>
                <w:sz w:val="21"/>
                <w:szCs w:val="21"/>
              </w:rPr>
              <w:tab/>
            </w:r>
            <w:r>
              <w:rPr>
                <w:rFonts w:hint="eastAsia" w:asciiTheme="minorEastAsia" w:hAnsiTheme="minorEastAsia" w:eastAsiaTheme="minorEastAsia"/>
                <w:b w:val="0"/>
                <w:color w:val="000000"/>
                <w:sz w:val="21"/>
                <w:szCs w:val="21"/>
              </w:rPr>
              <w:t>通讯</w:t>
            </w:r>
            <w:r>
              <w:rPr>
                <w:rFonts w:hint="eastAsia" w:asciiTheme="minorEastAsia" w:hAnsiTheme="minorEastAsia" w:eastAsiaTheme="minorEastAsia"/>
                <w:b w:val="0"/>
                <w:color w:val="000000"/>
                <w:sz w:val="21"/>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20</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lang w:val="en-GB"/>
              </w:rPr>
            </w:pPr>
            <w:r>
              <w:rPr>
                <w:rFonts w:hint="eastAsia" w:asciiTheme="minorEastAsia" w:hAnsiTheme="minorEastAsia" w:eastAsiaTheme="minorEastAsia"/>
                <w:b w:val="0"/>
                <w:color w:val="000000"/>
                <w:sz w:val="21"/>
                <w:szCs w:val="21"/>
                <w:lang w:val="en-GB"/>
              </w:rPr>
              <w:t>外置天线</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传输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21</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lang w:val="en-GB"/>
              </w:rPr>
            </w:pPr>
            <w:r>
              <w:rPr>
                <w:rFonts w:hint="eastAsia" w:asciiTheme="minorEastAsia" w:hAnsiTheme="minorEastAsia" w:eastAsiaTheme="minorEastAsia"/>
                <w:b w:val="0"/>
                <w:color w:val="000000"/>
                <w:sz w:val="21"/>
                <w:szCs w:val="21"/>
                <w:lang w:val="en-GB"/>
              </w:rPr>
              <w:t>阀件</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22</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lang w:val="en-GB"/>
              </w:rPr>
            </w:pPr>
            <w:r>
              <w:rPr>
                <w:rFonts w:hint="eastAsia" w:asciiTheme="minorEastAsia" w:hAnsiTheme="minorEastAsia" w:eastAsiaTheme="minorEastAsia"/>
                <w:b w:val="0"/>
                <w:color w:val="000000"/>
                <w:sz w:val="21"/>
                <w:szCs w:val="21"/>
                <w:lang w:val="en-GB"/>
              </w:rPr>
              <w:t>传感器</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23</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lang w:val="en-GB"/>
              </w:rPr>
            </w:pPr>
            <w:r>
              <w:rPr>
                <w:rFonts w:hint="eastAsia" w:asciiTheme="minorEastAsia" w:hAnsiTheme="minorEastAsia" w:eastAsiaTheme="minorEastAsia"/>
                <w:b w:val="0"/>
                <w:color w:val="000000"/>
                <w:sz w:val="21"/>
                <w:szCs w:val="21"/>
                <w:lang w:val="en-GB"/>
              </w:rPr>
              <w:t>过滤器</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25</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lang w:val="en-GB"/>
              </w:rPr>
            </w:pPr>
            <w:r>
              <w:rPr>
                <w:rFonts w:hint="eastAsia" w:asciiTheme="minorEastAsia" w:hAnsiTheme="minorEastAsia" w:eastAsiaTheme="minorEastAsia"/>
                <w:b w:val="0"/>
                <w:color w:val="000000"/>
                <w:sz w:val="21"/>
                <w:szCs w:val="21"/>
                <w:lang w:val="en-GB"/>
              </w:rPr>
              <w:t>标气阀</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041"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26</w:t>
            </w:r>
          </w:p>
        </w:tc>
        <w:tc>
          <w:tcPr>
            <w:tcW w:w="3246"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lang w:val="en-GB"/>
              </w:rPr>
            </w:pPr>
            <w:r>
              <w:rPr>
                <w:rFonts w:hint="eastAsia" w:asciiTheme="minorEastAsia" w:hAnsiTheme="minorEastAsia" w:eastAsiaTheme="minorEastAsia"/>
                <w:b w:val="0"/>
                <w:color w:val="000000"/>
                <w:sz w:val="21"/>
                <w:szCs w:val="21"/>
                <w:lang w:val="en-GB"/>
              </w:rPr>
              <w:t>储气罐</w:t>
            </w:r>
          </w:p>
        </w:tc>
        <w:tc>
          <w:tcPr>
            <w:tcW w:w="3935" w:type="dxa"/>
            <w:tcBorders>
              <w:top w:val="single" w:color="auto" w:sz="4" w:space="0"/>
              <w:left w:val="single" w:color="auto" w:sz="4" w:space="0"/>
              <w:bottom w:val="single" w:color="auto" w:sz="4" w:space="0"/>
              <w:right w:val="single" w:color="auto" w:sz="4" w:space="0"/>
            </w:tcBorders>
            <w:vAlign w:val="center"/>
          </w:tcPr>
          <w:p>
            <w:pPr>
              <w:pStyle w:val="4"/>
              <w:tabs>
                <w:tab w:val="clear" w:pos="720"/>
              </w:tabs>
              <w:spacing w:line="500" w:lineRule="exact"/>
              <w:ind w:left="0" w:firstLine="0"/>
              <w:contextualSpacing/>
              <w:outlineLvl w:val="9"/>
              <w:rPr>
                <w:rFonts w:asciiTheme="minorEastAsia" w:hAnsiTheme="minorEastAsia" w:eastAsiaTheme="minorEastAsia"/>
                <w:b w:val="0"/>
                <w:color w:val="000000"/>
                <w:sz w:val="21"/>
                <w:szCs w:val="21"/>
              </w:rPr>
            </w:pPr>
            <w:r>
              <w:rPr>
                <w:rFonts w:hint="eastAsia" w:asciiTheme="minorEastAsia" w:hAnsiTheme="minorEastAsia" w:eastAsiaTheme="minorEastAsia"/>
                <w:b w:val="0"/>
                <w:color w:val="000000"/>
                <w:sz w:val="21"/>
                <w:szCs w:val="21"/>
              </w:rPr>
              <w:t>反吹</w:t>
            </w:r>
          </w:p>
        </w:tc>
      </w:tr>
    </w:tbl>
    <w:p>
      <w:pPr>
        <w:pStyle w:val="3"/>
        <w:spacing w:line="500" w:lineRule="exact"/>
        <w:contextualSpacing/>
        <w:rPr>
          <w:rFonts w:asciiTheme="minorEastAsia" w:hAnsiTheme="minorEastAsia" w:eastAsiaTheme="minorEastAsia"/>
          <w:color w:val="000000"/>
          <w:szCs w:val="24"/>
        </w:rPr>
      </w:pPr>
    </w:p>
    <w:p>
      <w:pPr>
        <w:autoSpaceDE w:val="0"/>
        <w:autoSpaceDN w:val="0"/>
        <w:ind w:right="-220" w:rightChars="-100"/>
        <w:rPr>
          <w:rFonts w:ascii="仿宋" w:hAnsi="仿宋" w:eastAsia="仿宋"/>
          <w:bCs/>
          <w:sz w:val="28"/>
          <w:szCs w:val="28"/>
        </w:rPr>
      </w:pPr>
    </w:p>
    <w:tbl>
      <w:tblPr>
        <w:tblStyle w:val="5"/>
        <w:tblW w:w="7902"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3"/>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933" w:type="dxa"/>
          </w:tcPr>
          <w:p>
            <w:pPr>
              <w:autoSpaceDE w:val="0"/>
              <w:autoSpaceDN w:val="0"/>
              <w:ind w:right="-220" w:rightChars="-100"/>
              <w:jc w:val="center"/>
              <w:rPr>
                <w:rFonts w:ascii="仿宋" w:hAnsi="仿宋" w:eastAsia="仿宋"/>
                <w:sz w:val="24"/>
              </w:rPr>
            </w:pPr>
            <w:r>
              <w:rPr>
                <w:rFonts w:hint="eastAsia" w:ascii="仿宋" w:hAnsi="仿宋" w:eastAsia="仿宋"/>
                <w:sz w:val="24"/>
              </w:rPr>
              <w:t>甲方</w:t>
            </w:r>
          </w:p>
        </w:tc>
        <w:tc>
          <w:tcPr>
            <w:tcW w:w="3969" w:type="dxa"/>
          </w:tcPr>
          <w:p>
            <w:pPr>
              <w:autoSpaceDE w:val="0"/>
              <w:autoSpaceDN w:val="0"/>
              <w:ind w:right="-220" w:rightChars="-100"/>
              <w:jc w:val="center"/>
              <w:rPr>
                <w:rFonts w:ascii="仿宋" w:hAnsi="仿宋" w:eastAsia="仿宋"/>
                <w:sz w:val="24"/>
              </w:rPr>
            </w:pPr>
            <w:r>
              <w:rPr>
                <w:rFonts w:hint="eastAsia" w:ascii="仿宋" w:hAnsi="仿宋" w:eastAsia="仿宋"/>
                <w:sz w:val="24"/>
              </w:rPr>
              <w:t>乙方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0" w:hRule="atLeast"/>
        </w:trPr>
        <w:tc>
          <w:tcPr>
            <w:tcW w:w="3933" w:type="dxa"/>
          </w:tcPr>
          <w:p>
            <w:pPr>
              <w:autoSpaceDE w:val="0"/>
              <w:autoSpaceDN w:val="0"/>
              <w:ind w:left="1200" w:right="-220" w:rightChars="-100" w:hanging="1200" w:hangingChars="500"/>
              <w:rPr>
                <w:rFonts w:ascii="仿宋" w:hAnsi="仿宋" w:eastAsia="仿宋"/>
                <w:sz w:val="24"/>
              </w:rPr>
            </w:pPr>
            <w:r>
              <w:rPr>
                <w:rFonts w:hint="eastAsia" w:ascii="仿宋" w:hAnsi="仿宋" w:eastAsia="仿宋"/>
                <w:sz w:val="24"/>
              </w:rPr>
              <w:t>单位名称;内蒙古霍煤通顺碳素有限责任公司</w:t>
            </w:r>
          </w:p>
          <w:p>
            <w:pPr>
              <w:autoSpaceDE w:val="0"/>
              <w:autoSpaceDN w:val="0"/>
              <w:ind w:right="-220" w:rightChars="-100"/>
              <w:rPr>
                <w:rFonts w:ascii="仿宋" w:hAnsi="仿宋" w:eastAsia="仿宋"/>
                <w:sz w:val="24"/>
              </w:rPr>
            </w:pPr>
            <w:r>
              <w:rPr>
                <w:rFonts w:hint="eastAsia" w:ascii="仿宋" w:hAnsi="仿宋" w:eastAsia="仿宋"/>
                <w:sz w:val="24"/>
              </w:rPr>
              <w:t>地址：科尔沁区新工四路</w:t>
            </w:r>
          </w:p>
          <w:p>
            <w:pPr>
              <w:autoSpaceDE w:val="0"/>
              <w:autoSpaceDN w:val="0"/>
              <w:ind w:right="-220" w:rightChars="-100"/>
              <w:rPr>
                <w:rFonts w:ascii="仿宋" w:hAnsi="仿宋" w:eastAsia="仿宋"/>
                <w:sz w:val="24"/>
              </w:rPr>
            </w:pPr>
          </w:p>
          <w:p>
            <w:pPr>
              <w:autoSpaceDE w:val="0"/>
              <w:autoSpaceDN w:val="0"/>
              <w:ind w:right="-220" w:rightChars="-100"/>
              <w:rPr>
                <w:rFonts w:ascii="仿宋" w:hAnsi="仿宋" w:eastAsia="仿宋"/>
                <w:sz w:val="24"/>
              </w:rPr>
            </w:pPr>
            <w:r>
              <w:rPr>
                <w:rFonts w:hint="eastAsia" w:ascii="仿宋" w:hAnsi="仿宋" w:eastAsia="仿宋"/>
                <w:sz w:val="24"/>
              </w:rPr>
              <w:t>法定代表人;</w:t>
            </w:r>
            <w:r>
              <w:rPr>
                <w:rFonts w:ascii="仿宋" w:hAnsi="仿宋" w:eastAsia="仿宋"/>
                <w:sz w:val="24"/>
              </w:rPr>
              <w:t xml:space="preserve"> </w:t>
            </w:r>
          </w:p>
          <w:p>
            <w:pPr>
              <w:autoSpaceDE w:val="0"/>
              <w:autoSpaceDN w:val="0"/>
              <w:ind w:right="-220" w:rightChars="-100"/>
              <w:rPr>
                <w:rFonts w:ascii="仿宋" w:hAnsi="仿宋" w:eastAsia="仿宋"/>
                <w:sz w:val="24"/>
              </w:rPr>
            </w:pPr>
          </w:p>
          <w:p>
            <w:pPr>
              <w:autoSpaceDE w:val="0"/>
              <w:autoSpaceDN w:val="0"/>
              <w:ind w:right="-220" w:rightChars="-100"/>
              <w:rPr>
                <w:rFonts w:ascii="仿宋" w:hAnsi="仿宋" w:eastAsia="仿宋"/>
                <w:sz w:val="24"/>
              </w:rPr>
            </w:pPr>
            <w:r>
              <w:rPr>
                <w:rFonts w:hint="eastAsia" w:ascii="仿宋" w:hAnsi="仿宋" w:eastAsia="仿宋"/>
                <w:sz w:val="24"/>
              </w:rPr>
              <w:t>委托代理人;</w:t>
            </w:r>
          </w:p>
          <w:p>
            <w:pPr>
              <w:autoSpaceDE w:val="0"/>
              <w:autoSpaceDN w:val="0"/>
              <w:ind w:right="-220" w:rightChars="-100"/>
              <w:rPr>
                <w:rFonts w:ascii="仿宋" w:hAnsi="仿宋" w:eastAsia="仿宋"/>
                <w:sz w:val="24"/>
              </w:rPr>
            </w:pPr>
          </w:p>
          <w:p>
            <w:pPr>
              <w:autoSpaceDE w:val="0"/>
              <w:autoSpaceDN w:val="0"/>
              <w:ind w:right="-220" w:rightChars="-100"/>
              <w:rPr>
                <w:rFonts w:ascii="仿宋" w:hAnsi="仿宋" w:eastAsia="仿宋"/>
                <w:sz w:val="24"/>
              </w:rPr>
            </w:pPr>
            <w:r>
              <w:rPr>
                <w:rFonts w:hint="eastAsia" w:ascii="仿宋" w:hAnsi="仿宋" w:eastAsia="仿宋"/>
                <w:sz w:val="24"/>
              </w:rPr>
              <w:t>电话：0475-8422663</w:t>
            </w:r>
          </w:p>
          <w:p>
            <w:pPr>
              <w:autoSpaceDE w:val="0"/>
              <w:autoSpaceDN w:val="0"/>
              <w:ind w:right="-220" w:rightChars="-100"/>
              <w:rPr>
                <w:rFonts w:ascii="仿宋" w:hAnsi="仿宋" w:eastAsia="仿宋"/>
                <w:sz w:val="24"/>
              </w:rPr>
            </w:pPr>
          </w:p>
          <w:p>
            <w:pPr>
              <w:autoSpaceDE w:val="0"/>
              <w:autoSpaceDN w:val="0"/>
              <w:ind w:left="1080" w:right="-220" w:rightChars="-100" w:hanging="1080" w:hangingChars="450"/>
              <w:rPr>
                <w:rFonts w:ascii="仿宋" w:hAnsi="仿宋" w:eastAsia="仿宋"/>
                <w:bCs/>
                <w:sz w:val="24"/>
              </w:rPr>
            </w:pPr>
            <w:r>
              <w:rPr>
                <w:rFonts w:hint="eastAsia" w:ascii="仿宋" w:hAnsi="仿宋" w:eastAsia="仿宋"/>
                <w:sz w:val="24"/>
              </w:rPr>
              <w:t>开户银行;</w:t>
            </w:r>
          </w:p>
          <w:p>
            <w:pPr>
              <w:autoSpaceDE w:val="0"/>
              <w:autoSpaceDN w:val="0"/>
              <w:ind w:left="1080" w:right="-220" w:rightChars="-100" w:hanging="1080" w:hangingChars="450"/>
              <w:rPr>
                <w:rFonts w:ascii="仿宋" w:hAnsi="仿宋" w:eastAsia="仿宋"/>
                <w:bCs/>
                <w:sz w:val="24"/>
              </w:rPr>
            </w:pPr>
          </w:p>
          <w:p>
            <w:pPr>
              <w:autoSpaceDE w:val="0"/>
              <w:autoSpaceDN w:val="0"/>
              <w:ind w:right="-220" w:rightChars="-100"/>
              <w:rPr>
                <w:rFonts w:ascii="仿宋" w:hAnsi="仿宋" w:eastAsia="仿宋"/>
                <w:bCs/>
                <w:sz w:val="24"/>
              </w:rPr>
            </w:pPr>
            <w:r>
              <w:rPr>
                <w:rFonts w:hint="eastAsia" w:ascii="仿宋" w:hAnsi="仿宋" w:eastAsia="仿宋"/>
                <w:bCs/>
                <w:sz w:val="24"/>
              </w:rPr>
              <w:t>账号：</w:t>
            </w:r>
          </w:p>
          <w:p>
            <w:pPr>
              <w:autoSpaceDE w:val="0"/>
              <w:autoSpaceDN w:val="0"/>
              <w:ind w:right="-220" w:rightChars="-100"/>
              <w:rPr>
                <w:rFonts w:ascii="仿宋" w:hAnsi="仿宋" w:eastAsia="仿宋"/>
                <w:bCs/>
                <w:sz w:val="24"/>
              </w:rPr>
            </w:pPr>
          </w:p>
          <w:p>
            <w:pPr>
              <w:autoSpaceDE w:val="0"/>
              <w:autoSpaceDN w:val="0"/>
              <w:ind w:right="-220" w:rightChars="-100"/>
              <w:rPr>
                <w:rFonts w:ascii="仿宋" w:hAnsi="仿宋" w:eastAsia="仿宋"/>
                <w:sz w:val="24"/>
              </w:rPr>
            </w:pPr>
            <w:r>
              <w:rPr>
                <w:rFonts w:hint="eastAsia" w:ascii="仿宋" w:hAnsi="仿宋" w:eastAsia="仿宋"/>
                <w:bCs/>
                <w:sz w:val="24"/>
              </w:rPr>
              <w:t>合同签订时间;</w:t>
            </w:r>
          </w:p>
        </w:tc>
        <w:tc>
          <w:tcPr>
            <w:tcW w:w="3969" w:type="dxa"/>
          </w:tcPr>
          <w:p>
            <w:pPr>
              <w:autoSpaceDE w:val="0"/>
              <w:autoSpaceDN w:val="0"/>
              <w:ind w:left="1080" w:right="-220" w:rightChars="-100" w:hanging="1080" w:hangingChars="450"/>
              <w:rPr>
                <w:rFonts w:ascii="仿宋" w:hAnsi="仿宋" w:eastAsia="仿宋"/>
                <w:sz w:val="24"/>
              </w:rPr>
            </w:pPr>
            <w:r>
              <w:rPr>
                <w:rFonts w:hint="eastAsia" w:ascii="仿宋" w:hAnsi="仿宋" w:eastAsia="仿宋"/>
                <w:sz w:val="24"/>
              </w:rPr>
              <w:t>单位名称;</w:t>
            </w:r>
            <w:r>
              <w:rPr>
                <w:rFonts w:ascii="仿宋" w:hAnsi="仿宋" w:eastAsia="仿宋"/>
                <w:sz w:val="24"/>
              </w:rPr>
              <w:t xml:space="preserve"> </w:t>
            </w:r>
          </w:p>
          <w:p>
            <w:pPr>
              <w:autoSpaceDE w:val="0"/>
              <w:autoSpaceDN w:val="0"/>
              <w:ind w:left="1089" w:leftChars="495" w:right="-220" w:rightChars="-100" w:firstLine="120" w:firstLineChars="50"/>
              <w:rPr>
                <w:rFonts w:ascii="仿宋" w:hAnsi="仿宋" w:eastAsia="仿宋"/>
                <w:sz w:val="24"/>
              </w:rPr>
            </w:pPr>
          </w:p>
          <w:p>
            <w:pPr>
              <w:autoSpaceDE w:val="0"/>
              <w:autoSpaceDN w:val="0"/>
              <w:ind w:right="-220" w:rightChars="-100"/>
              <w:rPr>
                <w:rFonts w:ascii="仿宋" w:hAnsi="仿宋" w:eastAsia="仿宋"/>
                <w:sz w:val="24"/>
              </w:rPr>
            </w:pPr>
            <w:r>
              <w:rPr>
                <w:rFonts w:hint="eastAsia" w:ascii="仿宋" w:hAnsi="仿宋" w:eastAsia="仿宋"/>
                <w:sz w:val="24"/>
              </w:rPr>
              <w:t>地址：</w:t>
            </w:r>
            <w:r>
              <w:rPr>
                <w:rFonts w:ascii="仿宋" w:hAnsi="仿宋" w:eastAsia="仿宋"/>
                <w:sz w:val="24"/>
              </w:rPr>
              <w:t xml:space="preserve"> </w:t>
            </w:r>
          </w:p>
          <w:p>
            <w:pPr>
              <w:autoSpaceDE w:val="0"/>
              <w:autoSpaceDN w:val="0"/>
              <w:ind w:right="-220" w:rightChars="-100"/>
              <w:rPr>
                <w:rFonts w:ascii="仿宋" w:hAnsi="仿宋" w:eastAsia="仿宋"/>
                <w:sz w:val="24"/>
              </w:rPr>
            </w:pPr>
          </w:p>
          <w:p>
            <w:pPr>
              <w:autoSpaceDE w:val="0"/>
              <w:autoSpaceDN w:val="0"/>
              <w:ind w:right="-220" w:rightChars="-100"/>
              <w:rPr>
                <w:rFonts w:ascii="仿宋" w:hAnsi="仿宋" w:eastAsia="仿宋"/>
                <w:sz w:val="24"/>
              </w:rPr>
            </w:pPr>
            <w:r>
              <w:rPr>
                <w:rFonts w:hint="eastAsia" w:ascii="仿宋" w:hAnsi="仿宋" w:eastAsia="仿宋"/>
                <w:sz w:val="24"/>
              </w:rPr>
              <w:t>法定代表人：</w:t>
            </w:r>
            <w:r>
              <w:rPr>
                <w:rFonts w:ascii="仿宋" w:hAnsi="仿宋" w:eastAsia="仿宋"/>
                <w:sz w:val="24"/>
              </w:rPr>
              <w:t xml:space="preserve"> </w:t>
            </w:r>
          </w:p>
          <w:p>
            <w:pPr>
              <w:autoSpaceDE w:val="0"/>
              <w:autoSpaceDN w:val="0"/>
              <w:ind w:right="-220" w:rightChars="-100"/>
              <w:rPr>
                <w:rFonts w:ascii="仿宋" w:hAnsi="仿宋" w:eastAsia="仿宋"/>
                <w:sz w:val="24"/>
              </w:rPr>
            </w:pPr>
          </w:p>
          <w:p>
            <w:pPr>
              <w:autoSpaceDE w:val="0"/>
              <w:autoSpaceDN w:val="0"/>
              <w:ind w:right="-220" w:rightChars="-100"/>
              <w:rPr>
                <w:rFonts w:ascii="仿宋" w:hAnsi="仿宋" w:eastAsia="仿宋"/>
                <w:sz w:val="24"/>
              </w:rPr>
            </w:pPr>
            <w:r>
              <w:rPr>
                <w:rFonts w:hint="eastAsia" w:ascii="仿宋" w:hAnsi="仿宋" w:eastAsia="仿宋"/>
                <w:sz w:val="24"/>
              </w:rPr>
              <w:t>委托代理人;</w:t>
            </w:r>
          </w:p>
          <w:p>
            <w:pPr>
              <w:autoSpaceDE w:val="0"/>
              <w:autoSpaceDN w:val="0"/>
              <w:ind w:right="-220" w:rightChars="-100"/>
              <w:rPr>
                <w:rFonts w:ascii="仿宋" w:hAnsi="仿宋" w:eastAsia="仿宋"/>
                <w:sz w:val="24"/>
              </w:rPr>
            </w:pPr>
          </w:p>
          <w:p>
            <w:pPr>
              <w:autoSpaceDE w:val="0"/>
              <w:autoSpaceDN w:val="0"/>
              <w:ind w:right="-220" w:rightChars="-100"/>
              <w:rPr>
                <w:rFonts w:ascii="仿宋" w:hAnsi="仿宋" w:eastAsia="仿宋"/>
                <w:sz w:val="24"/>
              </w:rPr>
            </w:pPr>
            <w:r>
              <w:rPr>
                <w:rFonts w:hint="eastAsia" w:ascii="仿宋" w:hAnsi="仿宋" w:eastAsia="仿宋"/>
                <w:sz w:val="24"/>
              </w:rPr>
              <w:t>电话：</w:t>
            </w:r>
          </w:p>
          <w:p>
            <w:pPr>
              <w:autoSpaceDE w:val="0"/>
              <w:autoSpaceDN w:val="0"/>
              <w:ind w:right="-220" w:rightChars="-100"/>
              <w:rPr>
                <w:rFonts w:ascii="仿宋" w:hAnsi="仿宋" w:eastAsia="仿宋"/>
                <w:sz w:val="24"/>
              </w:rPr>
            </w:pPr>
          </w:p>
          <w:p>
            <w:pPr>
              <w:autoSpaceDE w:val="0"/>
              <w:autoSpaceDN w:val="0"/>
              <w:ind w:left="1080" w:right="-220" w:rightChars="-100" w:hanging="1080" w:hangingChars="450"/>
              <w:rPr>
                <w:rFonts w:ascii="仿宋" w:hAnsi="仿宋" w:eastAsia="仿宋"/>
                <w:bCs/>
                <w:sz w:val="24"/>
              </w:rPr>
            </w:pPr>
            <w:r>
              <w:rPr>
                <w:rFonts w:hint="eastAsia" w:ascii="仿宋" w:hAnsi="仿宋" w:eastAsia="仿宋"/>
                <w:sz w:val="24"/>
              </w:rPr>
              <w:t>开户银行;</w:t>
            </w:r>
            <w:r>
              <w:rPr>
                <w:rFonts w:ascii="仿宋" w:hAnsi="仿宋" w:eastAsia="仿宋"/>
                <w:bCs/>
                <w:sz w:val="24"/>
              </w:rPr>
              <w:t xml:space="preserve"> </w:t>
            </w:r>
          </w:p>
          <w:p>
            <w:pPr>
              <w:autoSpaceDE w:val="0"/>
              <w:autoSpaceDN w:val="0"/>
              <w:ind w:right="-220" w:rightChars="-100"/>
              <w:rPr>
                <w:rFonts w:ascii="仿宋" w:hAnsi="仿宋" w:eastAsia="仿宋"/>
                <w:bCs/>
                <w:sz w:val="24"/>
              </w:rPr>
            </w:pPr>
            <w:r>
              <w:rPr>
                <w:rFonts w:hint="eastAsia" w:ascii="仿宋" w:hAnsi="仿宋" w:eastAsia="仿宋"/>
                <w:bCs/>
                <w:sz w:val="24"/>
              </w:rPr>
              <w:t>账号：</w:t>
            </w:r>
          </w:p>
          <w:p>
            <w:pPr>
              <w:autoSpaceDE w:val="0"/>
              <w:autoSpaceDN w:val="0"/>
              <w:ind w:right="-220" w:rightChars="-100"/>
              <w:rPr>
                <w:rFonts w:ascii="仿宋" w:hAnsi="仿宋" w:eastAsia="仿宋"/>
                <w:bCs/>
                <w:sz w:val="24"/>
              </w:rPr>
            </w:pPr>
          </w:p>
          <w:p>
            <w:pPr>
              <w:autoSpaceDE w:val="0"/>
              <w:autoSpaceDN w:val="0"/>
              <w:ind w:right="-220" w:rightChars="-100"/>
              <w:rPr>
                <w:rFonts w:ascii="仿宋" w:hAnsi="仿宋" w:eastAsia="仿宋"/>
                <w:sz w:val="24"/>
              </w:rPr>
            </w:pPr>
            <w:r>
              <w:rPr>
                <w:rFonts w:hint="eastAsia" w:ascii="仿宋" w:hAnsi="仿宋" w:eastAsia="仿宋"/>
                <w:bCs/>
                <w:sz w:val="24"/>
              </w:rPr>
              <w:t>合同签订时间;</w:t>
            </w:r>
          </w:p>
        </w:tc>
      </w:tr>
    </w:tbl>
    <w:p>
      <w:pPr>
        <w:rPr>
          <w:rFonts w:ascii="仿宋" w:hAnsi="仿宋" w:eastAsia="仿宋"/>
          <w:sz w:val="28"/>
          <w:szCs w:val="28"/>
        </w:rPr>
      </w:pPr>
      <w:r>
        <w:rPr>
          <w:rFonts w:hint="eastAsia" w:ascii="仿宋" w:hAnsi="仿宋" w:eastAsia="仿宋"/>
          <w:sz w:val="28"/>
          <w:szCs w:val="28"/>
        </w:rPr>
        <w:t xml:space="preserve"> </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wZmU2N2U0NmE3NTMxYzVkNjk4NWM2ZTY5MDYwYTYifQ=="/>
  </w:docVars>
  <w:rsids>
    <w:rsidRoot w:val="00000000"/>
    <w:rsid w:val="00890913"/>
    <w:rsid w:val="01B70606"/>
    <w:rsid w:val="02950DBC"/>
    <w:rsid w:val="02B230BA"/>
    <w:rsid w:val="03472096"/>
    <w:rsid w:val="03CA504F"/>
    <w:rsid w:val="05725D77"/>
    <w:rsid w:val="084206CD"/>
    <w:rsid w:val="08BF71E9"/>
    <w:rsid w:val="0A21695C"/>
    <w:rsid w:val="0B4A10F9"/>
    <w:rsid w:val="0B995CF6"/>
    <w:rsid w:val="0C167444"/>
    <w:rsid w:val="0D95362E"/>
    <w:rsid w:val="0FDA37CB"/>
    <w:rsid w:val="119D3241"/>
    <w:rsid w:val="12234061"/>
    <w:rsid w:val="12671CA6"/>
    <w:rsid w:val="143E012C"/>
    <w:rsid w:val="15C37F48"/>
    <w:rsid w:val="16FF6FB0"/>
    <w:rsid w:val="179424F2"/>
    <w:rsid w:val="18A4210C"/>
    <w:rsid w:val="1B5537B9"/>
    <w:rsid w:val="1B8461A4"/>
    <w:rsid w:val="1DF609B4"/>
    <w:rsid w:val="1F6E38D0"/>
    <w:rsid w:val="20E916CA"/>
    <w:rsid w:val="215E7624"/>
    <w:rsid w:val="21D67DC4"/>
    <w:rsid w:val="224F195B"/>
    <w:rsid w:val="22D503FB"/>
    <w:rsid w:val="28873C43"/>
    <w:rsid w:val="29717ED3"/>
    <w:rsid w:val="2A402DEE"/>
    <w:rsid w:val="2A8C7A63"/>
    <w:rsid w:val="2E70095C"/>
    <w:rsid w:val="2EDF0306"/>
    <w:rsid w:val="317D748B"/>
    <w:rsid w:val="36090ACA"/>
    <w:rsid w:val="37CF5D8A"/>
    <w:rsid w:val="37D428A8"/>
    <w:rsid w:val="38591A32"/>
    <w:rsid w:val="39207382"/>
    <w:rsid w:val="399545CA"/>
    <w:rsid w:val="3A5F39F4"/>
    <w:rsid w:val="3D5133A9"/>
    <w:rsid w:val="3D555E4D"/>
    <w:rsid w:val="3E5526D5"/>
    <w:rsid w:val="41CF70D2"/>
    <w:rsid w:val="42367347"/>
    <w:rsid w:val="43784FEE"/>
    <w:rsid w:val="4D115A62"/>
    <w:rsid w:val="4D7C0D44"/>
    <w:rsid w:val="4F7656B8"/>
    <w:rsid w:val="4FC26060"/>
    <w:rsid w:val="4FEC113D"/>
    <w:rsid w:val="501365CF"/>
    <w:rsid w:val="50651FB7"/>
    <w:rsid w:val="508E2FAC"/>
    <w:rsid w:val="50B7452E"/>
    <w:rsid w:val="510562E8"/>
    <w:rsid w:val="513055ED"/>
    <w:rsid w:val="51731A06"/>
    <w:rsid w:val="520854DB"/>
    <w:rsid w:val="536D371F"/>
    <w:rsid w:val="53801D8D"/>
    <w:rsid w:val="5477340E"/>
    <w:rsid w:val="56080E50"/>
    <w:rsid w:val="57B6743E"/>
    <w:rsid w:val="58317B28"/>
    <w:rsid w:val="58603D75"/>
    <w:rsid w:val="594814B5"/>
    <w:rsid w:val="597220D7"/>
    <w:rsid w:val="59932331"/>
    <w:rsid w:val="5A85278A"/>
    <w:rsid w:val="5B0E4293"/>
    <w:rsid w:val="5B94142A"/>
    <w:rsid w:val="5D690A95"/>
    <w:rsid w:val="5F1D4A5C"/>
    <w:rsid w:val="5FA970EE"/>
    <w:rsid w:val="60061F15"/>
    <w:rsid w:val="610D1DF3"/>
    <w:rsid w:val="63134B98"/>
    <w:rsid w:val="639A09CB"/>
    <w:rsid w:val="691A536D"/>
    <w:rsid w:val="69F11267"/>
    <w:rsid w:val="6DAC167D"/>
    <w:rsid w:val="6ECA0AA9"/>
    <w:rsid w:val="6EFD62BC"/>
    <w:rsid w:val="704C7DE6"/>
    <w:rsid w:val="711A483B"/>
    <w:rsid w:val="71716CB9"/>
    <w:rsid w:val="71830FAF"/>
    <w:rsid w:val="71A21745"/>
    <w:rsid w:val="71DB22F0"/>
    <w:rsid w:val="72DC4EEE"/>
    <w:rsid w:val="73E553C5"/>
    <w:rsid w:val="74872367"/>
    <w:rsid w:val="76582BA1"/>
    <w:rsid w:val="77144511"/>
    <w:rsid w:val="77A01D46"/>
    <w:rsid w:val="78E254F7"/>
    <w:rsid w:val="793A42A3"/>
    <w:rsid w:val="79F27C05"/>
    <w:rsid w:val="7A2108F1"/>
    <w:rsid w:val="7A7B0900"/>
    <w:rsid w:val="7C3914ED"/>
    <w:rsid w:val="7EEF6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kern w:val="0"/>
      <w:sz w:val="2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unhideWhenUsed/>
    <w:qFormat/>
    <w:uiPriority w:val="0"/>
    <w:pPr>
      <w:widowControl w:val="0"/>
      <w:adjustRightInd/>
      <w:snapToGrid/>
      <w:spacing w:after="0"/>
      <w:jc w:val="both"/>
    </w:pPr>
    <w:rPr>
      <w:rFonts w:ascii="宋体" w:hAnsi="Times New Roman" w:eastAsia="宋体" w:cs="Times New Roman"/>
      <w:position w:val="-6"/>
      <w:sz w:val="24"/>
      <w:szCs w:val="20"/>
    </w:rPr>
  </w:style>
  <w:style w:type="paragraph" w:styleId="4">
    <w:name w:val="Title"/>
    <w:basedOn w:val="1"/>
    <w:qFormat/>
    <w:uiPriority w:val="0"/>
    <w:pPr>
      <w:widowControl w:val="0"/>
      <w:tabs>
        <w:tab w:val="left" w:pos="480"/>
        <w:tab w:val="left" w:pos="720"/>
      </w:tabs>
      <w:snapToGrid/>
      <w:spacing w:before="240" w:after="60"/>
      <w:ind w:left="720" w:hanging="720"/>
      <w:jc w:val="center"/>
      <w:outlineLvl w:val="0"/>
    </w:pPr>
    <w:rPr>
      <w:rFonts w:ascii="Arial" w:hAnsi="Arial" w:eastAsia="宋体" w:cs="Arial"/>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2021-10-25T00:44:00Z</dcterms:created>
  <dc:creator>CGB_WJ</dc:creator>
  <cp:lastModifiedBy>NTKO</cp:lastModifiedBy>
  <dcterms:modified xsi:type="dcterms:W3CDTF">2022-10-16T04:25:58Z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09C60D11FF494AB0A90FBC06088CAAA8</vt:lpwstr>
  </property>
</Properties>
</file>