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方正小标宋简体" w:hAnsi="方正小标宋简体" w:eastAsia="方正小标宋简体" w:cs="方正小标宋简体"/>
          <w:b w:val="0"/>
          <w:bCs w:val="0"/>
          <w:sz w:val="44"/>
          <w:szCs w:val="44"/>
        </w:rPr>
      </w:pPr>
      <w:bookmarkStart w:id="0" w:name="_Toc92188461"/>
      <w:r>
        <w:rPr>
          <w:rFonts w:hint="eastAsia" w:ascii="方正小标宋简体" w:hAnsi="方正小标宋简体" w:eastAsia="方正小标宋简体" w:cs="方正小标宋简体"/>
          <w:b w:val="0"/>
          <w:bCs w:val="0"/>
          <w:sz w:val="44"/>
          <w:szCs w:val="44"/>
          <w:lang w:val="en-US" w:eastAsia="zh-CN"/>
        </w:rPr>
        <w:t>小庄路P美式变</w:t>
      </w:r>
      <w:r>
        <w:rPr>
          <w:rFonts w:ascii="方正小标宋简体" w:hAnsi="方正小标宋简体" w:eastAsia="方正小标宋简体" w:cs="方正小标宋简体"/>
          <w:b w:val="0"/>
          <w:bCs w:val="0"/>
          <w:sz w:val="44"/>
          <w:szCs w:val="44"/>
        </w:rPr>
        <w:t>技术</w:t>
      </w:r>
      <w:r>
        <w:rPr>
          <w:rFonts w:hint="eastAsia" w:ascii="方正小标宋简体" w:hAnsi="方正小标宋简体" w:eastAsia="方正小标宋简体" w:cs="方正小标宋简体"/>
          <w:b w:val="0"/>
          <w:bCs w:val="0"/>
          <w:sz w:val="44"/>
          <w:szCs w:val="44"/>
        </w:rPr>
        <w:t>文件</w:t>
      </w:r>
      <w:bookmarkEnd w:id="0"/>
      <w:bookmarkStart w:id="1" w:name="_Toc69220035"/>
      <w:bookmarkStart w:id="2" w:name="_Toc69196712"/>
      <w:bookmarkStart w:id="3" w:name="_Toc69309019"/>
      <w:bookmarkStart w:id="4" w:name="_Toc68772823"/>
      <w:bookmarkStart w:id="5" w:name="_Toc69367708"/>
    </w:p>
    <w:bookmarkEnd w:id="1"/>
    <w:bookmarkEnd w:id="2"/>
    <w:bookmarkEnd w:id="3"/>
    <w:bookmarkEnd w:id="4"/>
    <w:bookmarkEnd w:id="5"/>
    <w:p>
      <w:pPr>
        <w:pStyle w:val="3"/>
        <w:ind w:left="420" w:right="210"/>
        <w:rPr>
          <w:rFonts w:hint="eastAsia"/>
        </w:rPr>
      </w:pPr>
      <w:bookmarkStart w:id="6" w:name="_Toc92188462"/>
      <w:r>
        <w:rPr>
          <w:rFonts w:hint="eastAsia"/>
        </w:rPr>
        <w:t>一、招标内容</w:t>
      </w:r>
      <w:bookmarkEnd w:id="6"/>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2051"/>
        <w:gridCol w:w="855"/>
        <w:gridCol w:w="1785"/>
        <w:gridCol w:w="1160"/>
        <w:gridCol w:w="1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94" w:type="dxa"/>
            <w:noWrap w:val="0"/>
            <w:vAlign w:val="center"/>
          </w:tcPr>
          <w:p>
            <w:pPr>
              <w:spacing w:line="360" w:lineRule="auto"/>
              <w:jc w:val="center"/>
              <w:rPr>
                <w:rFonts w:hint="eastAsia" w:ascii="宋体" w:hAnsi="宋体" w:cs="宋体"/>
                <w:color w:val="auto"/>
                <w:sz w:val="24"/>
              </w:rPr>
            </w:pPr>
            <w:bookmarkStart w:id="7" w:name="_Toc68772824"/>
            <w:bookmarkStart w:id="8" w:name="_Toc69220036"/>
            <w:bookmarkStart w:id="9" w:name="_Toc92188463"/>
            <w:bookmarkStart w:id="10" w:name="_Toc69196713"/>
            <w:bookmarkStart w:id="11" w:name="_Toc69367709"/>
            <w:bookmarkStart w:id="12" w:name="_Toc69309020"/>
            <w:r>
              <w:rPr>
                <w:rFonts w:hint="eastAsia" w:ascii="宋体" w:hAnsi="宋体" w:cs="宋体"/>
                <w:color w:val="auto"/>
                <w:sz w:val="24"/>
              </w:rPr>
              <w:t>序号</w:t>
            </w:r>
          </w:p>
        </w:tc>
        <w:tc>
          <w:tcPr>
            <w:tcW w:w="2051"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名称</w:t>
            </w:r>
          </w:p>
        </w:tc>
        <w:tc>
          <w:tcPr>
            <w:tcW w:w="855"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数量</w:t>
            </w:r>
          </w:p>
        </w:tc>
        <w:tc>
          <w:tcPr>
            <w:tcW w:w="1785"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容量</w:t>
            </w:r>
          </w:p>
        </w:tc>
        <w:tc>
          <w:tcPr>
            <w:tcW w:w="1160"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路数</w:t>
            </w:r>
          </w:p>
        </w:tc>
        <w:tc>
          <w:tcPr>
            <w:tcW w:w="1455"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894" w:type="dxa"/>
            <w:noWrap w:val="0"/>
            <w:vAlign w:val="center"/>
          </w:tcPr>
          <w:p>
            <w:pPr>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lang w:val="en-US" w:eastAsia="zh-CN"/>
              </w:rPr>
              <w:t>1</w:t>
            </w:r>
          </w:p>
        </w:tc>
        <w:tc>
          <w:tcPr>
            <w:tcW w:w="2051" w:type="dxa"/>
            <w:noWrap w:val="0"/>
            <w:vAlign w:val="center"/>
          </w:tcPr>
          <w:p>
            <w:pPr>
              <w:jc w:val="center"/>
              <w:rPr>
                <w:rFonts w:hint="eastAsia" w:ascii="宋体" w:hAnsi="宋体" w:cs="宋体"/>
                <w:color w:val="auto"/>
                <w:kern w:val="0"/>
                <w:sz w:val="24"/>
                <w:szCs w:val="24"/>
                <w:lang w:val="en-US" w:eastAsia="zh-CN" w:bidi="ar-SA"/>
              </w:rPr>
            </w:pPr>
            <w:r>
              <w:rPr>
                <w:rFonts w:hint="eastAsia" w:ascii="宋体" w:hAnsi="宋体" w:cs="宋体"/>
                <w:color w:val="auto"/>
                <w:kern w:val="0"/>
                <w:sz w:val="24"/>
                <w:lang w:val="en-US" w:eastAsia="zh-CN"/>
              </w:rPr>
              <w:t>小庄路P</w:t>
            </w:r>
          </w:p>
        </w:tc>
        <w:tc>
          <w:tcPr>
            <w:tcW w:w="855" w:type="dxa"/>
            <w:noWrap w:val="0"/>
            <w:vAlign w:val="center"/>
          </w:tcPr>
          <w:p>
            <w:pPr>
              <w:jc w:val="center"/>
              <w:rPr>
                <w:rFonts w:hint="eastAsia" w:ascii="宋体" w:hAnsi="宋体" w:cs="宋体"/>
                <w:color w:val="auto"/>
                <w:kern w:val="0"/>
                <w:sz w:val="24"/>
                <w:szCs w:val="24"/>
                <w:lang w:val="en-US" w:eastAsia="zh-CN" w:bidi="ar-SA"/>
              </w:rPr>
            </w:pPr>
            <w:r>
              <w:rPr>
                <w:rFonts w:hint="eastAsia" w:ascii="宋体" w:hAnsi="宋体" w:cs="宋体"/>
                <w:color w:val="auto"/>
                <w:kern w:val="0"/>
                <w:sz w:val="24"/>
              </w:rPr>
              <w:t>1台</w:t>
            </w:r>
          </w:p>
        </w:tc>
        <w:tc>
          <w:tcPr>
            <w:tcW w:w="1785" w:type="dxa"/>
            <w:noWrap w:val="0"/>
            <w:vAlign w:val="center"/>
          </w:tcPr>
          <w:p>
            <w:pPr>
              <w:jc w:val="center"/>
              <w:rPr>
                <w:rFonts w:hint="eastAsia" w:ascii="宋体" w:hAnsi="宋体" w:cs="宋体"/>
                <w:color w:val="auto"/>
                <w:kern w:val="0"/>
                <w:sz w:val="24"/>
              </w:rPr>
            </w:pPr>
            <w:r>
              <w:rPr>
                <w:rFonts w:hint="eastAsia" w:ascii="宋体" w:hAnsi="宋体" w:cs="宋体"/>
                <w:color w:val="auto"/>
                <w:kern w:val="0"/>
                <w:sz w:val="24"/>
              </w:rPr>
              <w:t>10kV，</w:t>
            </w:r>
            <w:r>
              <w:rPr>
                <w:rFonts w:hint="eastAsia" w:ascii="宋体" w:hAnsi="宋体" w:cs="宋体"/>
                <w:color w:val="auto"/>
                <w:kern w:val="0"/>
                <w:sz w:val="24"/>
                <w:lang w:val="en-US" w:eastAsia="zh-CN"/>
              </w:rPr>
              <w:t>80</w:t>
            </w:r>
            <w:r>
              <w:rPr>
                <w:rFonts w:hint="eastAsia" w:ascii="宋体" w:hAnsi="宋体" w:cs="宋体"/>
                <w:color w:val="auto"/>
                <w:kern w:val="0"/>
                <w:sz w:val="24"/>
              </w:rPr>
              <w:t>kVA</w:t>
            </w:r>
          </w:p>
          <w:p>
            <w:pPr>
              <w:jc w:val="center"/>
              <w:rPr>
                <w:rFonts w:hint="eastAsia" w:ascii="宋体" w:hAnsi="宋体" w:cs="宋体"/>
                <w:color w:val="auto"/>
                <w:kern w:val="0"/>
                <w:sz w:val="24"/>
                <w:szCs w:val="24"/>
                <w:lang w:val="en-US" w:eastAsia="zh-CN" w:bidi="ar-SA"/>
              </w:rPr>
            </w:pPr>
            <w:r>
              <w:rPr>
                <w:rFonts w:hint="eastAsia" w:ascii="宋体" w:hAnsi="宋体" w:cs="宋体"/>
                <w:color w:val="auto"/>
                <w:kern w:val="0"/>
                <w:sz w:val="24"/>
                <w:lang w:val="en-US" w:eastAsia="zh-CN"/>
              </w:rPr>
              <w:t>美式</w:t>
            </w:r>
            <w:r>
              <w:rPr>
                <w:rFonts w:hint="eastAsia" w:ascii="宋体" w:hAnsi="宋体" w:cs="宋体"/>
                <w:color w:val="auto"/>
                <w:kern w:val="0"/>
                <w:sz w:val="24"/>
              </w:rPr>
              <w:t>变</w:t>
            </w:r>
          </w:p>
        </w:tc>
        <w:tc>
          <w:tcPr>
            <w:tcW w:w="1160" w:type="dxa"/>
            <w:noWrap w:val="0"/>
            <w:vAlign w:val="center"/>
          </w:tcPr>
          <w:p>
            <w:pPr>
              <w:jc w:val="center"/>
              <w:rPr>
                <w:rFonts w:hint="eastAsia" w:ascii="宋体" w:hAnsi="宋体" w:cs="宋体"/>
                <w:color w:val="auto"/>
                <w:kern w:val="0"/>
                <w:sz w:val="24"/>
                <w:szCs w:val="24"/>
                <w:lang w:val="en-US" w:eastAsia="zh-CN" w:bidi="ar-SA"/>
              </w:rPr>
            </w:pPr>
            <w:r>
              <w:rPr>
                <w:rFonts w:hint="eastAsia" w:ascii="宋体" w:hAnsi="宋体" w:cs="宋体"/>
                <w:color w:val="auto"/>
                <w:kern w:val="0"/>
                <w:sz w:val="24"/>
                <w:lang w:val="en-US" w:eastAsia="zh-CN"/>
              </w:rPr>
              <w:t>6</w:t>
            </w:r>
            <w:r>
              <w:rPr>
                <w:rFonts w:hint="eastAsia" w:ascii="宋体" w:hAnsi="宋体" w:cs="宋体"/>
                <w:color w:val="auto"/>
                <w:kern w:val="0"/>
                <w:sz w:val="24"/>
              </w:rPr>
              <w:t>路</w:t>
            </w:r>
          </w:p>
        </w:tc>
        <w:tc>
          <w:tcPr>
            <w:tcW w:w="1455" w:type="dxa"/>
            <w:noWrap w:val="0"/>
            <w:vAlign w:val="center"/>
          </w:tcPr>
          <w:p>
            <w:pPr>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94" w:type="dxa"/>
            <w:noWrap w:val="0"/>
            <w:vAlign w:val="center"/>
          </w:tcPr>
          <w:p>
            <w:pPr>
              <w:jc w:val="center"/>
              <w:rPr>
                <w:rFonts w:hint="eastAsia" w:ascii="宋体" w:hAnsi="宋体" w:cs="宋体"/>
                <w:color w:val="auto"/>
                <w:kern w:val="0"/>
                <w:sz w:val="24"/>
              </w:rPr>
            </w:pPr>
            <w:r>
              <w:rPr>
                <w:rFonts w:hint="eastAsia" w:ascii="宋体" w:hAnsi="宋体" w:cs="宋体"/>
                <w:color w:val="auto"/>
                <w:kern w:val="0"/>
                <w:sz w:val="24"/>
              </w:rPr>
              <w:t>备注</w:t>
            </w:r>
          </w:p>
        </w:tc>
        <w:tc>
          <w:tcPr>
            <w:tcW w:w="7306" w:type="dxa"/>
            <w:gridSpan w:val="5"/>
            <w:noWrap w:val="0"/>
            <w:vAlign w:val="center"/>
          </w:tcPr>
          <w:p>
            <w:pPr>
              <w:spacing w:line="360" w:lineRule="auto"/>
              <w:jc w:val="left"/>
              <w:rPr>
                <w:rFonts w:hint="eastAsia" w:ascii="宋体" w:hAnsi="宋体" w:cs="宋体"/>
                <w:color w:val="auto"/>
                <w:sz w:val="24"/>
              </w:rPr>
            </w:pPr>
            <w:r>
              <w:rPr>
                <w:rFonts w:hint="eastAsia" w:ascii="宋体" w:hAnsi="宋体" w:cs="宋体"/>
                <w:color w:val="auto"/>
                <w:sz w:val="24"/>
              </w:rPr>
              <w:t>本次数量合计</w:t>
            </w:r>
            <w:r>
              <w:rPr>
                <w:rFonts w:hint="eastAsia" w:ascii="宋体" w:hAnsi="宋体" w:cs="宋体"/>
                <w:color w:val="auto"/>
                <w:sz w:val="24"/>
                <w:lang w:val="en-US" w:eastAsia="zh-CN"/>
              </w:rPr>
              <w:t>1</w:t>
            </w:r>
            <w:r>
              <w:rPr>
                <w:rFonts w:hint="eastAsia" w:ascii="宋体" w:hAnsi="宋体" w:cs="宋体"/>
                <w:color w:val="auto"/>
                <w:sz w:val="24"/>
              </w:rPr>
              <w:t>台</w:t>
            </w:r>
            <w:r>
              <w:rPr>
                <w:rFonts w:hint="eastAsia" w:ascii="宋体" w:hAnsi="宋体" w:cs="宋体"/>
                <w:color w:val="auto"/>
                <w:sz w:val="24"/>
                <w:lang w:val="en-US" w:eastAsia="zh-CN"/>
              </w:rPr>
              <w:t>美</w:t>
            </w:r>
            <w:r>
              <w:rPr>
                <w:rFonts w:hint="eastAsia" w:ascii="宋体" w:hAnsi="宋体" w:cs="宋体"/>
                <w:color w:val="auto"/>
                <w:sz w:val="24"/>
              </w:rPr>
              <w:t>式变。</w:t>
            </w:r>
          </w:p>
        </w:tc>
      </w:tr>
    </w:tbl>
    <w:p>
      <w:pPr>
        <w:pStyle w:val="4"/>
        <w:overflowPunct w:val="0"/>
        <w:spacing w:line="360" w:lineRule="auto"/>
        <w:ind w:firstLine="504" w:firstLineChars="209"/>
        <w:jc w:val="both"/>
        <w:rPr>
          <w:rFonts w:hint="eastAsia" w:hAnsi="宋体" w:cs="宋体"/>
          <w:b/>
          <w:color w:val="auto"/>
        </w:rPr>
      </w:pPr>
      <w:r>
        <w:rPr>
          <w:rFonts w:hint="eastAsia" w:hAnsi="宋体"/>
          <w:b/>
          <w:color w:val="auto"/>
        </w:rPr>
        <w:t>（注：本次采购中的产品应能有放置三遥控制系统、防盗监控系统等设备的空间，预留相应的安装支架及接线等，但其三遥控制系统、防盗监控系统此两套产品的价格不包含在本次采购报价中，由采购方在需要时另行采购。图纸及材料清单另附电子档。）</w:t>
      </w:r>
    </w:p>
    <w:p>
      <w:pPr>
        <w:pStyle w:val="3"/>
        <w:spacing w:line="400" w:lineRule="exact"/>
        <w:ind w:left="199" w:leftChars="95" w:right="210"/>
        <w:rPr>
          <w:szCs w:val="28"/>
        </w:rPr>
      </w:pPr>
      <w:r>
        <w:rPr>
          <w:rFonts w:hint="eastAsia"/>
          <w:szCs w:val="28"/>
        </w:rPr>
        <w:t>二、</w:t>
      </w:r>
      <w:bookmarkEnd w:id="7"/>
      <w:bookmarkEnd w:id="8"/>
      <w:bookmarkEnd w:id="9"/>
      <w:bookmarkEnd w:id="10"/>
      <w:bookmarkEnd w:id="11"/>
      <w:bookmarkEnd w:id="12"/>
      <w:r>
        <w:rPr>
          <w:rFonts w:hint="eastAsia"/>
          <w:szCs w:val="28"/>
        </w:rPr>
        <w:t>技术要求</w:t>
      </w:r>
    </w:p>
    <w:p>
      <w:pPr>
        <w:jc w:val="center"/>
        <w:rPr>
          <w:rFonts w:hint="eastAsia" w:ascii="宋体" w:hAnsi="宋体" w:cs="宋体"/>
          <w:b/>
          <w:color w:val="auto"/>
          <w:sz w:val="24"/>
        </w:rPr>
      </w:pPr>
      <w:r>
        <w:rPr>
          <w:rFonts w:hint="eastAsia" w:ascii="宋体" w:hAnsi="宋体"/>
          <w:b/>
          <w:color w:val="auto"/>
          <w:spacing w:val="10"/>
          <w:sz w:val="24"/>
        </w:rPr>
        <w:t>（</w:t>
      </w:r>
      <w:r>
        <w:rPr>
          <w:rFonts w:hint="eastAsia" w:ascii="宋体" w:hAnsi="宋体"/>
          <w:b/>
          <w:color w:val="auto"/>
          <w:sz w:val="24"/>
        </w:rPr>
        <w:t>供应商应在</w:t>
      </w:r>
      <w:r>
        <w:rPr>
          <w:rFonts w:hint="eastAsia" w:ascii="宋体" w:hAnsi="宋体"/>
          <w:b/>
          <w:color w:val="auto"/>
          <w:sz w:val="24"/>
          <w:lang w:val="en-US" w:eastAsia="zh-CN"/>
        </w:rPr>
        <w:t>上传的报价明细</w:t>
      </w:r>
      <w:r>
        <w:rPr>
          <w:rFonts w:hint="eastAsia" w:ascii="宋体" w:hAnsi="宋体"/>
          <w:b/>
          <w:color w:val="auto"/>
          <w:sz w:val="24"/>
        </w:rPr>
        <w:t>中详细描述针对本项目的相应产品的技术参数。</w:t>
      </w:r>
      <w:r>
        <w:rPr>
          <w:rFonts w:hint="eastAsia" w:ascii="宋体" w:hAnsi="宋体"/>
          <w:b/>
          <w:color w:val="auto"/>
          <w:spacing w:val="10"/>
          <w:sz w:val="24"/>
        </w:rPr>
        <w:t>）</w:t>
      </w:r>
    </w:p>
    <w:p>
      <w:pPr>
        <w:spacing w:line="360" w:lineRule="auto"/>
        <w:rPr>
          <w:b/>
          <w:bCs/>
          <w:color w:val="auto"/>
          <w:sz w:val="24"/>
        </w:rPr>
      </w:pPr>
      <w:r>
        <w:rPr>
          <w:rFonts w:hint="eastAsia" w:ascii="宋体" w:hAnsi="宋体"/>
          <w:color w:val="auto"/>
          <w:spacing w:val="10"/>
          <w:sz w:val="24"/>
        </w:rPr>
        <w:t xml:space="preserve">   （一）产品的技术标准：</w:t>
      </w:r>
    </w:p>
    <w:p>
      <w:pPr>
        <w:spacing w:line="360" w:lineRule="auto"/>
        <w:ind w:firstLine="570"/>
        <w:rPr>
          <w:rFonts w:ascii="宋体" w:hAnsi="宋体"/>
          <w:b/>
          <w:color w:val="auto"/>
          <w:spacing w:val="10"/>
          <w:sz w:val="24"/>
        </w:rPr>
      </w:pPr>
      <w:r>
        <w:rPr>
          <w:rFonts w:hint="eastAsia" w:ascii="宋体" w:hAnsi="宋体"/>
          <w:b/>
          <w:color w:val="auto"/>
          <w:spacing w:val="10"/>
          <w:sz w:val="24"/>
        </w:rPr>
        <w:t>箱变产品的技术标准</w:t>
      </w:r>
    </w:p>
    <w:p>
      <w:pPr>
        <w:spacing w:line="360" w:lineRule="auto"/>
        <w:ind w:firstLine="520" w:firstLineChars="200"/>
        <w:rPr>
          <w:rFonts w:hint="eastAsia" w:ascii="宋体" w:hAnsi="宋体"/>
          <w:color w:val="auto"/>
          <w:spacing w:val="10"/>
          <w:sz w:val="24"/>
          <w:lang w:val="de-DE"/>
        </w:rPr>
      </w:pPr>
      <w:r>
        <w:rPr>
          <w:rFonts w:hint="eastAsia" w:ascii="宋体" w:hAnsi="宋体"/>
          <w:color w:val="auto"/>
          <w:spacing w:val="10"/>
          <w:sz w:val="24"/>
          <w:lang w:val="de-DE"/>
        </w:rPr>
        <w:t>GB/T17467-2010 高压/低压预装式变电站</w:t>
      </w:r>
    </w:p>
    <w:p>
      <w:pPr>
        <w:spacing w:line="360" w:lineRule="auto"/>
        <w:ind w:firstLine="520" w:firstLineChars="200"/>
        <w:rPr>
          <w:rFonts w:hint="eastAsia" w:ascii="宋体" w:hAnsi="宋体"/>
          <w:color w:val="auto"/>
          <w:spacing w:val="10"/>
          <w:sz w:val="24"/>
          <w:lang w:val="de-DE"/>
        </w:rPr>
      </w:pPr>
      <w:r>
        <w:rPr>
          <w:rFonts w:hint="eastAsia" w:ascii="宋体" w:hAnsi="宋体"/>
          <w:color w:val="auto"/>
          <w:spacing w:val="10"/>
          <w:sz w:val="24"/>
          <w:lang w:val="de-DE"/>
        </w:rPr>
        <w:t>GB/T11022-2011 高压开关设备和控制设备标准的共用技术要求</w:t>
      </w:r>
    </w:p>
    <w:p>
      <w:pPr>
        <w:spacing w:line="360" w:lineRule="auto"/>
        <w:ind w:firstLine="520" w:firstLineChars="200"/>
        <w:rPr>
          <w:rFonts w:hint="eastAsia" w:ascii="宋体" w:hAnsi="宋体"/>
          <w:color w:val="auto"/>
          <w:spacing w:val="10"/>
          <w:sz w:val="24"/>
          <w:lang w:val="de-DE"/>
        </w:rPr>
      </w:pPr>
      <w:r>
        <w:rPr>
          <w:rFonts w:hint="eastAsia" w:ascii="宋体" w:hAnsi="宋体"/>
          <w:color w:val="auto"/>
          <w:spacing w:val="10"/>
          <w:sz w:val="24"/>
          <w:lang w:val="de-DE"/>
        </w:rPr>
        <w:t>GB3906-2006  3.6～40.5kV交流金属封闭开关设备和控制设备</w:t>
      </w:r>
    </w:p>
    <w:p>
      <w:pPr>
        <w:spacing w:line="360" w:lineRule="auto"/>
        <w:ind w:firstLine="520" w:firstLineChars="200"/>
        <w:rPr>
          <w:rFonts w:hint="eastAsia" w:ascii="宋体" w:hAnsi="宋体"/>
          <w:color w:val="auto"/>
          <w:spacing w:val="10"/>
          <w:sz w:val="24"/>
          <w:lang w:val="de-DE"/>
        </w:rPr>
      </w:pPr>
      <w:r>
        <w:rPr>
          <w:rFonts w:hint="eastAsia" w:ascii="宋体" w:hAnsi="宋体"/>
          <w:color w:val="auto"/>
          <w:spacing w:val="10"/>
          <w:sz w:val="24"/>
          <w:lang w:val="de-DE"/>
        </w:rPr>
        <w:t>GB3309-89 高压开关设备常温下的机械试验</w:t>
      </w:r>
    </w:p>
    <w:p>
      <w:pPr>
        <w:spacing w:line="360" w:lineRule="auto"/>
        <w:ind w:firstLine="520" w:firstLineChars="200"/>
        <w:rPr>
          <w:rFonts w:hint="eastAsia" w:ascii="宋体" w:hAnsi="宋体"/>
          <w:color w:val="auto"/>
          <w:spacing w:val="10"/>
          <w:sz w:val="24"/>
          <w:lang w:val="de-DE"/>
        </w:rPr>
      </w:pPr>
      <w:r>
        <w:rPr>
          <w:rFonts w:hint="eastAsia" w:ascii="宋体" w:hAnsi="宋体"/>
          <w:color w:val="auto"/>
          <w:spacing w:val="10"/>
          <w:sz w:val="24"/>
          <w:lang w:val="de-DE"/>
        </w:rPr>
        <w:t>GB7251.1-2013 低压成套开关设备和控制设备</w:t>
      </w:r>
    </w:p>
    <w:p>
      <w:pPr>
        <w:spacing w:line="360" w:lineRule="auto"/>
        <w:ind w:firstLine="520" w:firstLineChars="200"/>
        <w:rPr>
          <w:rFonts w:hint="eastAsia" w:ascii="宋体" w:hAnsi="宋体"/>
          <w:color w:val="auto"/>
          <w:spacing w:val="10"/>
          <w:sz w:val="24"/>
          <w:lang w:val="de-DE"/>
        </w:rPr>
      </w:pPr>
      <w:r>
        <w:rPr>
          <w:rFonts w:hint="eastAsia" w:ascii="宋体" w:hAnsi="宋体"/>
          <w:color w:val="auto"/>
          <w:spacing w:val="10"/>
          <w:sz w:val="24"/>
          <w:lang w:val="de-DE"/>
        </w:rPr>
        <w:t>GB14048.1-2012 低压成套开关设备和控制设备</w:t>
      </w:r>
      <w:r>
        <w:rPr>
          <w:rFonts w:hint="eastAsia" w:ascii="宋体" w:hAnsi="宋体"/>
          <w:color w:val="auto"/>
          <w:spacing w:val="10"/>
          <w:sz w:val="24"/>
        </w:rPr>
        <w:t>第1部分</w:t>
      </w:r>
      <w:r>
        <w:rPr>
          <w:rFonts w:hint="eastAsia" w:ascii="宋体" w:hAnsi="宋体"/>
          <w:color w:val="auto"/>
          <w:spacing w:val="10"/>
          <w:sz w:val="24"/>
          <w:lang w:val="de-DE"/>
        </w:rPr>
        <w:t>总则</w:t>
      </w:r>
    </w:p>
    <w:p>
      <w:pPr>
        <w:spacing w:line="360" w:lineRule="auto"/>
        <w:ind w:firstLine="520" w:firstLineChars="200"/>
        <w:rPr>
          <w:rFonts w:hint="eastAsia" w:ascii="宋体" w:hAnsi="宋体"/>
          <w:color w:val="auto"/>
          <w:spacing w:val="10"/>
          <w:sz w:val="24"/>
          <w:lang w:val="de-DE"/>
        </w:rPr>
      </w:pPr>
      <w:r>
        <w:rPr>
          <w:rFonts w:hint="eastAsia" w:ascii="宋体" w:hAnsi="宋体"/>
          <w:color w:val="auto"/>
          <w:spacing w:val="10"/>
          <w:sz w:val="24"/>
          <w:lang w:val="de-DE"/>
        </w:rPr>
        <w:t>GB4208-2008 外壳防护等级（IP代码）</w:t>
      </w:r>
    </w:p>
    <w:p>
      <w:pPr>
        <w:spacing w:line="360" w:lineRule="auto"/>
        <w:ind w:firstLine="520" w:firstLineChars="200"/>
        <w:rPr>
          <w:rFonts w:hint="eastAsia" w:ascii="宋体" w:hAnsi="宋体"/>
          <w:color w:val="auto"/>
          <w:spacing w:val="10"/>
          <w:sz w:val="24"/>
          <w:lang w:val="de-DE"/>
        </w:rPr>
      </w:pPr>
      <w:r>
        <w:rPr>
          <w:rFonts w:hint="eastAsia" w:ascii="宋体" w:hAnsi="宋体"/>
          <w:color w:val="auto"/>
          <w:spacing w:val="10"/>
          <w:sz w:val="24"/>
          <w:lang w:val="de-DE"/>
        </w:rPr>
        <w:t>GB1094.1～2-2013电力变压器</w:t>
      </w:r>
    </w:p>
    <w:p>
      <w:pPr>
        <w:spacing w:line="360" w:lineRule="auto"/>
        <w:ind w:firstLine="520" w:firstLineChars="200"/>
        <w:rPr>
          <w:rFonts w:hint="eastAsia" w:ascii="宋体" w:hAnsi="宋体"/>
          <w:color w:val="auto"/>
          <w:spacing w:val="10"/>
          <w:sz w:val="24"/>
          <w:lang w:val="de-DE"/>
        </w:rPr>
      </w:pPr>
      <w:r>
        <w:rPr>
          <w:rFonts w:hint="eastAsia" w:ascii="宋体" w:hAnsi="宋体"/>
          <w:color w:val="auto"/>
          <w:spacing w:val="10"/>
          <w:sz w:val="24"/>
          <w:lang w:val="de-DE"/>
        </w:rPr>
        <w:t>GB1094.3-2003 电力变压器</w:t>
      </w:r>
    </w:p>
    <w:p>
      <w:pPr>
        <w:spacing w:line="360" w:lineRule="auto"/>
        <w:ind w:firstLine="520" w:firstLineChars="200"/>
        <w:rPr>
          <w:rFonts w:hint="eastAsia" w:ascii="宋体" w:hAnsi="宋体"/>
          <w:color w:val="auto"/>
          <w:spacing w:val="10"/>
          <w:sz w:val="24"/>
          <w:lang w:val="de-DE"/>
        </w:rPr>
      </w:pPr>
      <w:r>
        <w:rPr>
          <w:rFonts w:hint="eastAsia" w:ascii="宋体" w:hAnsi="宋体"/>
          <w:color w:val="auto"/>
          <w:spacing w:val="10"/>
          <w:sz w:val="24"/>
          <w:lang w:val="de-DE"/>
        </w:rPr>
        <w:t>GB6450-1986干式电力变压器</w:t>
      </w:r>
    </w:p>
    <w:p>
      <w:pPr>
        <w:spacing w:line="360" w:lineRule="auto"/>
        <w:ind w:firstLine="520" w:firstLineChars="200"/>
        <w:rPr>
          <w:rFonts w:hint="eastAsia" w:ascii="宋体" w:hAnsi="宋体"/>
          <w:color w:val="auto"/>
          <w:spacing w:val="10"/>
          <w:sz w:val="24"/>
        </w:rPr>
      </w:pPr>
      <w:r>
        <w:rPr>
          <w:rFonts w:hint="eastAsia" w:ascii="宋体" w:hAnsi="宋体"/>
          <w:color w:val="auto"/>
          <w:spacing w:val="10"/>
          <w:sz w:val="24"/>
        </w:rPr>
        <w:t>GB/T6451-2015 油浸式</w:t>
      </w:r>
      <w:r>
        <w:rPr>
          <w:rFonts w:hint="eastAsia" w:ascii="宋体" w:hAnsi="宋体"/>
          <w:color w:val="auto"/>
          <w:spacing w:val="10"/>
          <w:sz w:val="24"/>
          <w:lang w:val="de-DE"/>
        </w:rPr>
        <w:t>电力变压器技术参数和要求</w:t>
      </w:r>
    </w:p>
    <w:p>
      <w:pPr>
        <w:spacing w:line="360" w:lineRule="auto"/>
        <w:ind w:firstLine="520" w:firstLineChars="200"/>
        <w:rPr>
          <w:rFonts w:hint="eastAsia" w:ascii="宋体" w:hAnsi="宋体"/>
          <w:color w:val="auto"/>
          <w:spacing w:val="10"/>
          <w:sz w:val="24"/>
        </w:rPr>
      </w:pPr>
      <w:r>
        <w:rPr>
          <w:rFonts w:hint="eastAsia" w:ascii="宋体" w:hAnsi="宋体"/>
          <w:color w:val="auto"/>
          <w:spacing w:val="10"/>
          <w:sz w:val="24"/>
        </w:rPr>
        <w:t>JB/T10088-2004  6kV-500kV级变压器声级</w:t>
      </w:r>
    </w:p>
    <w:p>
      <w:pPr>
        <w:spacing w:line="360" w:lineRule="auto"/>
        <w:ind w:firstLine="520" w:firstLineChars="200"/>
        <w:rPr>
          <w:rFonts w:hint="eastAsia" w:ascii="宋体" w:hAnsi="宋体"/>
          <w:color w:val="auto"/>
          <w:spacing w:val="10"/>
          <w:sz w:val="24"/>
        </w:rPr>
      </w:pPr>
      <w:r>
        <w:rPr>
          <w:rFonts w:hint="eastAsia" w:ascii="宋体" w:hAnsi="宋体"/>
          <w:color w:val="auto"/>
          <w:spacing w:val="10"/>
          <w:sz w:val="24"/>
        </w:rPr>
        <w:t>以及相关的箱变的现行的国家规范和标准。</w:t>
      </w:r>
    </w:p>
    <w:p>
      <w:pPr>
        <w:spacing w:line="360" w:lineRule="auto"/>
        <w:ind w:firstLine="520" w:firstLineChars="200"/>
        <w:rPr>
          <w:rFonts w:hint="eastAsia" w:ascii="宋体" w:hAnsi="宋体"/>
          <w:color w:val="auto"/>
          <w:spacing w:val="10"/>
          <w:sz w:val="24"/>
        </w:rPr>
      </w:pPr>
    </w:p>
    <w:p>
      <w:pPr>
        <w:spacing w:line="360" w:lineRule="auto"/>
        <w:ind w:firstLine="260" w:firstLineChars="100"/>
        <w:rPr>
          <w:rFonts w:hint="eastAsia" w:ascii="宋体" w:hAnsi="宋体"/>
          <w:color w:val="auto"/>
          <w:spacing w:val="10"/>
          <w:sz w:val="24"/>
        </w:rPr>
      </w:pPr>
      <w:r>
        <w:rPr>
          <w:rFonts w:hint="eastAsia" w:ascii="宋体" w:hAnsi="宋体"/>
          <w:color w:val="auto"/>
          <w:spacing w:val="10"/>
          <w:sz w:val="24"/>
        </w:rPr>
        <w:t>（二）产品的质量技术要求</w:t>
      </w:r>
    </w:p>
    <w:p>
      <w:pPr>
        <w:spacing w:line="360" w:lineRule="auto"/>
        <w:ind w:firstLine="482" w:firstLineChars="200"/>
        <w:rPr>
          <w:rFonts w:hint="eastAsia" w:ascii="宋体" w:hAnsi="宋体"/>
          <w:b/>
          <w:color w:val="auto"/>
          <w:spacing w:val="10"/>
          <w:sz w:val="24"/>
        </w:rPr>
      </w:pPr>
      <w:r>
        <w:rPr>
          <w:rFonts w:hint="eastAsia" w:ascii="宋体" w:hAnsi="宋体" w:cs="仿宋_GB2312"/>
          <w:b/>
          <w:color w:val="auto"/>
          <w:sz w:val="24"/>
          <w:lang w:val="zh-CN"/>
        </w:rPr>
        <w:t>箱变</w:t>
      </w:r>
      <w:r>
        <w:rPr>
          <w:rFonts w:hint="eastAsia" w:ascii="宋体" w:hAnsi="宋体"/>
          <w:b/>
          <w:color w:val="auto"/>
          <w:spacing w:val="10"/>
          <w:sz w:val="24"/>
        </w:rPr>
        <w:t>通用要求</w:t>
      </w:r>
    </w:p>
    <w:p>
      <w:pPr>
        <w:spacing w:line="360" w:lineRule="auto"/>
        <w:ind w:firstLine="480" w:firstLineChars="200"/>
        <w:rPr>
          <w:rFonts w:hint="eastAsia"/>
          <w:color w:val="auto"/>
          <w:sz w:val="24"/>
        </w:rPr>
      </w:pPr>
      <w:r>
        <w:rPr>
          <w:color w:val="auto"/>
          <w:sz w:val="24"/>
        </w:rPr>
        <w:t xml:space="preserve">1.1 </w:t>
      </w:r>
      <w:r>
        <w:rPr>
          <w:rFonts w:hint="eastAsia"/>
          <w:color w:val="auto"/>
          <w:sz w:val="24"/>
        </w:rPr>
        <w:t>具备常州供电公司入网资质要求，</w:t>
      </w:r>
      <w:r>
        <w:rPr>
          <w:rFonts w:hint="eastAsia" w:ascii="宋体" w:hAnsi="宋体"/>
          <w:color w:val="auto"/>
          <w:sz w:val="24"/>
        </w:rPr>
        <w:t>还有供电要求的10kV供电资质</w:t>
      </w:r>
      <w:r>
        <w:rPr>
          <w:rFonts w:hint="eastAsia"/>
          <w:color w:val="auto"/>
          <w:sz w:val="24"/>
        </w:rPr>
        <w:t>。</w:t>
      </w:r>
    </w:p>
    <w:p>
      <w:pPr>
        <w:spacing w:line="360" w:lineRule="auto"/>
        <w:ind w:firstLine="480" w:firstLineChars="200"/>
        <w:rPr>
          <w:color w:val="auto"/>
          <w:sz w:val="24"/>
        </w:rPr>
      </w:pPr>
      <w:r>
        <w:rPr>
          <w:color w:val="auto"/>
          <w:sz w:val="24"/>
        </w:rPr>
        <w:t xml:space="preserve">1.2 </w:t>
      </w:r>
      <w:r>
        <w:rPr>
          <w:rFonts w:hint="eastAsia"/>
          <w:color w:val="auto"/>
          <w:sz w:val="24"/>
          <w:lang w:val="en-US" w:eastAsia="zh-CN"/>
        </w:rPr>
        <w:t>此箱变为美式变，</w:t>
      </w:r>
      <w:r>
        <w:rPr>
          <w:rFonts w:hint="eastAsia"/>
          <w:color w:val="auto"/>
          <w:sz w:val="24"/>
        </w:rPr>
        <w:t>变压器采用</w:t>
      </w:r>
      <w:r>
        <w:rPr>
          <w:color w:val="auto"/>
          <w:sz w:val="24"/>
        </w:rPr>
        <w:t>S1</w:t>
      </w:r>
      <w:r>
        <w:rPr>
          <w:rFonts w:hint="eastAsia"/>
          <w:color w:val="auto"/>
          <w:sz w:val="24"/>
        </w:rPr>
        <w:t>3系列所有元器件应符合常州供电公司最新规范要求；同时箱变变压器应</w:t>
      </w:r>
      <w:r>
        <w:rPr>
          <w:rFonts w:hint="eastAsia" w:ascii="宋体" w:hAnsi="宋体"/>
          <w:color w:val="auto"/>
          <w:sz w:val="24"/>
          <w:lang w:val="zh-CN"/>
        </w:rPr>
        <w:t>满足GB20052-2013中2级及以上能效变压器的相关技术参数要求。</w:t>
      </w:r>
      <w:r>
        <w:rPr>
          <w:rFonts w:hint="eastAsia"/>
          <w:color w:val="auto"/>
          <w:sz w:val="24"/>
        </w:rPr>
        <w:t>合格证、说明书、测试报告齐全。</w:t>
      </w:r>
    </w:p>
    <w:p>
      <w:pPr>
        <w:spacing w:line="360" w:lineRule="auto"/>
        <w:ind w:firstLine="480" w:firstLineChars="200"/>
        <w:rPr>
          <w:rFonts w:hint="eastAsia"/>
          <w:color w:val="auto"/>
          <w:sz w:val="24"/>
        </w:rPr>
      </w:pPr>
      <w:r>
        <w:rPr>
          <w:color w:val="auto"/>
          <w:sz w:val="24"/>
        </w:rPr>
        <w:t xml:space="preserve">1.3 </w:t>
      </w:r>
      <w:r>
        <w:rPr>
          <w:rFonts w:hint="eastAsia"/>
          <w:color w:val="auto"/>
          <w:sz w:val="24"/>
          <w:lang w:val="en-US" w:eastAsia="zh-CN"/>
        </w:rPr>
        <w:t>美</w:t>
      </w:r>
      <w:r>
        <w:rPr>
          <w:rFonts w:hint="eastAsia"/>
          <w:color w:val="auto"/>
          <w:sz w:val="24"/>
        </w:rPr>
        <w:t>式变外壳必须为</w:t>
      </w:r>
      <w:r>
        <w:rPr>
          <w:bCs/>
          <w:color w:val="auto"/>
          <w:sz w:val="24"/>
        </w:rPr>
        <w:t>2mm304/2B</w:t>
      </w:r>
      <w:r>
        <w:rPr>
          <w:rFonts w:hint="eastAsia"/>
          <w:color w:val="auto"/>
          <w:sz w:val="24"/>
        </w:rPr>
        <w:t>不锈钢板</w:t>
      </w:r>
      <w:r>
        <w:rPr>
          <w:color w:val="auto"/>
          <w:sz w:val="24"/>
        </w:rPr>
        <w:t>,</w:t>
      </w:r>
      <w:r>
        <w:rPr>
          <w:rFonts w:hint="eastAsia"/>
          <w:color w:val="auto"/>
          <w:sz w:val="24"/>
        </w:rPr>
        <w:t>测量壁厚误差大于</w:t>
      </w:r>
      <w:r>
        <w:rPr>
          <w:bCs/>
          <w:color w:val="auto"/>
          <w:sz w:val="24"/>
        </w:rPr>
        <w:t>5%</w:t>
      </w:r>
      <w:r>
        <w:rPr>
          <w:rFonts w:hint="eastAsia"/>
          <w:color w:val="auto"/>
          <w:sz w:val="24"/>
        </w:rPr>
        <w:t>即为不合格产品</w:t>
      </w:r>
      <w:r>
        <w:rPr>
          <w:color w:val="auto"/>
          <w:sz w:val="24"/>
        </w:rPr>
        <w:t>,</w:t>
      </w:r>
      <w:r>
        <w:rPr>
          <w:rFonts w:hint="eastAsia"/>
          <w:color w:val="auto"/>
          <w:sz w:val="24"/>
        </w:rPr>
        <w:t>成型后表面喷漆处理</w:t>
      </w:r>
      <w:r>
        <w:rPr>
          <w:color w:val="auto"/>
          <w:sz w:val="24"/>
        </w:rPr>
        <w:t>,</w:t>
      </w:r>
      <w:r>
        <w:rPr>
          <w:rFonts w:hint="eastAsia"/>
          <w:color w:val="auto"/>
          <w:sz w:val="24"/>
        </w:rPr>
        <w:t>颜色：RAL/6002。</w:t>
      </w:r>
      <w:r>
        <w:rPr>
          <w:rFonts w:hint="eastAsia"/>
          <w:color w:val="auto"/>
          <w:sz w:val="24"/>
          <w:lang w:val="en-US" w:eastAsia="zh-CN"/>
        </w:rPr>
        <w:t>美</w:t>
      </w:r>
      <w:r>
        <w:rPr>
          <w:rFonts w:hint="eastAsia"/>
          <w:color w:val="auto"/>
          <w:sz w:val="24"/>
        </w:rPr>
        <w:t>变外壳必须为可拼装式结构</w:t>
      </w:r>
      <w:r>
        <w:rPr>
          <w:color w:val="auto"/>
          <w:sz w:val="24"/>
        </w:rPr>
        <w:t>,</w:t>
      </w:r>
      <w:r>
        <w:rPr>
          <w:rFonts w:hint="eastAsia"/>
          <w:color w:val="auto"/>
          <w:sz w:val="24"/>
        </w:rPr>
        <w:t>以便于维修；壳体所有百叶窗及通风按照防雨型制作；外壳根据低压柜布置情况而定；</w:t>
      </w:r>
      <w:r>
        <w:rPr>
          <w:rFonts w:hint="eastAsia"/>
          <w:color w:val="auto"/>
          <w:sz w:val="24"/>
          <w:lang w:val="en-US" w:eastAsia="zh-CN"/>
        </w:rPr>
        <w:t>美</w:t>
      </w:r>
      <w:r>
        <w:rPr>
          <w:rFonts w:hint="eastAsia"/>
          <w:color w:val="auto"/>
          <w:sz w:val="24"/>
        </w:rPr>
        <w:t>式变底盘采用</w:t>
      </w:r>
      <w:r>
        <w:rPr>
          <w:bCs/>
          <w:color w:val="auto"/>
          <w:sz w:val="24"/>
        </w:rPr>
        <w:t>10#</w:t>
      </w:r>
      <w:r>
        <w:rPr>
          <w:rFonts w:hint="eastAsia"/>
          <w:bCs/>
          <w:color w:val="auto"/>
          <w:sz w:val="24"/>
        </w:rPr>
        <w:t>、</w:t>
      </w:r>
      <w:r>
        <w:rPr>
          <w:bCs/>
          <w:color w:val="auto"/>
          <w:sz w:val="24"/>
        </w:rPr>
        <w:t>12#</w:t>
      </w:r>
      <w:r>
        <w:rPr>
          <w:rFonts w:hint="eastAsia"/>
          <w:color w:val="auto"/>
          <w:sz w:val="24"/>
        </w:rPr>
        <w:t>槽钢焊接而成。校平后镀锌处理，并且涂黑漆；底盘采用多空板制作；</w:t>
      </w:r>
      <w:r>
        <w:rPr>
          <w:rFonts w:hint="eastAsia"/>
          <w:color w:val="auto"/>
          <w:sz w:val="24"/>
          <w:lang w:val="en-US" w:eastAsia="zh-CN"/>
        </w:rPr>
        <w:t>美</w:t>
      </w:r>
      <w:r>
        <w:rPr>
          <w:rFonts w:hint="eastAsia"/>
          <w:color w:val="auto"/>
          <w:sz w:val="24"/>
        </w:rPr>
        <w:t>变内部柜体门板采用</w:t>
      </w:r>
      <w:r>
        <w:rPr>
          <w:bCs/>
          <w:color w:val="auto"/>
          <w:sz w:val="24"/>
        </w:rPr>
        <w:t>2mm</w:t>
      </w:r>
      <w:r>
        <w:rPr>
          <w:rFonts w:hint="eastAsia"/>
          <w:color w:val="auto"/>
          <w:sz w:val="24"/>
        </w:rPr>
        <w:t>冷轧板制作，型钢采用</w:t>
      </w:r>
      <w:r>
        <w:rPr>
          <w:bCs/>
          <w:color w:val="auto"/>
          <w:sz w:val="24"/>
        </w:rPr>
        <w:t>8MF</w:t>
      </w:r>
      <w:r>
        <w:rPr>
          <w:rFonts w:hint="eastAsia"/>
          <w:color w:val="auto"/>
          <w:sz w:val="24"/>
        </w:rPr>
        <w:t>型钢，喷塑后拼装；</w:t>
      </w:r>
      <w:r>
        <w:rPr>
          <w:rFonts w:hint="eastAsia"/>
          <w:color w:val="auto"/>
          <w:sz w:val="24"/>
          <w:lang w:val="en-US" w:eastAsia="zh-CN"/>
        </w:rPr>
        <w:t>美</w:t>
      </w:r>
      <w:r>
        <w:rPr>
          <w:rFonts w:hint="eastAsia"/>
          <w:color w:val="auto"/>
          <w:sz w:val="24"/>
        </w:rPr>
        <w:t>式变内柜体也必须为可拼装式结构，以便于维修。</w:t>
      </w:r>
    </w:p>
    <w:p>
      <w:pPr>
        <w:spacing w:line="360" w:lineRule="auto"/>
        <w:ind w:firstLine="480" w:firstLineChars="200"/>
        <w:rPr>
          <w:bCs/>
          <w:color w:val="auto"/>
          <w:sz w:val="24"/>
        </w:rPr>
      </w:pPr>
      <w:r>
        <w:rPr>
          <w:color w:val="auto"/>
          <w:sz w:val="24"/>
        </w:rPr>
        <w:t>1.4</w:t>
      </w:r>
      <w:r>
        <w:rPr>
          <w:rFonts w:hint="eastAsia"/>
          <w:color w:val="auto"/>
          <w:sz w:val="24"/>
          <w:lang w:val="en-US" w:eastAsia="zh-CN"/>
        </w:rPr>
        <w:t>美</w:t>
      </w:r>
      <w:r>
        <w:rPr>
          <w:rFonts w:hint="eastAsia"/>
          <w:color w:val="auto"/>
          <w:sz w:val="24"/>
        </w:rPr>
        <w:t>式变要求电表箱下部空间高度大于</w:t>
      </w:r>
      <w:r>
        <w:rPr>
          <w:bCs/>
          <w:color w:val="auto"/>
          <w:sz w:val="24"/>
        </w:rPr>
        <w:t>63</w:t>
      </w:r>
      <w:r>
        <w:rPr>
          <w:rFonts w:hint="eastAsia"/>
          <w:color w:val="auto"/>
          <w:sz w:val="24"/>
        </w:rPr>
        <w:t>厘米，便于安装负荷监控装置，路灯照明出线按详见图纸要求等级配置；必须安装电缆固定装置，</w:t>
      </w:r>
      <w:r>
        <w:rPr>
          <w:rFonts w:hint="eastAsia"/>
          <w:bCs/>
          <w:color w:val="auto"/>
          <w:sz w:val="24"/>
        </w:rPr>
        <w:t>路灯出线的零排和地排安装高度必须大于</w:t>
      </w:r>
      <w:r>
        <w:rPr>
          <w:bCs/>
          <w:color w:val="auto"/>
          <w:sz w:val="24"/>
        </w:rPr>
        <w:t>20</w:t>
      </w:r>
      <w:r>
        <w:rPr>
          <w:rFonts w:hint="eastAsia"/>
          <w:bCs/>
          <w:color w:val="auto"/>
          <w:sz w:val="24"/>
        </w:rPr>
        <w:t>厘米。</w:t>
      </w:r>
    </w:p>
    <w:p>
      <w:pPr>
        <w:spacing w:line="360" w:lineRule="auto"/>
        <w:ind w:firstLine="480" w:firstLineChars="200"/>
        <w:rPr>
          <w:rFonts w:hint="eastAsia"/>
          <w:color w:val="auto"/>
          <w:sz w:val="24"/>
        </w:rPr>
      </w:pPr>
      <w:r>
        <w:rPr>
          <w:color w:val="auto"/>
          <w:sz w:val="24"/>
        </w:rPr>
        <w:t xml:space="preserve">1.5 </w:t>
      </w:r>
      <w:r>
        <w:rPr>
          <w:rFonts w:hint="eastAsia"/>
          <w:color w:val="auto"/>
          <w:sz w:val="24"/>
        </w:rPr>
        <w:t>所有元器件安装合理，便于施工、供电验收。如计量柜供电使用互感器有两种：羊角型、穿心型；箱变顶部必须预留天线架、穿线孔。以便于在供电部门在箱变顶部安装负控装置天线。</w:t>
      </w:r>
    </w:p>
    <w:p>
      <w:pPr>
        <w:spacing w:line="360" w:lineRule="auto"/>
        <w:ind w:firstLine="480" w:firstLineChars="200"/>
        <w:rPr>
          <w:color w:val="auto"/>
          <w:sz w:val="24"/>
        </w:rPr>
      </w:pPr>
      <w:r>
        <w:rPr>
          <w:color w:val="auto"/>
          <w:sz w:val="24"/>
        </w:rPr>
        <w:t xml:space="preserve">1.6 </w:t>
      </w:r>
      <w:r>
        <w:rPr>
          <w:rFonts w:hint="eastAsia"/>
          <w:color w:val="auto"/>
          <w:sz w:val="24"/>
          <w:lang w:val="en-US" w:eastAsia="zh-CN"/>
        </w:rPr>
        <w:t>美</w:t>
      </w:r>
      <w:r>
        <w:rPr>
          <w:rFonts w:hint="eastAsia"/>
          <w:color w:val="auto"/>
          <w:sz w:val="24"/>
        </w:rPr>
        <w:t>式变出线回路标牌（电源刀闸标牌、电容刀闸标牌、出线回路标牌）齐全。</w:t>
      </w:r>
      <w:r>
        <w:rPr>
          <w:rFonts w:hint="eastAsia"/>
          <w:color w:val="auto"/>
          <w:sz w:val="24"/>
          <w:lang w:val="en-US" w:eastAsia="zh-CN"/>
        </w:rPr>
        <w:t>美</w:t>
      </w:r>
      <w:r>
        <w:rPr>
          <w:rFonts w:hint="eastAsia"/>
          <w:color w:val="auto"/>
          <w:sz w:val="24"/>
        </w:rPr>
        <w:t>式变铭牌必须采用</w:t>
      </w:r>
      <w:r>
        <w:rPr>
          <w:bCs/>
          <w:color w:val="auto"/>
          <w:sz w:val="24"/>
        </w:rPr>
        <w:t>1.5mm304/2B</w:t>
      </w:r>
      <w:r>
        <w:rPr>
          <w:rFonts w:hint="eastAsia"/>
          <w:bCs/>
          <w:color w:val="auto"/>
          <w:sz w:val="24"/>
        </w:rPr>
        <w:t>不锈钢</w:t>
      </w:r>
      <w:r>
        <w:rPr>
          <w:rFonts w:hint="eastAsia"/>
          <w:color w:val="auto"/>
          <w:sz w:val="24"/>
        </w:rPr>
        <w:t>制作（包括高压室、低压室、变压器室要求尺寸为：</w:t>
      </w:r>
      <w:r>
        <w:rPr>
          <w:bCs/>
          <w:color w:val="auto"/>
          <w:sz w:val="24"/>
        </w:rPr>
        <w:t>300*120mm</w:t>
      </w:r>
      <w:r>
        <w:rPr>
          <w:rFonts w:hint="eastAsia"/>
          <w:color w:val="auto"/>
          <w:sz w:val="24"/>
        </w:rPr>
        <w:t>）。开标后由招标方提供给中标人。</w:t>
      </w:r>
    </w:p>
    <w:p>
      <w:pPr>
        <w:spacing w:line="360" w:lineRule="auto"/>
        <w:ind w:firstLine="480" w:firstLineChars="200"/>
        <w:rPr>
          <w:color w:val="auto"/>
          <w:sz w:val="24"/>
        </w:rPr>
      </w:pPr>
      <w:r>
        <w:rPr>
          <w:color w:val="auto"/>
          <w:sz w:val="24"/>
        </w:rPr>
        <w:t>1.7</w:t>
      </w:r>
      <w:r>
        <w:rPr>
          <w:rFonts w:hint="eastAsia"/>
          <w:color w:val="auto"/>
          <w:sz w:val="24"/>
        </w:rPr>
        <w:t>投标报价中必须包括高压侧配件，低压侧配件，如：20kV接地棒1副、0.4kV接地棒1副，令克棒1根，20kV验电笔，2Kg灭火器2个，5mm绝缘地毯，绝缘手套1副，绝缘鞋1双，验电笔1支，检修警示牌5个，</w:t>
      </w:r>
      <w:r>
        <w:rPr>
          <w:color w:val="auto"/>
          <w:sz w:val="24"/>
        </w:rPr>
        <w:t>NT00</w:t>
      </w:r>
      <w:r>
        <w:rPr>
          <w:rFonts w:hint="eastAsia"/>
          <w:color w:val="auto"/>
          <w:sz w:val="24"/>
        </w:rPr>
        <w:t>熔断器操作手柄。安全工具放置于三遥室。</w:t>
      </w:r>
    </w:p>
    <w:p>
      <w:pPr>
        <w:spacing w:line="360" w:lineRule="auto"/>
        <w:ind w:firstLine="480" w:firstLineChars="200"/>
        <w:rPr>
          <w:color w:val="auto"/>
          <w:sz w:val="24"/>
        </w:rPr>
      </w:pPr>
      <w:r>
        <w:rPr>
          <w:color w:val="auto"/>
          <w:sz w:val="24"/>
        </w:rPr>
        <w:t xml:space="preserve">1.8 </w:t>
      </w:r>
      <w:r>
        <w:rPr>
          <w:rFonts w:hint="eastAsia"/>
          <w:color w:val="auto"/>
          <w:sz w:val="24"/>
        </w:rPr>
        <w:t>变压器室与低压侧必须采用隔热措施。</w:t>
      </w:r>
    </w:p>
    <w:p>
      <w:pPr>
        <w:spacing w:line="360" w:lineRule="auto"/>
        <w:ind w:firstLine="480" w:firstLineChars="200"/>
        <w:rPr>
          <w:color w:val="auto"/>
          <w:sz w:val="24"/>
        </w:rPr>
      </w:pPr>
      <w:r>
        <w:rPr>
          <w:color w:val="auto"/>
          <w:sz w:val="24"/>
        </w:rPr>
        <w:t xml:space="preserve">1.9 </w:t>
      </w:r>
      <w:r>
        <w:rPr>
          <w:rFonts w:hint="eastAsia"/>
          <w:color w:val="auto"/>
          <w:sz w:val="24"/>
        </w:rPr>
        <w:t>真空接触器必须采用南通东升品牌，</w:t>
      </w:r>
      <w:r>
        <w:rPr>
          <w:rFonts w:hint="eastAsia"/>
          <w:bCs/>
          <w:color w:val="auto"/>
          <w:sz w:val="24"/>
        </w:rPr>
        <w:t>必须经过防尘改造</w:t>
      </w:r>
      <w:r>
        <w:rPr>
          <w:rFonts w:hint="eastAsia"/>
          <w:color w:val="auto"/>
          <w:sz w:val="24"/>
        </w:rPr>
        <w:t>，其他元器件型号必须按照图纸要求及提供材料清单制作。</w:t>
      </w:r>
      <w:r>
        <w:rPr>
          <w:rFonts w:hint="eastAsia"/>
          <w:color w:val="auto"/>
          <w:sz w:val="24"/>
          <w:lang w:val="en-US" w:eastAsia="zh-CN"/>
        </w:rPr>
        <w:t>美</w:t>
      </w:r>
      <w:r>
        <w:rPr>
          <w:rFonts w:hint="eastAsia"/>
          <w:color w:val="auto"/>
          <w:sz w:val="24"/>
        </w:rPr>
        <w:t>式变外门铰链必须采用合页不锈钢铰链，安装后必须将铰链焊死，外门不能脱下。门锁采用防盗措施（见附件），铰链，门锁（含结构件）及其他标准件均为不锈钢材质，包括出线，零排，地排上的标准件均为不锈钢材质。真空接触器的安装必须采用自攻螺丝。</w:t>
      </w:r>
    </w:p>
    <w:p>
      <w:pPr>
        <w:spacing w:line="360" w:lineRule="auto"/>
        <w:ind w:firstLine="480" w:firstLineChars="200"/>
        <w:rPr>
          <w:color w:val="auto"/>
          <w:sz w:val="24"/>
        </w:rPr>
      </w:pPr>
      <w:r>
        <w:rPr>
          <w:color w:val="auto"/>
          <w:sz w:val="24"/>
        </w:rPr>
        <w:t xml:space="preserve">1.10 </w:t>
      </w:r>
      <w:r>
        <w:rPr>
          <w:rFonts w:hint="eastAsia"/>
          <w:color w:val="auto"/>
          <w:sz w:val="24"/>
        </w:rPr>
        <w:t>出线熔断器必须连接</w:t>
      </w:r>
      <w:r>
        <w:rPr>
          <w:color w:val="auto"/>
          <w:sz w:val="24"/>
        </w:rPr>
        <w:t>TMY-3*20</w:t>
      </w:r>
      <w:r>
        <w:rPr>
          <w:rFonts w:hint="eastAsia"/>
          <w:color w:val="auto"/>
          <w:sz w:val="24"/>
        </w:rPr>
        <w:t>的铜排，如果每个熔断器的出线大于</w:t>
      </w:r>
      <w:r>
        <w:rPr>
          <w:bCs/>
          <w:color w:val="auto"/>
          <w:sz w:val="24"/>
        </w:rPr>
        <w:t>3</w:t>
      </w:r>
      <w:r>
        <w:rPr>
          <w:rFonts w:hint="eastAsia"/>
          <w:color w:val="auto"/>
          <w:sz w:val="24"/>
        </w:rPr>
        <w:t>个回路，其制作必须按照图纸要求。</w:t>
      </w:r>
    </w:p>
    <w:p>
      <w:pPr>
        <w:spacing w:line="360" w:lineRule="auto"/>
        <w:ind w:firstLine="480" w:firstLineChars="200"/>
        <w:rPr>
          <w:color w:val="auto"/>
          <w:sz w:val="24"/>
        </w:rPr>
      </w:pPr>
      <w:r>
        <w:rPr>
          <w:color w:val="auto"/>
          <w:sz w:val="24"/>
        </w:rPr>
        <w:t xml:space="preserve">1.11 </w:t>
      </w:r>
      <w:r>
        <w:rPr>
          <w:rFonts w:hint="eastAsia"/>
          <w:color w:val="auto"/>
          <w:sz w:val="24"/>
        </w:rPr>
        <w:t>电缆进柜尺寸必须按照城市照明管理处技术要求。</w:t>
      </w:r>
    </w:p>
    <w:p>
      <w:pPr>
        <w:spacing w:line="360" w:lineRule="auto"/>
        <w:ind w:firstLine="480" w:firstLineChars="200"/>
        <w:rPr>
          <w:color w:val="auto"/>
          <w:sz w:val="24"/>
        </w:rPr>
      </w:pPr>
      <w:r>
        <w:rPr>
          <w:color w:val="auto"/>
          <w:sz w:val="24"/>
        </w:rPr>
        <w:t xml:space="preserve">1.12 </w:t>
      </w:r>
      <w:r>
        <w:rPr>
          <w:rFonts w:hint="eastAsia"/>
          <w:color w:val="auto"/>
          <w:sz w:val="24"/>
        </w:rPr>
        <w:t>所有</w:t>
      </w:r>
      <w:r>
        <w:rPr>
          <w:rFonts w:hint="eastAsia"/>
          <w:color w:val="auto"/>
          <w:sz w:val="24"/>
          <w:lang w:val="en-US" w:eastAsia="zh-CN"/>
        </w:rPr>
        <w:t>美</w:t>
      </w:r>
      <w:r>
        <w:rPr>
          <w:rFonts w:hint="eastAsia"/>
          <w:color w:val="auto"/>
          <w:sz w:val="24"/>
        </w:rPr>
        <w:t>变外门不得大于</w:t>
      </w:r>
      <w:r>
        <w:rPr>
          <w:color w:val="auto"/>
          <w:sz w:val="24"/>
        </w:rPr>
        <w:t>1</w:t>
      </w:r>
      <w:r>
        <w:rPr>
          <w:rFonts w:hint="eastAsia"/>
          <w:color w:val="auto"/>
          <w:sz w:val="24"/>
        </w:rPr>
        <w:t>米宽。</w:t>
      </w:r>
    </w:p>
    <w:p>
      <w:pPr>
        <w:spacing w:line="360" w:lineRule="auto"/>
        <w:ind w:firstLine="480" w:firstLineChars="200"/>
        <w:rPr>
          <w:color w:val="auto"/>
          <w:sz w:val="24"/>
        </w:rPr>
      </w:pPr>
      <w:r>
        <w:rPr>
          <w:color w:val="auto"/>
          <w:sz w:val="24"/>
        </w:rPr>
        <w:t xml:space="preserve">1.13 </w:t>
      </w:r>
      <w:r>
        <w:rPr>
          <w:rFonts w:hint="eastAsia"/>
          <w:color w:val="auto"/>
          <w:sz w:val="24"/>
        </w:rPr>
        <w:t>所有元件数量型号以</w:t>
      </w:r>
      <w:r>
        <w:rPr>
          <w:rFonts w:hint="eastAsia"/>
          <w:color w:val="auto"/>
          <w:sz w:val="24"/>
          <w:lang w:val="en-US" w:eastAsia="zh-CN"/>
        </w:rPr>
        <w:t>美</w:t>
      </w:r>
      <w:r>
        <w:rPr>
          <w:rFonts w:hint="eastAsia"/>
          <w:color w:val="auto"/>
          <w:sz w:val="24"/>
        </w:rPr>
        <w:t>变要求的规格为准，线路图纸仅做参考。</w:t>
      </w:r>
    </w:p>
    <w:p>
      <w:pPr>
        <w:spacing w:line="360" w:lineRule="auto"/>
        <w:ind w:firstLine="520" w:firstLineChars="200"/>
        <w:rPr>
          <w:rFonts w:hint="eastAsia" w:ascii="宋体" w:hAnsi="宋体"/>
          <w:color w:val="auto"/>
          <w:spacing w:val="10"/>
          <w:sz w:val="24"/>
        </w:rPr>
      </w:pPr>
      <w:r>
        <w:rPr>
          <w:color w:val="auto"/>
          <w:spacing w:val="10"/>
          <w:sz w:val="24"/>
        </w:rPr>
        <w:t>1.14</w:t>
      </w:r>
      <w:r>
        <w:rPr>
          <w:rFonts w:hint="eastAsia" w:ascii="宋体" w:hAnsi="宋体"/>
          <w:color w:val="auto"/>
          <w:spacing w:val="10"/>
          <w:sz w:val="24"/>
        </w:rPr>
        <w:t xml:space="preserve"> 底盘图、柜体盘面图、外形图、布置图、基础图以及</w:t>
      </w:r>
      <w:r>
        <w:rPr>
          <w:rFonts w:hint="eastAsia" w:ascii="宋体" w:hAnsi="宋体"/>
          <w:color w:val="auto"/>
          <w:spacing w:val="10"/>
          <w:sz w:val="24"/>
          <w:lang w:val="en-US" w:eastAsia="zh-CN"/>
        </w:rPr>
        <w:t>美</w:t>
      </w:r>
      <w:r>
        <w:rPr>
          <w:rFonts w:hint="eastAsia" w:ascii="宋体" w:hAnsi="宋体"/>
          <w:color w:val="auto"/>
          <w:spacing w:val="10"/>
          <w:sz w:val="24"/>
        </w:rPr>
        <w:t>变一次系统图等详见招标图纸。</w:t>
      </w:r>
    </w:p>
    <w:p>
      <w:pPr>
        <w:spacing w:line="360" w:lineRule="auto"/>
        <w:ind w:firstLine="520" w:firstLineChars="200"/>
        <w:rPr>
          <w:rFonts w:hint="eastAsia" w:ascii="宋体" w:hAnsi="宋体"/>
          <w:color w:val="auto"/>
          <w:spacing w:val="10"/>
          <w:sz w:val="24"/>
        </w:rPr>
      </w:pPr>
      <w:r>
        <w:rPr>
          <w:color w:val="auto"/>
          <w:spacing w:val="10"/>
          <w:sz w:val="24"/>
        </w:rPr>
        <w:t>1.1</w:t>
      </w:r>
      <w:r>
        <w:rPr>
          <w:rFonts w:hint="eastAsia"/>
          <w:color w:val="auto"/>
          <w:spacing w:val="10"/>
          <w:sz w:val="24"/>
        </w:rPr>
        <w:t>5</w:t>
      </w:r>
      <w:r>
        <w:rPr>
          <w:rFonts w:hint="eastAsia" w:ascii="宋体" w:hAnsi="宋体"/>
          <w:color w:val="auto"/>
          <w:spacing w:val="10"/>
          <w:sz w:val="24"/>
        </w:rPr>
        <w:t xml:space="preserve"> 主回路与与节电器连接电缆采用VV-0.6/1kV-1*25mm平方 。</w:t>
      </w:r>
    </w:p>
    <w:p>
      <w:pPr>
        <w:spacing w:line="360" w:lineRule="auto"/>
        <w:ind w:firstLine="520" w:firstLineChars="200"/>
        <w:rPr>
          <w:rFonts w:hint="eastAsia"/>
          <w:b/>
          <w:color w:val="auto"/>
          <w:sz w:val="24"/>
        </w:rPr>
      </w:pPr>
      <w:r>
        <w:rPr>
          <w:rFonts w:hint="eastAsia" w:ascii="宋体" w:hAnsi="宋体"/>
          <w:color w:val="auto"/>
          <w:spacing w:val="10"/>
          <w:sz w:val="24"/>
        </w:rPr>
        <w:t>1.16厂家需提供电气主接线图、内部照明及温控图、次总柜二次图、出线柜电气原理图及端子图、电容柜电气原理图各一份，塑封,置于低压操作室</w:t>
      </w:r>
      <w:r>
        <w:rPr>
          <w:rFonts w:hint="eastAsia" w:ascii="宋体" w:hAnsi="宋体"/>
          <w:color w:val="auto"/>
          <w:spacing w:val="10"/>
          <w:sz w:val="24"/>
          <w:lang w:val="en-US" w:eastAsia="zh-CN"/>
        </w:rPr>
        <w:t>美</w:t>
      </w:r>
      <w:r>
        <w:rPr>
          <w:rFonts w:hint="eastAsia" w:ascii="宋体" w:hAnsi="宋体"/>
          <w:color w:val="auto"/>
          <w:spacing w:val="10"/>
          <w:sz w:val="24"/>
        </w:rPr>
        <w:t>门后卡槽内。</w:t>
      </w:r>
    </w:p>
    <w:p>
      <w:pPr>
        <w:spacing w:line="360" w:lineRule="auto"/>
        <w:ind w:firstLine="482" w:firstLineChars="200"/>
        <w:rPr>
          <w:rFonts w:hint="eastAsia"/>
          <w:b/>
          <w:color w:val="auto"/>
          <w:sz w:val="24"/>
        </w:rPr>
      </w:pPr>
      <w:r>
        <w:rPr>
          <w:rFonts w:hint="eastAsia"/>
          <w:b/>
          <w:color w:val="auto"/>
          <w:sz w:val="24"/>
        </w:rPr>
        <w:t>变压器要求</w:t>
      </w:r>
    </w:p>
    <w:p>
      <w:pPr>
        <w:spacing w:line="360" w:lineRule="auto"/>
        <w:ind w:firstLine="480" w:firstLineChars="200"/>
        <w:rPr>
          <w:rFonts w:ascii="宋体" w:hAnsi="宋体"/>
          <w:bCs/>
          <w:color w:val="auto"/>
          <w:sz w:val="24"/>
        </w:rPr>
      </w:pPr>
      <w:r>
        <w:rPr>
          <w:rFonts w:hint="eastAsia"/>
          <w:color w:val="auto"/>
          <w:sz w:val="24"/>
        </w:rPr>
        <w:t>变压器采用全密封带呼吸功能箱体，真空注油工艺，半液体状硅胶密封箱沿，</w:t>
      </w:r>
      <w:r>
        <w:rPr>
          <w:rFonts w:hint="eastAsia" w:ascii="宋体" w:hAnsi="宋体"/>
          <w:color w:val="auto"/>
          <w:sz w:val="24"/>
        </w:rPr>
        <w:t>硅钢片采用日本新日铁公司生产</w:t>
      </w:r>
      <w:r>
        <w:rPr>
          <w:rFonts w:hint="eastAsia" w:ascii="宋体" w:hAnsi="宋体"/>
          <w:bCs/>
          <w:color w:val="auto"/>
          <w:sz w:val="24"/>
        </w:rPr>
        <w:t>产品，12片6级递进铁芯叠片工艺。</w:t>
      </w:r>
    </w:p>
    <w:p>
      <w:pPr>
        <w:spacing w:line="360" w:lineRule="auto"/>
        <w:ind w:firstLine="480" w:firstLineChars="200"/>
        <w:rPr>
          <w:rFonts w:hint="eastAsia" w:ascii="宋体" w:hAnsi="宋体"/>
          <w:bCs/>
          <w:color w:val="auto"/>
          <w:sz w:val="24"/>
        </w:rPr>
      </w:pPr>
      <w:r>
        <w:rPr>
          <w:rFonts w:hint="eastAsia" w:ascii="宋体" w:hAnsi="宋体"/>
          <w:bCs/>
          <w:color w:val="auto"/>
          <w:sz w:val="24"/>
        </w:rPr>
        <w:t>高压绕组，采用缩醛漆包圆铜线绕制而成，层间绝缘采用菱格点胶纸。线圈与高压套管、分接开关采用冷压接头和铜软绞线软连接，确保连接的可靠性。</w:t>
      </w:r>
    </w:p>
    <w:p>
      <w:pPr>
        <w:spacing w:line="360" w:lineRule="auto"/>
        <w:ind w:firstLine="480" w:firstLineChars="200"/>
        <w:rPr>
          <w:rFonts w:hint="eastAsia" w:ascii="宋体" w:hAnsi="宋体"/>
          <w:bCs/>
          <w:color w:val="auto"/>
          <w:sz w:val="24"/>
        </w:rPr>
      </w:pPr>
      <w:r>
        <w:rPr>
          <w:rFonts w:hint="eastAsia" w:ascii="宋体" w:hAnsi="宋体"/>
          <w:bCs/>
          <w:color w:val="auto"/>
          <w:sz w:val="24"/>
        </w:rPr>
        <w:t>低压绕组，采用整张铜箔绕制而成，层间绝缘采用双层菱格点胶纸。铜箔与引线铜排采用冷压技术连接，确保连接的可靠性，低压零相采用铜排连接，引线出头与低压套管采用铜软绞线软连接。</w:t>
      </w:r>
    </w:p>
    <w:p>
      <w:pPr>
        <w:spacing w:line="360" w:lineRule="auto"/>
        <w:jc w:val="center"/>
        <w:rPr>
          <w:rFonts w:hint="eastAsia" w:ascii="宋体" w:hAnsi="宋体"/>
          <w:bCs/>
          <w:color w:val="auto"/>
          <w:sz w:val="24"/>
        </w:rPr>
      </w:pPr>
      <w:r>
        <w:rPr>
          <w:rFonts w:hint="eastAsia" w:ascii="宋体" w:hAnsi="宋体"/>
          <w:bCs/>
          <w:color w:val="auto"/>
          <w:sz w:val="24"/>
        </w:rPr>
        <w:t>技术参数</w:t>
      </w:r>
    </w:p>
    <w:tbl>
      <w:tblPr>
        <w:tblStyle w:val="7"/>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305"/>
        <w:gridCol w:w="1545"/>
        <w:gridCol w:w="1320"/>
        <w:gridCol w:w="1410"/>
        <w:gridCol w:w="1254"/>
        <w:gridCol w:w="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系列</w:t>
            </w: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容量</w:t>
            </w:r>
            <w:r>
              <w:rPr>
                <w:rFonts w:ascii="宋体" w:hAnsi="宋体"/>
                <w:color w:val="auto"/>
                <w:sz w:val="24"/>
              </w:rPr>
              <w:t>(kVA)</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空载损耗</w:t>
            </w:r>
            <w:r>
              <w:rPr>
                <w:rFonts w:ascii="宋体" w:hAnsi="宋体"/>
                <w:color w:val="auto"/>
                <w:sz w:val="24"/>
              </w:rPr>
              <w:t>(W)</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空载电流</w:t>
            </w:r>
            <w:r>
              <w:rPr>
                <w:rFonts w:ascii="宋体" w:hAnsi="宋体"/>
                <w:color w:val="auto"/>
                <w:sz w:val="24"/>
              </w:rPr>
              <w:t>(%)</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负载损耗</w:t>
            </w:r>
            <w:r>
              <w:rPr>
                <w:rFonts w:ascii="宋体" w:hAnsi="宋体"/>
                <w:color w:val="auto"/>
                <w:sz w:val="24"/>
              </w:rPr>
              <w:t>(W)</w:t>
            </w:r>
          </w:p>
        </w:tc>
        <w:tc>
          <w:tcPr>
            <w:tcW w:w="1254"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阻抗电压</w:t>
            </w:r>
            <w:r>
              <w:rPr>
                <w:rFonts w:ascii="宋体" w:hAnsi="宋体"/>
                <w:color w:val="auto"/>
                <w:sz w:val="24"/>
              </w:rPr>
              <w:t>(%)</w:t>
            </w:r>
          </w:p>
        </w:tc>
        <w:tc>
          <w:tcPr>
            <w:tcW w:w="96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噪音</w:t>
            </w:r>
            <w:r>
              <w:rPr>
                <w:rFonts w:ascii="宋体" w:hAnsi="宋体"/>
                <w:color w:val="auto"/>
                <w:sz w:val="24"/>
              </w:rPr>
              <w:t>(dB)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S1</w:t>
            </w:r>
            <w:r>
              <w:rPr>
                <w:rFonts w:hint="eastAsia" w:ascii="宋体" w:hAnsi="宋体"/>
                <w:color w:val="auto"/>
                <w:sz w:val="24"/>
              </w:rPr>
              <w:t>3</w:t>
            </w: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50</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1</w:t>
            </w:r>
            <w:r>
              <w:rPr>
                <w:rFonts w:hint="eastAsia" w:ascii="宋体" w:hAnsi="宋体"/>
                <w:color w:val="auto"/>
                <w:sz w:val="24"/>
              </w:rPr>
              <w:t>00</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0.3</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910</w:t>
            </w:r>
          </w:p>
        </w:tc>
        <w:tc>
          <w:tcPr>
            <w:tcW w:w="1254"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4</w:t>
            </w:r>
          </w:p>
        </w:tc>
        <w:tc>
          <w:tcPr>
            <w:tcW w:w="96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80</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130</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0.3</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1310</w:t>
            </w:r>
          </w:p>
        </w:tc>
        <w:tc>
          <w:tcPr>
            <w:tcW w:w="125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96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100</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150</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0.3</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1580</w:t>
            </w:r>
          </w:p>
        </w:tc>
        <w:tc>
          <w:tcPr>
            <w:tcW w:w="125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96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160</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200</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0.25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2310</w:t>
            </w:r>
          </w:p>
        </w:tc>
        <w:tc>
          <w:tcPr>
            <w:tcW w:w="125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96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200</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240</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0.25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2730</w:t>
            </w:r>
          </w:p>
        </w:tc>
        <w:tc>
          <w:tcPr>
            <w:tcW w:w="125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96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250</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290</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0.25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3</w:t>
            </w:r>
            <w:r>
              <w:rPr>
                <w:rFonts w:hint="eastAsia" w:ascii="宋体" w:hAnsi="宋体"/>
                <w:color w:val="auto"/>
                <w:sz w:val="24"/>
              </w:rPr>
              <w:t>200</w:t>
            </w:r>
          </w:p>
        </w:tc>
        <w:tc>
          <w:tcPr>
            <w:tcW w:w="125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96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4</w:t>
            </w:r>
            <w:r>
              <w:rPr>
                <w:rFonts w:ascii="宋体" w:hAnsi="宋体"/>
                <w:color w:val="auto"/>
                <w:sz w:val="24"/>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315</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340</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0.25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3</w:t>
            </w:r>
            <w:r>
              <w:rPr>
                <w:rFonts w:hint="eastAsia" w:ascii="宋体" w:hAnsi="宋体"/>
                <w:color w:val="auto"/>
                <w:sz w:val="24"/>
              </w:rPr>
              <w:t>830</w:t>
            </w:r>
          </w:p>
        </w:tc>
        <w:tc>
          <w:tcPr>
            <w:tcW w:w="125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96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400</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410</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0.2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4520</w:t>
            </w:r>
          </w:p>
        </w:tc>
        <w:tc>
          <w:tcPr>
            <w:tcW w:w="125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96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500</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480</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0.2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ascii="宋体" w:hAnsi="宋体"/>
                <w:color w:val="auto"/>
                <w:sz w:val="24"/>
              </w:rPr>
              <w:t>51</w:t>
            </w:r>
            <w:r>
              <w:rPr>
                <w:rFonts w:hint="eastAsia" w:ascii="宋体" w:hAnsi="宋体"/>
                <w:color w:val="auto"/>
                <w:sz w:val="24"/>
              </w:rPr>
              <w:t>50</w:t>
            </w:r>
          </w:p>
        </w:tc>
        <w:tc>
          <w:tcPr>
            <w:tcW w:w="125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ind w:firstLine="480" w:firstLineChars="200"/>
              <w:jc w:val="center"/>
              <w:rPr>
                <w:rFonts w:ascii="宋体" w:hAnsi="宋体"/>
                <w:color w:val="auto"/>
                <w:sz w:val="24"/>
              </w:rPr>
            </w:pPr>
          </w:p>
        </w:tc>
        <w:tc>
          <w:tcPr>
            <w:tcW w:w="96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 w:val="24"/>
              </w:rPr>
            </w:pPr>
            <w:r>
              <w:rPr>
                <w:rFonts w:hint="eastAsia" w:ascii="宋体" w:hAnsi="宋体"/>
                <w:color w:val="auto"/>
                <w:sz w:val="24"/>
              </w:rPr>
              <w:t>53</w:t>
            </w:r>
          </w:p>
        </w:tc>
      </w:tr>
    </w:tbl>
    <w:p>
      <w:pPr>
        <w:spacing w:line="360" w:lineRule="auto"/>
        <w:ind w:firstLine="482" w:firstLineChars="200"/>
        <w:rPr>
          <w:rFonts w:hint="eastAsia"/>
          <w:b/>
          <w:color w:val="auto"/>
          <w:sz w:val="24"/>
        </w:rPr>
      </w:pPr>
      <w:r>
        <w:rPr>
          <w:rFonts w:hint="eastAsia"/>
          <w:b/>
          <w:color w:val="auto"/>
          <w:sz w:val="24"/>
        </w:rPr>
        <w:t>高压单元</w:t>
      </w:r>
    </w:p>
    <w:p>
      <w:pPr>
        <w:spacing w:line="360" w:lineRule="auto"/>
        <w:ind w:firstLine="480" w:firstLineChars="200"/>
        <w:rPr>
          <w:rFonts w:ascii="宋体" w:hAnsi="宋体" w:cs="Arial"/>
          <w:color w:val="auto"/>
          <w:sz w:val="24"/>
        </w:rPr>
      </w:pPr>
      <w:r>
        <w:rPr>
          <w:rFonts w:hint="eastAsia" w:ascii="宋体" w:hAnsi="宋体" w:cs="Arial"/>
          <w:color w:val="auto"/>
          <w:sz w:val="24"/>
        </w:rPr>
        <w:t>高压单元采用XGN15-12户内交流金属封闭</w:t>
      </w:r>
      <w:r>
        <w:rPr>
          <w:rFonts w:hint="eastAsia" w:ascii="宋体" w:hAnsi="宋体" w:cs="Arial"/>
          <w:color w:val="auto"/>
          <w:sz w:val="24"/>
          <w:lang w:val="en-US" w:eastAsia="zh-CN"/>
        </w:rPr>
        <w:t>美</w:t>
      </w:r>
      <w:r>
        <w:rPr>
          <w:rFonts w:hint="eastAsia" w:ascii="宋体" w:hAnsi="宋体" w:cs="Arial"/>
          <w:color w:val="auto"/>
          <w:sz w:val="24"/>
        </w:rPr>
        <w:t>式环网开关柜，满足户外（潮湿、高温等）条件下安全可靠运行，以及环网自动化功能要求。柜体为交流金属封闭式、固定或单元组合型固定式开关设备。配备负荷开关、避雷器及熔断器等元件。</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环网柜及负荷开关主要技术参数</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1：额定电压：12kV</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2：额定电流：630A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3：额定频率：50HZ</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4：额定绝缘水平：1min工频耐压，对地、相间42kV，断口48kV</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 xml:space="preserve">                 雷电冲击电压（峰值），对地、相间75kV，断口85kV</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 xml:space="preserve">                 零表压下额定耐受电压12kV</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5：额定热稳定电流（3s）：20kA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6：额定动稳定电流：50kA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7：额定短路关合电流：负荷开关：50kA  负荷开关-熔断器组合电器80kA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8：额定闭环开断电流：630A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9：额定有功负载开断电流630A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10.额定电缆充电开断电流：10A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11：额定短路开断电流：负荷开关-熔断器组合电器:31.5kA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12：额定转移电流：1700A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13：熔断器类型：SKLDJ-12kV/5--125A(根据实际工程配置)</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14:撞击器输出能量1±0.5J</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15：接地开关额定热稳定电流（3s）20kA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16：接地开关额定动稳定电流（峰值）：50kA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17：接地开关额定短路关合电流：50kA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18：机械寿命  负荷开关：2000次</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 xml:space="preserve">              接地开关：2000次</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19：带电体间及对地的空气距离：≥125mm</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20：额定SF6气体压力（20℃时相对压力）0.05MPa</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21：分合闸同期性：≤3ms</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22：回路电阻：100μΩ，150μΩ</w:t>
      </w:r>
    </w:p>
    <w:p>
      <w:pPr>
        <w:spacing w:line="360" w:lineRule="auto"/>
        <w:ind w:firstLine="480" w:firstLineChars="200"/>
        <w:rPr>
          <w:rFonts w:hint="eastAsia" w:ascii="宋体" w:hAnsi="宋体" w:cs="Arial"/>
          <w:color w:val="auto"/>
          <w:sz w:val="24"/>
        </w:rPr>
      </w:pPr>
      <w:r>
        <w:rPr>
          <w:rFonts w:hint="eastAsia" w:ascii="宋体" w:hAnsi="宋体" w:cs="Arial"/>
          <w:color w:val="auto"/>
          <w:sz w:val="24"/>
        </w:rPr>
        <w:t>23：手动操作最大力矩：≤75Nm</w:t>
      </w:r>
    </w:p>
    <w:p>
      <w:pPr>
        <w:pStyle w:val="4"/>
        <w:overflowPunct w:val="0"/>
        <w:spacing w:line="360" w:lineRule="auto"/>
        <w:ind w:firstLine="504" w:firstLineChars="209"/>
        <w:jc w:val="both"/>
        <w:rPr>
          <w:rFonts w:hAnsi="宋体"/>
          <w:color w:val="auto"/>
          <w:szCs w:val="24"/>
        </w:rPr>
      </w:pPr>
      <w:r>
        <w:rPr>
          <w:rFonts w:hint="eastAsia"/>
          <w:b/>
          <w:color w:val="auto"/>
        </w:rPr>
        <w:t>图纸及材料清单另附（电子档）</w:t>
      </w:r>
      <w:r>
        <w:rPr>
          <w:rFonts w:hint="eastAsia"/>
          <w:b/>
          <w:color w:val="auto"/>
          <w:lang w:eastAsia="zh-CN"/>
        </w:rPr>
        <w:t>，</w:t>
      </w:r>
      <w:r>
        <w:rPr>
          <w:rFonts w:hint="eastAsia"/>
          <w:b/>
          <w:color w:val="auto"/>
          <w:lang w:val="en-US" w:eastAsia="zh-CN"/>
        </w:rPr>
        <w:t>一切以设计图纸为准</w:t>
      </w:r>
      <w:r>
        <w:rPr>
          <w:rFonts w:hint="eastAsia"/>
          <w:b/>
          <w:color w:val="auto"/>
        </w:rPr>
        <w:t>。</w:t>
      </w:r>
    </w:p>
    <w:p>
      <w:pPr>
        <w:pStyle w:val="3"/>
        <w:ind w:left="420" w:right="210"/>
        <w:rPr>
          <w:rFonts w:hint="eastAsia"/>
        </w:rPr>
      </w:pPr>
      <w:r>
        <w:rPr>
          <w:rFonts w:hint="eastAsia"/>
        </w:rPr>
        <w:t>三、其他要求</w:t>
      </w:r>
    </w:p>
    <w:p>
      <w:pPr>
        <w:spacing w:line="360" w:lineRule="auto"/>
        <w:ind w:firstLine="480" w:firstLineChars="200"/>
        <w:rPr>
          <w:rFonts w:hint="eastAsia" w:ascii="宋体" w:hAnsi="宋体"/>
          <w:sz w:val="24"/>
        </w:rPr>
      </w:pPr>
      <w:r>
        <w:rPr>
          <w:rFonts w:hint="eastAsia" w:ascii="宋体" w:hAnsi="宋体"/>
          <w:sz w:val="24"/>
        </w:rPr>
        <w:t>1.产品必须是全新、未使用过的原装合格正品，完全符合招标文件规定的质量、规格和性能的要求，达到国家或行业规定的标准，实行生产许可证制度的，应提供生产许可证；属于国家强制认证的产品，必须通过认证。</w:t>
      </w:r>
    </w:p>
    <w:p>
      <w:pPr>
        <w:spacing w:line="360" w:lineRule="auto"/>
        <w:ind w:firstLine="480" w:firstLineChars="200"/>
        <w:rPr>
          <w:rFonts w:hint="eastAsia" w:ascii="宋体" w:hAnsi="宋体"/>
          <w:sz w:val="24"/>
        </w:rPr>
      </w:pPr>
      <w:r>
        <w:rPr>
          <w:rFonts w:hint="eastAsia" w:ascii="宋体" w:hAnsi="宋体"/>
          <w:sz w:val="24"/>
        </w:rPr>
        <w:t>2.箱内电器元件应选用通过CCC认证的产品。其主要元器件如应选用本采购文件中元器件推荐品牌同等或以上档次产品。选用的元器件必须是原厂正品，业主有权请权威部门和品牌生产商进行认定和检验。</w:t>
      </w:r>
    </w:p>
    <w:p>
      <w:pPr>
        <w:spacing w:line="360" w:lineRule="auto"/>
        <w:ind w:firstLine="480" w:firstLineChars="200"/>
        <w:rPr>
          <w:rFonts w:hint="eastAsia" w:ascii="宋体" w:hAnsi="宋体"/>
          <w:sz w:val="24"/>
        </w:rPr>
      </w:pPr>
      <w:r>
        <w:rPr>
          <w:rFonts w:hint="eastAsia" w:ascii="宋体" w:hAnsi="宋体"/>
          <w:sz w:val="24"/>
        </w:rPr>
        <w:t>3.供应商提供的产品必须能够满足规范及采购文件的要求，同时还必须满足使用要求。产品及安装必须能通过政府相关部门的质量验收、竣工验收等各类验收，同时具有本项目采购货物相关的型式试验报告。</w:t>
      </w:r>
    </w:p>
    <w:p>
      <w:pPr>
        <w:spacing w:line="360" w:lineRule="auto"/>
        <w:ind w:firstLine="482" w:firstLineChars="200"/>
        <w:rPr>
          <w:rFonts w:hint="eastAsia" w:ascii="宋体" w:hAnsi="宋体"/>
          <w:b/>
          <w:sz w:val="24"/>
        </w:rPr>
      </w:pPr>
      <w:r>
        <w:rPr>
          <w:rFonts w:hint="eastAsia" w:ascii="宋体" w:hAnsi="宋体"/>
          <w:b/>
          <w:sz w:val="24"/>
        </w:rPr>
        <w:t>4.特别强调：</w:t>
      </w:r>
    </w:p>
    <w:p>
      <w:pPr>
        <w:spacing w:line="360" w:lineRule="auto"/>
        <w:ind w:firstLine="482" w:firstLineChars="200"/>
        <w:rPr>
          <w:rFonts w:hint="eastAsia" w:ascii="宋体" w:hAnsi="宋体"/>
          <w:b/>
          <w:sz w:val="24"/>
        </w:rPr>
      </w:pPr>
      <w:r>
        <w:rPr>
          <w:rFonts w:hint="eastAsia" w:ascii="宋体" w:hAnsi="宋体"/>
          <w:b/>
          <w:sz w:val="24"/>
        </w:rPr>
        <w:t>成交供应商开始制造产品之前，采购人有权要求成交供应商对产品进行微调，最终的产品须经采购人签认同意后制造。</w:t>
      </w:r>
    </w:p>
    <w:p>
      <w:pPr>
        <w:pStyle w:val="3"/>
        <w:ind w:left="420" w:right="210"/>
        <w:rPr>
          <w:rFonts w:hint="eastAsia"/>
        </w:rPr>
      </w:pPr>
      <w:r>
        <w:rPr>
          <w:rFonts w:hint="eastAsia"/>
        </w:rPr>
        <w:t>四、现场检验试验</w:t>
      </w:r>
    </w:p>
    <w:p>
      <w:pPr>
        <w:spacing w:line="360" w:lineRule="auto"/>
        <w:ind w:firstLine="480" w:firstLineChars="200"/>
        <w:jc w:val="left"/>
        <w:rPr>
          <w:rFonts w:hint="eastAsia" w:ascii="宋体" w:hAnsi="宋体"/>
          <w:bCs/>
          <w:sz w:val="24"/>
        </w:rPr>
      </w:pPr>
      <w:r>
        <w:rPr>
          <w:rFonts w:hint="eastAsia" w:ascii="宋体" w:hAnsi="宋体"/>
          <w:bCs/>
          <w:sz w:val="24"/>
        </w:rPr>
        <w:t>供应商提供的产品必须符合采购技术要求和国家现行的规范和标准的要求。</w:t>
      </w:r>
    </w:p>
    <w:p>
      <w:pPr>
        <w:pStyle w:val="3"/>
        <w:ind w:left="420" w:right="210"/>
        <w:rPr>
          <w:rFonts w:hint="eastAsia"/>
        </w:rPr>
      </w:pPr>
      <w:r>
        <w:rPr>
          <w:rFonts w:hint="eastAsia"/>
        </w:rPr>
        <w:t>五、质量保证</w:t>
      </w:r>
    </w:p>
    <w:p>
      <w:pPr>
        <w:spacing w:line="360" w:lineRule="auto"/>
        <w:ind w:firstLine="480" w:firstLineChars="200"/>
        <w:jc w:val="left"/>
        <w:rPr>
          <w:rFonts w:hint="eastAsia" w:ascii="宋体" w:hAnsi="宋体"/>
          <w:bCs/>
          <w:sz w:val="24"/>
        </w:rPr>
      </w:pPr>
      <w:r>
        <w:rPr>
          <w:rFonts w:hint="eastAsia" w:ascii="宋体" w:hAnsi="宋体"/>
          <w:bCs/>
          <w:sz w:val="24"/>
        </w:rPr>
        <w:t xml:space="preserve"> 1.质量保证期为设备及系统投运后</w:t>
      </w:r>
      <w:r>
        <w:rPr>
          <w:rFonts w:hint="eastAsia" w:ascii="宋体" w:hAnsi="宋体"/>
          <w:b/>
          <w:bCs/>
          <w:sz w:val="24"/>
        </w:rPr>
        <w:t>2年</w:t>
      </w:r>
      <w:r>
        <w:rPr>
          <w:rFonts w:hint="eastAsia" w:ascii="宋体" w:hAnsi="宋体"/>
          <w:bCs/>
          <w:sz w:val="24"/>
        </w:rPr>
        <w:t>(以项目竣工验收证明日期为计算依据)，在质量保证期内，供应商应无偿承担因产品质量导致的故障维修，确系质量原因无法正常工作时，供应商应无偿更换全新的合格产品，并且承担由此产生的损失。</w:t>
      </w:r>
    </w:p>
    <w:p>
      <w:pPr>
        <w:spacing w:line="360" w:lineRule="auto"/>
        <w:ind w:firstLine="480" w:firstLineChars="200"/>
        <w:jc w:val="left"/>
        <w:rPr>
          <w:rFonts w:hint="eastAsia" w:ascii="宋体" w:hAnsi="宋体"/>
          <w:bCs/>
          <w:sz w:val="24"/>
          <w:highlight w:val="none"/>
        </w:rPr>
      </w:pPr>
      <w:r>
        <w:rPr>
          <w:rFonts w:hint="eastAsia" w:ascii="宋体" w:hAnsi="宋体"/>
          <w:bCs/>
          <w:sz w:val="24"/>
        </w:rPr>
        <w:t xml:space="preserve"> 2.质保期结束，不能视为供应商对合同货物中存在的可能引起货物损坏的潜在缺陷所应负责任的解除。潜在缺陷指货物在制造过程中未被发现的隐患，供应商对纠正潜在缺陷应负责任，其时间应延续至质保期终止后三年。当发现这类</w:t>
      </w:r>
      <w:bookmarkStart w:id="13" w:name="_GoBack"/>
      <w:r>
        <w:rPr>
          <w:rFonts w:hint="eastAsia" w:ascii="宋体" w:hAnsi="宋体"/>
          <w:bCs/>
          <w:sz w:val="24"/>
          <w:highlight w:val="none"/>
        </w:rPr>
        <w:t>潜在缺陷时（经双方确认），供应商应立即予以无偿修复或更换。</w:t>
      </w:r>
    </w:p>
    <w:p>
      <w:pPr>
        <w:pStyle w:val="3"/>
        <w:ind w:left="420" w:right="210"/>
        <w:rPr>
          <w:rFonts w:hint="eastAsia"/>
          <w:highlight w:val="none"/>
        </w:rPr>
      </w:pPr>
      <w:r>
        <w:rPr>
          <w:rFonts w:hint="eastAsia"/>
          <w:highlight w:val="none"/>
        </w:rPr>
        <w:t>六、交货与验收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1.1采购货物的交货时间、地点：实际送货根据时间根据现场进度安排，成交供应商成交后应立即组织生产，确保在</w:t>
      </w:r>
      <w:r>
        <w:rPr>
          <w:rFonts w:hint="eastAsia" w:ascii="宋体" w:hAnsi="宋体" w:cs="宋体"/>
          <w:b/>
          <w:bCs/>
          <w:sz w:val="24"/>
          <w:highlight w:val="none"/>
        </w:rPr>
        <w:t>成交通知书发出后30日内全部交清并验收合格</w:t>
      </w:r>
      <w:r>
        <w:rPr>
          <w:rFonts w:hint="eastAsia" w:ascii="宋体" w:hAnsi="宋体" w:cs="宋体"/>
          <w:bCs/>
          <w:sz w:val="24"/>
          <w:highlight w:val="none"/>
        </w:rPr>
        <w:t>。</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1.2供需双方、监理共同将依据有关规定，对货物进行验收，并签字确认。</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1.3采购单位有权根据采购文件中的要求对材料质量进行检验试验。</w:t>
      </w:r>
    </w:p>
    <w:p>
      <w:pPr>
        <w:spacing w:line="360" w:lineRule="auto"/>
        <w:ind w:firstLine="480" w:firstLineChars="200"/>
        <w:jc w:val="left"/>
        <w:rPr>
          <w:rFonts w:hint="eastAsia" w:ascii="宋体" w:hAnsi="宋体" w:cs="宋体"/>
          <w:bCs/>
          <w:sz w:val="24"/>
        </w:rPr>
      </w:pPr>
      <w:r>
        <w:rPr>
          <w:rFonts w:hint="eastAsia" w:ascii="宋体" w:hAnsi="宋体" w:cs="宋体"/>
          <w:bCs/>
          <w:sz w:val="24"/>
          <w:highlight w:val="none"/>
        </w:rPr>
        <w:t>1.4成交供应商在项目成交后应立即组织箱变生产所需</w:t>
      </w:r>
      <w:bookmarkEnd w:id="13"/>
      <w:r>
        <w:rPr>
          <w:rFonts w:hint="eastAsia" w:ascii="宋体" w:hAnsi="宋体" w:cs="宋体"/>
          <w:bCs/>
          <w:sz w:val="24"/>
        </w:rPr>
        <w:t>的各项材料的采购工作，以保证按照采购单位要求及时供货，采购单位将不定期到厂商检查箱变供货情况及质量情况。</w:t>
      </w:r>
    </w:p>
    <w:p>
      <w:pPr>
        <w:spacing w:line="360" w:lineRule="auto"/>
        <w:ind w:firstLine="480" w:firstLineChars="200"/>
        <w:jc w:val="left"/>
        <w:rPr>
          <w:rFonts w:hint="eastAsia" w:ascii="宋体" w:hAnsi="宋体" w:cs="宋体"/>
          <w:bCs/>
          <w:sz w:val="24"/>
        </w:rPr>
      </w:pPr>
      <w:r>
        <w:rPr>
          <w:rFonts w:hint="eastAsia" w:ascii="宋体" w:hAnsi="宋体" w:cs="宋体"/>
          <w:bCs/>
          <w:sz w:val="24"/>
        </w:rPr>
        <w:t>1.5成交供应商如在采购单位规定的时间内未及时交出货物，采购单位将根据实际情况扣除相应的履约金。</w:t>
      </w:r>
    </w:p>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jc w:val="center"/>
                          </w:pPr>
                          <w:r>
                            <w:fldChar w:fldCharType="begin"/>
                          </w:r>
                          <w:r>
                            <w:instrText xml:space="preserve">PAGE  </w:instrText>
                          </w:r>
                          <w:r>
                            <w:fldChar w:fldCharType="separate"/>
                          </w:r>
                          <w:r>
                            <w:t>66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DafIfXTAQAApQMAAA4AAAAAAAAAAQAgAAAA&#10;IgEAAGRycy9lMm9Eb2MueG1sUEsFBgAAAAAGAAYAWQEAAGcFAAAAAA==&#10;">
              <v:fill on="f" focussize="0,0"/>
              <v:stroke on="f" weight="1.25pt"/>
              <v:imagedata o:title=""/>
              <o:lock v:ext="edit" aspectratio="f"/>
              <v:textbox inset="0mm,0mm,0mm,0mm" style="mso-fit-shape-to-text:t;">
                <w:txbxContent>
                  <w:p>
                    <w:pPr>
                      <w:jc w:val="center"/>
                    </w:pPr>
                    <w:r>
                      <w:fldChar w:fldCharType="begin"/>
                    </w:r>
                    <w:r>
                      <w:instrText xml:space="preserve">PAGE  </w:instrText>
                    </w:r>
                    <w:r>
                      <w:fldChar w:fldCharType="separate"/>
                    </w:r>
                    <w:r>
                      <w:t>66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2100" w:hanging="42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1YTJmNDNiOTJkNzA0MWEwZWY3ZGUzYWVhMmY3MDIifQ=="/>
  </w:docVars>
  <w:rsids>
    <w:rsidRoot w:val="00000000"/>
    <w:rsid w:val="03C03826"/>
    <w:rsid w:val="07CC09EB"/>
    <w:rsid w:val="1A5F2FF9"/>
    <w:rsid w:val="1D352737"/>
    <w:rsid w:val="21C65DB0"/>
    <w:rsid w:val="323859EF"/>
    <w:rsid w:val="3283600A"/>
    <w:rsid w:val="37881852"/>
    <w:rsid w:val="44636427"/>
    <w:rsid w:val="447E3548"/>
    <w:rsid w:val="4AAF357D"/>
    <w:rsid w:val="4C771B75"/>
    <w:rsid w:val="53D355AF"/>
    <w:rsid w:val="5A241975"/>
    <w:rsid w:val="5A726FC0"/>
    <w:rsid w:val="5B325134"/>
    <w:rsid w:val="5CDC1CAC"/>
    <w:rsid w:val="5D63611F"/>
    <w:rsid w:val="714F444D"/>
    <w:rsid w:val="787259C9"/>
    <w:rsid w:val="7F4224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9"/>
    <w:pPr>
      <w:keepNext/>
      <w:keepLines/>
      <w:spacing w:before="260" w:beforeLines="0" w:after="260" w:afterLines="0" w:line="415"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0" w:after="20" w:line="360" w:lineRule="auto"/>
      <w:ind w:left="200" w:leftChars="200" w:right="100" w:rightChars="100"/>
      <w:jc w:val="left"/>
      <w:outlineLvl w:val="2"/>
    </w:pPr>
    <w:rPr>
      <w:rFonts w:hAnsi="黑体" w:eastAsia="黑体"/>
      <w:b/>
      <w:sz w:val="28"/>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kern w:val="0"/>
      <w:sz w:val="24"/>
      <w:szCs w:val="20"/>
    </w:rPr>
  </w:style>
  <w:style w:type="paragraph" w:styleId="5">
    <w:name w:val="footer"/>
    <w:basedOn w:val="1"/>
    <w:qFormat/>
    <w:uiPriority w:val="0"/>
    <w:pPr>
      <w:tabs>
        <w:tab w:val="center" w:pos="4153"/>
        <w:tab w:val="right" w:pos="8306"/>
      </w:tabs>
      <w:snapToGrid w:val="0"/>
      <w:jc w:val="left"/>
    </w:pPr>
    <w:rPr>
      <w:sz w:val="18"/>
      <w:szCs w:val="20"/>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3231</Words>
  <Characters>3803</Characters>
  <Lines>0</Lines>
  <Paragraphs>0</Paragraphs>
  <TotalTime>15</TotalTime>
  <ScaleCrop>false</ScaleCrop>
  <LinksUpToDate>false</LinksUpToDate>
  <CharactersWithSpaces>3886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2022-09-21T09:02:00Z</dcterms:created>
  <dc:creator>Administrator</dc:creator>
  <cp:lastModifiedBy>指尖·微凉。</cp:lastModifiedBy>
  <cp:lastPrinted>2022-10-12T02:43:00Z</cp:lastPrinted>
  <dcterms:modified xsi:type="dcterms:W3CDTF">2022-11-02T09:22:34Z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E8672C057D0E43328B75059F9948E29D</vt:lpwstr>
  </property>
</Properties>
</file>