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DF" w:rsidRDefault="00AF5B1A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照明处废旧灯泡危废处置采购</w:t>
      </w:r>
    </w:p>
    <w:p w:rsidR="005254EA" w:rsidRDefault="00AF5B1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采购预算单价：</w:t>
      </w:r>
      <w:r w:rsidR="005254EA">
        <w:rPr>
          <w:rFonts w:asciiTheme="minorEastAsia" w:eastAsiaTheme="minorEastAsia" w:hAnsiTheme="minorEastAsia"/>
          <w:b/>
          <w:sz w:val="24"/>
        </w:rPr>
        <w:t>20</w:t>
      </w:r>
      <w:r>
        <w:rPr>
          <w:rFonts w:asciiTheme="minorEastAsia" w:eastAsiaTheme="minorEastAsia" w:hAnsiTheme="minorEastAsia" w:hint="eastAsia"/>
          <w:b/>
          <w:sz w:val="24"/>
        </w:rPr>
        <w:t>万元</w:t>
      </w:r>
    </w:p>
    <w:p w:rsidR="00335FDF" w:rsidRDefault="00AF5B1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一、 采购内容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常州市城市管理处在日常维护管理过程中产生废灯管（HW29，900-023-29)委托第三方寻找有资质单位处置，同时负责办理相关环保转移手续、包装及运输，其转移和处置方式应遵守危险废物处置的相关技术要求。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危废处置单位及运输公司需要相关资质。</w:t>
      </w:r>
      <w:r>
        <w:rPr>
          <w:rFonts w:asciiTheme="minorEastAsia" w:eastAsiaTheme="minorEastAsia" w:hAnsiTheme="minorEastAsia" w:hint="eastAsia"/>
          <w:b/>
          <w:sz w:val="24"/>
        </w:rPr>
        <w:t>本次危废转移属于交钥匙工程</w:t>
      </w:r>
      <w:r>
        <w:rPr>
          <w:rFonts w:asciiTheme="minorEastAsia" w:eastAsiaTheme="minorEastAsia" w:hAnsiTheme="minorEastAsia" w:hint="eastAsia"/>
          <w:sz w:val="24"/>
        </w:rPr>
        <w:t>，单价不予调整。根据招标人要求，投标人负责办理相关手续，向当地环保部门提出危废申报，建立电子联单，待批复后方可进行转移处置，危废处置及运输的企业必须具备900-023-029的代码（废灯管）的相关资质。运输及处理流程必须符合相关法律规定，做好应急预案。</w:t>
      </w:r>
    </w:p>
    <w:p w:rsidR="00335FDF" w:rsidRDefault="00AF5B1A">
      <w:pPr>
        <w:spacing w:line="360" w:lineRule="auto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二、投标人资格要求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1、投标人提供的危废处置单位处置范围应包含本次招标标的物范围。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2、投标人须承诺中标后委托（自营）的运输单位必须具备有效的危险货物道路运输许可证资质，资质中包含的危险货物运输类别必须与实际的危险废物类别相符合。</w:t>
      </w:r>
    </w:p>
    <w:p w:rsidR="00335FDF" w:rsidRDefault="00AF5B1A">
      <w:pPr>
        <w:spacing w:line="360" w:lineRule="auto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三、处理要求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1、危废的收集、运输</w:t>
      </w:r>
      <w:r>
        <w:rPr>
          <w:rFonts w:asciiTheme="minorEastAsia" w:eastAsiaTheme="minorEastAsia" w:hAnsiTheme="minorEastAsia"/>
          <w:sz w:val="24"/>
        </w:rPr>
        <w:t xml:space="preserve"> 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1.</w:t>
      </w:r>
      <w:r>
        <w:rPr>
          <w:rFonts w:asciiTheme="minorEastAsia" w:eastAsiaTheme="minorEastAsia" w:hAnsiTheme="minorEastAsia"/>
          <w:sz w:val="24"/>
        </w:rPr>
        <w:t>1</w:t>
      </w:r>
      <w:r>
        <w:rPr>
          <w:rFonts w:asciiTheme="minorEastAsia" w:eastAsiaTheme="minorEastAsia" w:hAnsiTheme="minorEastAsia" w:hint="eastAsia"/>
          <w:sz w:val="24"/>
        </w:rPr>
        <w:t>采用中等强度以上的50公斤级编织袋进行包装，严格捆装，贮存在危废专用贮存堆场，在装危废的包装能有效地防止渗漏、扩散，包装上必须贴有标签，在标签上详细标明危险废物的名称、重量、成分和特性。另一部分暂存专用贮存仓内，转移时直接输送到危险废物运输车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1.2</w:t>
      </w:r>
      <w:r>
        <w:rPr>
          <w:rFonts w:asciiTheme="minorEastAsia" w:eastAsiaTheme="minorEastAsia" w:hAnsiTheme="minorEastAsia" w:hint="eastAsia"/>
          <w:sz w:val="24"/>
        </w:rPr>
        <w:t>转移人员出车前应获取废物信息单（卡），明确需转移的危废种类、数量，做好转移准备，如：包装物及防护装备等。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1.3</w:t>
      </w:r>
      <w:r>
        <w:rPr>
          <w:rFonts w:asciiTheme="minorEastAsia" w:eastAsiaTheme="minorEastAsia" w:hAnsiTheme="minorEastAsia" w:hint="eastAsia"/>
          <w:sz w:val="24"/>
        </w:rPr>
        <w:t>危废装车前，转移人员根据信息单（卡）的内容对废物的种类、标签、包装物的密闭状况进行检查、核对，对接收的废物进行确认，符合包装、运输要求时才能接收转移。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1.</w:t>
      </w:r>
      <w:r>
        <w:rPr>
          <w:rFonts w:asciiTheme="minorEastAsia" w:eastAsiaTheme="minorEastAsia" w:hAnsiTheme="minorEastAsia" w:hint="eastAsia"/>
          <w:sz w:val="24"/>
        </w:rPr>
        <w:t>4危废的运输单位具有</w:t>
      </w:r>
      <w:r>
        <w:rPr>
          <w:rFonts w:asciiTheme="minorEastAsia" w:eastAsiaTheme="minorEastAsia" w:hAnsiTheme="minorEastAsia"/>
          <w:sz w:val="24"/>
        </w:rPr>
        <w:t>危险废物</w:t>
      </w:r>
      <w:r>
        <w:rPr>
          <w:rFonts w:asciiTheme="minorEastAsia" w:eastAsiaTheme="minorEastAsia" w:hAnsiTheme="minorEastAsia" w:hint="eastAsia"/>
          <w:sz w:val="24"/>
        </w:rPr>
        <w:t>运输资质，采用防扬尘的运输车辆运输。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1.</w:t>
      </w:r>
      <w:r>
        <w:rPr>
          <w:rFonts w:asciiTheme="minorEastAsia" w:eastAsiaTheme="minorEastAsia" w:hAnsiTheme="minorEastAsia" w:hint="eastAsia"/>
          <w:sz w:val="24"/>
        </w:rPr>
        <w:t>5运输危废的车辆应严格遵守危险品交通运输法律法规的要求，在可能情</w:t>
      </w:r>
      <w:r>
        <w:rPr>
          <w:rFonts w:asciiTheme="minorEastAsia" w:eastAsiaTheme="minorEastAsia" w:hAnsiTheme="minorEastAsia" w:hint="eastAsia"/>
          <w:sz w:val="24"/>
        </w:rPr>
        <w:lastRenderedPageBreak/>
        <w:t>况下绕过城市主要街道、居住区、疗养区、饮用水源保护区、自然保护区等。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1.</w:t>
      </w:r>
      <w:r>
        <w:rPr>
          <w:rFonts w:asciiTheme="minorEastAsia" w:eastAsiaTheme="minorEastAsia" w:hAnsiTheme="minorEastAsia" w:hint="eastAsia"/>
          <w:sz w:val="24"/>
        </w:rPr>
        <w:t>6中标单位需与当地环保部门进行相关处置工作对接，并进行连带申报及所有相关业务的协调工作。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2、现场转移工作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1遵守常州市城市照明管理处的安全、环保等规章制度和现场管理规定。核实安全防护用品，应急物资及转移用的包装、器具等准备情况。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2检查车辆到位情况和参与现场有关工作人员到场情况。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3操作人员必须经过专门培训，严格遵守操作规程。佩戴好防护用品。现场应保持通风良好，在转移及装卸过程中，远离火种、热源、高温区。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4现场把包装好的危废，检查好包装和贴好标识后全部转移到运输车中，合理布置，并将其固定，以免在运输中倾覆。专用贮存仓内危废，转移时直接输送到危险废物运输罐车内。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2.</w:t>
      </w:r>
      <w:r>
        <w:rPr>
          <w:rFonts w:asciiTheme="minorEastAsia" w:eastAsiaTheme="minorEastAsia" w:hAnsiTheme="minorEastAsia" w:hint="eastAsia"/>
          <w:sz w:val="24"/>
        </w:rPr>
        <w:t>5现场转移完毕后，将所用物品回收到运输车上。同时穿戴用的防护用品一律转移到运输车上作危险废物处理。现场转移工作完成后，由双方人员进行签字确认。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3、做好危险废物经营登记制度</w:t>
      </w:r>
    </w:p>
    <w:p w:rsidR="00335FDF" w:rsidRDefault="00AF5B1A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危险废物经营过程中严格按照国家环保部《危险废物经营单位记录和报告经营情况指南》的有关要求，建立和完善经营记录簿，详细记录产生的危险废物收集种类、来源和数量，进一步做好出入库登记、检测分析、分类贮存、利用、处置及最终流向和有无事故等事项的记录。</w:t>
      </w:r>
    </w:p>
    <w:p w:rsidR="00335FDF" w:rsidRDefault="00335FDF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</w:p>
    <w:p w:rsidR="00335FDF" w:rsidRDefault="00335FDF">
      <w:pPr>
        <w:spacing w:line="560" w:lineRule="exact"/>
        <w:ind w:leftChars="-13" w:left="-27" w:firstLineChars="250" w:firstLine="700"/>
        <w:rPr>
          <w:rFonts w:ascii="宋体" w:hAnsi="宋体"/>
          <w:color w:val="000000"/>
          <w:sz w:val="28"/>
        </w:rPr>
      </w:pPr>
    </w:p>
    <w:p w:rsidR="00335FDF" w:rsidRDefault="00335FDF">
      <w:pPr>
        <w:spacing w:line="560" w:lineRule="exact"/>
        <w:ind w:leftChars="-13" w:left="-27" w:firstLineChars="250" w:firstLine="700"/>
        <w:rPr>
          <w:rFonts w:ascii="宋体" w:hAnsi="宋体"/>
          <w:color w:val="000000"/>
          <w:sz w:val="28"/>
        </w:rPr>
      </w:pPr>
    </w:p>
    <w:p w:rsidR="00335FDF" w:rsidRDefault="00AF5B1A">
      <w:pPr>
        <w:spacing w:line="560" w:lineRule="exact"/>
        <w:ind w:leftChars="386" w:left="6831" w:hangingChars="2150" w:hanging="6020"/>
        <w:rPr>
          <w:rFonts w:ascii="宋体" w:hAnsi="宋体"/>
          <w:color w:val="000000"/>
          <w:sz w:val="28"/>
        </w:rPr>
      </w:pPr>
      <w:r>
        <w:rPr>
          <w:rFonts w:ascii="宋体" w:hAnsi="宋体" w:hint="eastAsia"/>
          <w:color w:val="000000"/>
          <w:sz w:val="28"/>
        </w:rPr>
        <w:t xml:space="preserve">                                                       </w:t>
      </w:r>
    </w:p>
    <w:p w:rsidR="00335FDF" w:rsidRDefault="00335FDF">
      <w:pPr>
        <w:spacing w:line="560" w:lineRule="exact"/>
        <w:ind w:leftChars="-13" w:left="-27" w:firstLineChars="250" w:firstLine="700"/>
        <w:rPr>
          <w:rFonts w:ascii="宋体" w:hAnsi="宋体"/>
          <w:color w:val="000000"/>
          <w:sz w:val="28"/>
        </w:rPr>
      </w:pPr>
    </w:p>
    <w:p w:rsidR="00335FDF" w:rsidRDefault="00335FDF" w:rsidP="00BF0A3E">
      <w:pPr>
        <w:spacing w:line="560" w:lineRule="exact"/>
        <w:rPr>
          <w:rFonts w:ascii="宋体" w:hAnsi="宋体" w:hint="eastAsia"/>
          <w:color w:val="000000"/>
          <w:sz w:val="28"/>
        </w:rPr>
      </w:pPr>
      <w:bookmarkStart w:id="0" w:name="_GoBack"/>
      <w:bookmarkEnd w:id="0"/>
    </w:p>
    <w:sectPr w:rsidR="00335F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B1A" w:rsidRDefault="00AF5B1A" w:rsidP="00AF5B1A">
      <w:r>
        <w:separator/>
      </w:r>
    </w:p>
  </w:endnote>
  <w:endnote w:type="continuationSeparator" w:id="0">
    <w:p w:rsidR="00AF5B1A" w:rsidRDefault="00AF5B1A" w:rsidP="00AF5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B1A" w:rsidRDefault="00AF5B1A" w:rsidP="00AF5B1A">
      <w:r>
        <w:separator/>
      </w:r>
    </w:p>
  </w:footnote>
  <w:footnote w:type="continuationSeparator" w:id="0">
    <w:p w:rsidR="00AF5B1A" w:rsidRDefault="00AF5B1A" w:rsidP="00AF5B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TY2NTMxOTIzMDFjNGExZGU5MDFjYTg0MmIyMzYifQ=="/>
  </w:docVars>
  <w:rsids>
    <w:rsidRoot w:val="574E3634"/>
    <w:rsid w:val="001E3872"/>
    <w:rsid w:val="00335FDF"/>
    <w:rsid w:val="005254EA"/>
    <w:rsid w:val="00A63D42"/>
    <w:rsid w:val="00AF5B1A"/>
    <w:rsid w:val="00BD2CC1"/>
    <w:rsid w:val="00BF0A3E"/>
    <w:rsid w:val="1A536B58"/>
    <w:rsid w:val="1C7E316B"/>
    <w:rsid w:val="270521D8"/>
    <w:rsid w:val="334F2045"/>
    <w:rsid w:val="3D094844"/>
    <w:rsid w:val="3DA0637C"/>
    <w:rsid w:val="402E651B"/>
    <w:rsid w:val="46A0231B"/>
    <w:rsid w:val="522604A2"/>
    <w:rsid w:val="574E3634"/>
    <w:rsid w:val="5C420256"/>
    <w:rsid w:val="61010CB2"/>
    <w:rsid w:val="6C4123A8"/>
    <w:rsid w:val="6DF45D41"/>
    <w:rsid w:val="722C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6CBB6C2-25B8-4AA9-A438-A245057D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NTKO</cp:lastModifiedBy>
  <cp:revision>6</cp:revision>
  <cp:lastPrinted>2021-05-13T08:37:00Z</cp:lastPrinted>
  <dcterms:created xsi:type="dcterms:W3CDTF">2019-08-26T06:10:00Z</dcterms:created>
  <dcterms:modified xsi:type="dcterms:W3CDTF">2022-10-27T03:20:00Z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7B943CD71CDE4942B7A6C6824AA1D305</vt:lpwstr>
  </property>
</Properties>
</file>