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56" w:after="468" w:line="360" w:lineRule="auto"/>
        <w:rPr>
          <w:rFonts w:cs="方正小标宋简体" w:asciiTheme="minorEastAsia" w:hAnsiTheme="minorEastAsia"/>
          <w:sz w:val="52"/>
          <w:szCs w:val="52"/>
        </w:rPr>
      </w:pPr>
      <w:bookmarkStart w:id="0" w:name="_Toc32412_WPSOffice_Level1"/>
      <w:r>
        <w:rPr>
          <w:rFonts w:hint="eastAsia" w:cs="方正小标宋简体" w:asciiTheme="minorEastAsia" w:hAnsiTheme="minorEastAsia"/>
          <w:sz w:val="52"/>
          <w:szCs w:val="52"/>
          <w:lang w:val="en-US" w:eastAsia="zh-CN"/>
        </w:rPr>
        <w:t>尚安路景观灯具</w:t>
      </w:r>
      <w:r>
        <w:rPr>
          <w:rFonts w:hint="eastAsia" w:cs="方正小标宋简体" w:asciiTheme="minorEastAsia" w:hAnsiTheme="minorEastAsia"/>
          <w:sz w:val="52"/>
          <w:szCs w:val="52"/>
        </w:rPr>
        <w:t>技术文件</w:t>
      </w:r>
    </w:p>
    <w:bookmarkEnd w:id="0"/>
    <w:p>
      <w:pPr>
        <w:pStyle w:val="2"/>
        <w:numPr>
          <w:ilvl w:val="0"/>
          <w:numId w:val="1"/>
        </w:numPr>
        <w:spacing w:before="156" w:after="468" w:line="360" w:lineRule="auto"/>
        <w:rPr>
          <w:rFonts w:cs="黑体" w:asciiTheme="minorEastAsia" w:hAnsiTheme="minorEastAsia"/>
          <w:sz w:val="40"/>
          <w:szCs w:val="40"/>
        </w:rPr>
      </w:pPr>
      <w:r>
        <w:rPr>
          <w:rFonts w:hint="eastAsia" w:cs="黑体" w:asciiTheme="minorEastAsia" w:hAnsiTheme="minorEastAsia"/>
          <w:sz w:val="40"/>
          <w:szCs w:val="40"/>
        </w:rPr>
        <w:t>清单</w:t>
      </w:r>
    </w:p>
    <w:p>
      <w:pPr>
        <w:rPr>
          <w:rFonts w:asciiTheme="minorEastAsia" w:hAnsiTheme="minorEastAsia"/>
        </w:rPr>
      </w:pPr>
    </w:p>
    <w:tbl>
      <w:tblPr>
        <w:tblStyle w:val="8"/>
        <w:tblW w:w="81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9"/>
        <w:gridCol w:w="4577"/>
        <w:gridCol w:w="533"/>
        <w:gridCol w:w="680"/>
        <w:gridCol w:w="16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blHeader/>
          <w:jc w:val="center"/>
        </w:trPr>
        <w:tc>
          <w:tcPr>
            <w:tcW w:w="639" w:type="dxa"/>
            <w:tcBorders>
              <w:tl2br w:val="nil"/>
              <w:tr2bl w:val="nil"/>
            </w:tcBorders>
            <w:shd w:val="clear" w:color="auto" w:fill="F1F1F1" w:themeFill="background1" w:themeFillShade="F2"/>
            <w:vAlign w:val="center"/>
          </w:tcPr>
          <w:p>
            <w:pPr>
              <w:widowControl/>
              <w:jc w:val="center"/>
              <w:textAlignment w:val="top"/>
              <w:rPr>
                <w:rFonts w:cs="仿宋_GB2312" w:asciiTheme="minorEastAsia" w:hAnsiTheme="minorEastAsia"/>
                <w:szCs w:val="21"/>
              </w:rPr>
            </w:pPr>
            <w:r>
              <w:rPr>
                <w:rFonts w:hint="eastAsia" w:cs="仿宋_GB2312" w:asciiTheme="minorEastAsia" w:hAnsiTheme="minorEastAsia"/>
                <w:kern w:val="0"/>
                <w:szCs w:val="21"/>
              </w:rPr>
              <w:t>序号</w:t>
            </w:r>
          </w:p>
        </w:tc>
        <w:tc>
          <w:tcPr>
            <w:tcW w:w="4577" w:type="dxa"/>
            <w:tcBorders>
              <w:tl2br w:val="nil"/>
              <w:tr2bl w:val="nil"/>
            </w:tcBorders>
            <w:shd w:val="clear" w:color="auto" w:fill="F1F1F1" w:themeFill="background1" w:themeFillShade="F2"/>
            <w:vAlign w:val="center"/>
          </w:tcPr>
          <w:p>
            <w:pPr>
              <w:widowControl/>
              <w:jc w:val="center"/>
              <w:textAlignment w:val="top"/>
              <w:rPr>
                <w:rFonts w:cs="仿宋_GB2312" w:asciiTheme="minorEastAsia" w:hAnsiTheme="minorEastAsia"/>
                <w:szCs w:val="21"/>
              </w:rPr>
            </w:pPr>
            <w:r>
              <w:rPr>
                <w:rFonts w:hint="eastAsia" w:cs="仿宋_GB2312" w:asciiTheme="minorEastAsia" w:hAnsiTheme="minorEastAsia"/>
                <w:kern w:val="0"/>
                <w:szCs w:val="21"/>
              </w:rPr>
              <w:t>名称</w:t>
            </w:r>
          </w:p>
        </w:tc>
        <w:tc>
          <w:tcPr>
            <w:tcW w:w="533" w:type="dxa"/>
            <w:tcBorders>
              <w:tl2br w:val="nil"/>
              <w:tr2bl w:val="nil"/>
            </w:tcBorders>
            <w:shd w:val="clear" w:color="auto" w:fill="F1F1F1" w:themeFill="background1" w:themeFillShade="F2"/>
            <w:vAlign w:val="center"/>
          </w:tcPr>
          <w:p>
            <w:pPr>
              <w:widowControl/>
              <w:jc w:val="center"/>
              <w:textAlignment w:val="top"/>
              <w:rPr>
                <w:rFonts w:cs="仿宋_GB2312" w:asciiTheme="minorEastAsia" w:hAnsiTheme="minorEastAsia"/>
                <w:kern w:val="0"/>
                <w:szCs w:val="21"/>
              </w:rPr>
            </w:pPr>
            <w:r>
              <w:rPr>
                <w:rFonts w:hint="eastAsia" w:cs="仿宋_GB2312" w:asciiTheme="minorEastAsia" w:hAnsiTheme="minorEastAsia"/>
                <w:kern w:val="0"/>
                <w:szCs w:val="21"/>
              </w:rPr>
              <w:t>单位</w:t>
            </w:r>
          </w:p>
        </w:tc>
        <w:tc>
          <w:tcPr>
            <w:tcW w:w="680" w:type="dxa"/>
            <w:tcBorders>
              <w:tl2br w:val="nil"/>
              <w:tr2bl w:val="nil"/>
            </w:tcBorders>
            <w:shd w:val="clear" w:color="auto" w:fill="F1F1F1" w:themeFill="background1" w:themeFillShade="F2"/>
            <w:vAlign w:val="center"/>
          </w:tcPr>
          <w:p>
            <w:pPr>
              <w:widowControl/>
              <w:jc w:val="center"/>
              <w:textAlignment w:val="top"/>
              <w:rPr>
                <w:rFonts w:cs="仿宋_GB2312" w:asciiTheme="minorEastAsia" w:hAnsiTheme="minorEastAsia"/>
                <w:szCs w:val="21"/>
              </w:rPr>
            </w:pPr>
            <w:r>
              <w:rPr>
                <w:rFonts w:hint="eastAsia" w:cs="仿宋_GB2312" w:asciiTheme="minorEastAsia" w:hAnsiTheme="minorEastAsia"/>
                <w:kern w:val="0"/>
                <w:szCs w:val="21"/>
              </w:rPr>
              <w:t>数量</w:t>
            </w:r>
          </w:p>
        </w:tc>
        <w:tc>
          <w:tcPr>
            <w:tcW w:w="1675" w:type="dxa"/>
            <w:tcBorders>
              <w:tl2br w:val="nil"/>
              <w:tr2bl w:val="nil"/>
            </w:tcBorders>
            <w:shd w:val="clear" w:color="auto" w:fill="F1F1F1" w:themeFill="background1" w:themeFillShade="F2"/>
            <w:vAlign w:val="center"/>
          </w:tcPr>
          <w:p>
            <w:pPr>
              <w:widowControl/>
              <w:jc w:val="center"/>
              <w:textAlignment w:val="top"/>
              <w:rPr>
                <w:rFonts w:hint="eastAsia" w:cs="仿宋_GB2312" w:asciiTheme="minorEastAsia" w:hAnsiTheme="minorEastAsia" w:eastAsiaTheme="minorEastAsia"/>
                <w:kern w:val="0"/>
                <w:szCs w:val="21"/>
                <w:lang w:eastAsia="zh-CN"/>
              </w:rPr>
            </w:pPr>
            <w:r>
              <w:rPr>
                <w:rFonts w:hint="eastAsia" w:cs="仿宋_GB2312" w:asciiTheme="minorEastAsia" w:hAnsiTheme="minorEastAsia"/>
                <w:kern w:val="0"/>
                <w:szCs w:val="21"/>
                <w:lang w:val="en-US" w:eastAsia="zh-CN"/>
              </w:rPr>
              <w:t>编码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9" w:type="dxa"/>
            <w:tcBorders>
              <w:tl2br w:val="nil"/>
              <w:tr2bl w:val="nil"/>
            </w:tcBorders>
            <w:shd w:val="clear" w:color="auto" w:fill="auto"/>
            <w:vAlign w:val="center"/>
          </w:tcPr>
          <w:p>
            <w:pPr>
              <w:widowControl/>
              <w:jc w:val="center"/>
              <w:textAlignment w:val="top"/>
              <w:rPr>
                <w:rFonts w:cs="仿宋_GB2312" w:asciiTheme="minorEastAsia" w:hAnsiTheme="minorEastAsia"/>
                <w:kern w:val="0"/>
                <w:szCs w:val="21"/>
              </w:rPr>
            </w:pPr>
            <w:r>
              <w:rPr>
                <w:rFonts w:hint="eastAsia" w:cs="仿宋_GB2312" w:asciiTheme="minorEastAsia" w:hAnsiTheme="minorEastAsia"/>
                <w:kern w:val="0"/>
                <w:szCs w:val="21"/>
              </w:rPr>
              <w:t>1</w:t>
            </w:r>
          </w:p>
        </w:tc>
        <w:tc>
          <w:tcPr>
            <w:tcW w:w="4577" w:type="dxa"/>
            <w:tcBorders>
              <w:tl2br w:val="nil"/>
              <w:tr2bl w:val="nil"/>
            </w:tcBorders>
            <w:shd w:val="clear" w:color="auto" w:fill="auto"/>
            <w:vAlign w:val="center"/>
          </w:tcPr>
          <w:p>
            <w:pPr>
              <w:jc w:val="center"/>
              <w:rPr>
                <w:rFonts w:cs="仿宋_GB2312" w:asciiTheme="minorEastAsia" w:hAnsiTheme="minorEastAsia"/>
                <w:szCs w:val="21"/>
              </w:rPr>
            </w:pPr>
            <w:r>
              <w:rPr>
                <w:rFonts w:hint="eastAsia" w:cs="仿宋_GB2312" w:asciiTheme="minorEastAsia" w:hAnsiTheme="minorEastAsia"/>
                <w:bCs/>
                <w:kern w:val="0"/>
                <w:szCs w:val="21"/>
              </w:rPr>
              <w:t>10W LED立方体草坪灯（3000K）</w:t>
            </w:r>
          </w:p>
        </w:tc>
        <w:tc>
          <w:tcPr>
            <w:tcW w:w="533" w:type="dxa"/>
            <w:tcBorders>
              <w:tl2br w:val="nil"/>
              <w:tr2bl w:val="nil"/>
            </w:tcBorders>
            <w:shd w:val="clear" w:color="auto" w:fill="auto"/>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套</w:t>
            </w:r>
          </w:p>
        </w:tc>
        <w:tc>
          <w:tcPr>
            <w:tcW w:w="680" w:type="dxa"/>
            <w:tcBorders>
              <w:tl2br w:val="nil"/>
              <w:tr2bl w:val="nil"/>
            </w:tcBorders>
            <w:shd w:val="clear" w:color="auto" w:fill="auto"/>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56</w:t>
            </w:r>
          </w:p>
        </w:tc>
        <w:tc>
          <w:tcPr>
            <w:tcW w:w="1675" w:type="dxa"/>
            <w:tcBorders>
              <w:tl2br w:val="nil"/>
              <w:tr2bl w:val="nil"/>
            </w:tcBorders>
            <w:vAlign w:val="center"/>
          </w:tcPr>
          <w:p>
            <w:pPr>
              <w:autoSpaceDE w:val="0"/>
              <w:autoSpaceDN w:val="0"/>
              <w:adjustRightInd w:val="0"/>
              <w:jc w:val="center"/>
              <w:rPr>
                <w:rFonts w:hint="default" w:cs="仿宋_GB2312" w:asciiTheme="minorEastAsia" w:hAnsiTheme="minorEastAsia" w:eastAsiaTheme="minorEastAsia"/>
                <w:color w:val="auto"/>
                <w:szCs w:val="21"/>
                <w:lang w:val="en-US" w:eastAsia="zh-CN"/>
              </w:rPr>
            </w:pPr>
            <w:r>
              <w:rPr>
                <w:rFonts w:hint="eastAsia" w:cs="仿宋_GB2312" w:asciiTheme="minorEastAsia" w:hAnsiTheme="minorEastAsia"/>
                <w:color w:val="auto"/>
                <w:szCs w:val="21"/>
                <w:lang w:val="en-US" w:eastAsia="zh-CN"/>
              </w:rPr>
              <w:t>0201161030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9" w:type="dxa"/>
            <w:tcBorders>
              <w:tl2br w:val="nil"/>
              <w:tr2bl w:val="nil"/>
            </w:tcBorders>
            <w:shd w:val="clear" w:color="auto" w:fill="auto"/>
            <w:vAlign w:val="center"/>
          </w:tcPr>
          <w:p>
            <w:pPr>
              <w:jc w:val="center"/>
              <w:rPr>
                <w:rFonts w:cs="仿宋_GB2312" w:asciiTheme="minorEastAsia" w:hAnsiTheme="minorEastAsia"/>
                <w:kern w:val="0"/>
                <w:szCs w:val="21"/>
              </w:rPr>
            </w:pPr>
            <w:r>
              <w:rPr>
                <w:rFonts w:hint="eastAsia" w:cs="仿宋_GB2312" w:asciiTheme="minorEastAsia" w:hAnsiTheme="minorEastAsia"/>
                <w:kern w:val="0"/>
                <w:szCs w:val="21"/>
              </w:rPr>
              <w:t>2</w:t>
            </w:r>
          </w:p>
        </w:tc>
        <w:tc>
          <w:tcPr>
            <w:tcW w:w="4577" w:type="dxa"/>
            <w:tcBorders>
              <w:tl2br w:val="nil"/>
              <w:tr2bl w:val="nil"/>
            </w:tcBorders>
            <w:shd w:val="clear" w:color="auto" w:fill="auto"/>
            <w:vAlign w:val="center"/>
          </w:tcPr>
          <w:p>
            <w:pPr>
              <w:jc w:val="center"/>
              <w:rPr>
                <w:rFonts w:hint="default" w:cs="仿宋_GB2312" w:asciiTheme="minorEastAsia" w:hAnsiTheme="minorEastAsia" w:eastAsiaTheme="minorEastAsia"/>
                <w:kern w:val="0"/>
                <w:szCs w:val="21"/>
                <w:lang w:val="en-US" w:eastAsia="zh-CN"/>
              </w:rPr>
            </w:pPr>
            <w:r>
              <w:rPr>
                <w:rFonts w:hint="eastAsia" w:cs="仿宋_GB2312" w:asciiTheme="minorEastAsia" w:hAnsiTheme="minorEastAsia"/>
                <w:kern w:val="0"/>
                <w:szCs w:val="21"/>
              </w:rPr>
              <w:t>10W方形 LED地砖灯（1000*50mm） （4000K）</w:t>
            </w:r>
            <w:r>
              <w:rPr>
                <w:rFonts w:hint="eastAsia" w:cs="仿宋_GB2312" w:asciiTheme="minorEastAsia" w:hAnsiTheme="minorEastAsia"/>
                <w:kern w:val="0"/>
                <w:szCs w:val="21"/>
                <w:lang w:val="en-US" w:eastAsia="zh-CN"/>
              </w:rPr>
              <w:t>DMX</w:t>
            </w:r>
          </w:p>
        </w:tc>
        <w:tc>
          <w:tcPr>
            <w:tcW w:w="533" w:type="dxa"/>
            <w:tcBorders>
              <w:tl2br w:val="nil"/>
              <w:tr2bl w:val="nil"/>
            </w:tcBorders>
            <w:shd w:val="clear" w:color="auto" w:fill="auto"/>
            <w:vAlign w:val="center"/>
          </w:tcPr>
          <w:p>
            <w:pPr>
              <w:jc w:val="center"/>
              <w:rPr>
                <w:rFonts w:asciiTheme="minorEastAsia" w:hAnsiTheme="minorEastAsia"/>
              </w:rPr>
            </w:pPr>
            <w:r>
              <w:rPr>
                <w:rFonts w:hint="eastAsia" w:cs="仿宋_GB2312" w:asciiTheme="minorEastAsia" w:hAnsiTheme="minorEastAsia"/>
                <w:kern w:val="0"/>
                <w:szCs w:val="21"/>
              </w:rPr>
              <w:t>套</w:t>
            </w:r>
          </w:p>
        </w:tc>
        <w:tc>
          <w:tcPr>
            <w:tcW w:w="680" w:type="dxa"/>
            <w:tcBorders>
              <w:tl2br w:val="nil"/>
              <w:tr2bl w:val="nil"/>
            </w:tcBorders>
            <w:shd w:val="clear" w:color="auto" w:fill="auto"/>
            <w:vAlign w:val="center"/>
          </w:tcPr>
          <w:p>
            <w:pPr>
              <w:jc w:val="center"/>
              <w:rPr>
                <w:rFonts w:hint="default" w:asciiTheme="minorEastAsia" w:hAnsiTheme="minorEastAsia" w:eastAsiaTheme="minorEastAsia"/>
                <w:lang w:val="en-US" w:eastAsia="zh-CN"/>
              </w:rPr>
            </w:pPr>
            <w:r>
              <w:rPr>
                <w:rFonts w:hint="eastAsia" w:asciiTheme="minorEastAsia" w:hAnsiTheme="minorEastAsia"/>
                <w:lang w:val="en-US" w:eastAsia="zh-CN"/>
              </w:rPr>
              <w:t>165</w:t>
            </w:r>
          </w:p>
        </w:tc>
        <w:tc>
          <w:tcPr>
            <w:tcW w:w="1675" w:type="dxa"/>
            <w:tcBorders>
              <w:tl2br w:val="nil"/>
              <w:tr2bl w:val="nil"/>
            </w:tcBorders>
            <w:vAlign w:val="center"/>
          </w:tcPr>
          <w:p>
            <w:pPr>
              <w:autoSpaceDE w:val="0"/>
              <w:autoSpaceDN w:val="0"/>
              <w:adjustRightInd w:val="0"/>
              <w:jc w:val="center"/>
              <w:rPr>
                <w:rFonts w:hint="default" w:cs="仿宋_GB2312" w:asciiTheme="minorEastAsia" w:hAnsiTheme="minorEastAsia" w:eastAsiaTheme="minorEastAsia"/>
                <w:color w:val="auto"/>
                <w:szCs w:val="21"/>
                <w:lang w:val="en-US" w:eastAsia="zh-CN"/>
              </w:rPr>
            </w:pPr>
            <w:r>
              <w:rPr>
                <w:rFonts w:hint="eastAsia" w:cs="仿宋_GB2312" w:asciiTheme="minorEastAsia" w:hAnsiTheme="minorEastAsia"/>
                <w:color w:val="auto"/>
                <w:szCs w:val="21"/>
                <w:lang w:val="en-US" w:eastAsia="zh-CN"/>
              </w:rPr>
              <w:t>0201211041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9" w:type="dxa"/>
            <w:tcBorders>
              <w:tl2br w:val="nil"/>
              <w:tr2bl w:val="nil"/>
            </w:tcBorders>
            <w:shd w:val="clear" w:color="auto" w:fill="auto"/>
            <w:vAlign w:val="center"/>
          </w:tcPr>
          <w:p>
            <w:pPr>
              <w:jc w:val="center"/>
              <w:rPr>
                <w:rFonts w:cs="仿宋_GB2312" w:asciiTheme="minorEastAsia" w:hAnsiTheme="minorEastAsia"/>
                <w:kern w:val="0"/>
                <w:szCs w:val="21"/>
              </w:rPr>
            </w:pPr>
            <w:r>
              <w:rPr>
                <w:rFonts w:hint="eastAsia" w:cs="仿宋_GB2312" w:asciiTheme="minorEastAsia" w:hAnsiTheme="minorEastAsia"/>
                <w:kern w:val="0"/>
                <w:szCs w:val="21"/>
              </w:rPr>
              <w:t>3</w:t>
            </w:r>
          </w:p>
        </w:tc>
        <w:tc>
          <w:tcPr>
            <w:tcW w:w="4577" w:type="dxa"/>
            <w:tcBorders>
              <w:tl2br w:val="nil"/>
              <w:tr2bl w:val="nil"/>
            </w:tcBorders>
            <w:shd w:val="clear" w:color="auto" w:fill="auto"/>
            <w:vAlign w:val="center"/>
          </w:tcPr>
          <w:p>
            <w:pPr>
              <w:jc w:val="center"/>
              <w:rPr>
                <w:rFonts w:hint="default" w:cs="仿宋_GB2312" w:asciiTheme="minorEastAsia" w:hAnsiTheme="minorEastAsia" w:eastAsiaTheme="minorEastAsia"/>
                <w:kern w:val="0"/>
                <w:szCs w:val="21"/>
                <w:lang w:val="en-US" w:eastAsia="zh-CN"/>
              </w:rPr>
            </w:pPr>
            <w:r>
              <w:rPr>
                <w:rFonts w:hint="eastAsia" w:cs="仿宋_GB2312" w:asciiTheme="minorEastAsia" w:hAnsiTheme="minorEastAsia"/>
                <w:kern w:val="0"/>
                <w:szCs w:val="21"/>
              </w:rPr>
              <w:t>12W方形 LED地砖灯（1000*100mm） （4000K）</w:t>
            </w:r>
            <w:r>
              <w:rPr>
                <w:rFonts w:hint="eastAsia" w:cs="仿宋_GB2312" w:asciiTheme="minorEastAsia" w:hAnsiTheme="minorEastAsia"/>
                <w:kern w:val="0"/>
                <w:szCs w:val="21"/>
                <w:lang w:val="en-US" w:eastAsia="zh-CN"/>
              </w:rPr>
              <w:t>DMX</w:t>
            </w:r>
          </w:p>
        </w:tc>
        <w:tc>
          <w:tcPr>
            <w:tcW w:w="533" w:type="dxa"/>
            <w:tcBorders>
              <w:tl2br w:val="nil"/>
              <w:tr2bl w:val="nil"/>
            </w:tcBorders>
            <w:shd w:val="clear" w:color="auto" w:fill="auto"/>
            <w:vAlign w:val="center"/>
          </w:tcPr>
          <w:p>
            <w:pPr>
              <w:jc w:val="center"/>
              <w:rPr>
                <w:rFonts w:asciiTheme="minorEastAsia" w:hAnsiTheme="minorEastAsia"/>
              </w:rPr>
            </w:pPr>
            <w:r>
              <w:rPr>
                <w:rFonts w:hint="eastAsia" w:cs="仿宋_GB2312" w:asciiTheme="minorEastAsia" w:hAnsiTheme="minorEastAsia"/>
                <w:kern w:val="0"/>
                <w:szCs w:val="21"/>
              </w:rPr>
              <w:t>套</w:t>
            </w:r>
          </w:p>
        </w:tc>
        <w:tc>
          <w:tcPr>
            <w:tcW w:w="680" w:type="dxa"/>
            <w:tcBorders>
              <w:tl2br w:val="nil"/>
              <w:tr2bl w:val="nil"/>
            </w:tcBorders>
            <w:shd w:val="clear" w:color="auto" w:fill="auto"/>
            <w:vAlign w:val="center"/>
          </w:tcPr>
          <w:p>
            <w:pPr>
              <w:jc w:val="center"/>
              <w:rPr>
                <w:rFonts w:asciiTheme="minorEastAsia" w:hAnsiTheme="minorEastAsia"/>
              </w:rPr>
            </w:pPr>
            <w:r>
              <w:rPr>
                <w:rFonts w:hint="eastAsia" w:asciiTheme="minorEastAsia" w:hAnsiTheme="minorEastAsia"/>
              </w:rPr>
              <w:t>4</w:t>
            </w:r>
          </w:p>
        </w:tc>
        <w:tc>
          <w:tcPr>
            <w:tcW w:w="1675" w:type="dxa"/>
            <w:tcBorders>
              <w:tl2br w:val="nil"/>
              <w:tr2bl w:val="nil"/>
            </w:tcBorders>
            <w:vAlign w:val="center"/>
          </w:tcPr>
          <w:p>
            <w:pPr>
              <w:autoSpaceDE w:val="0"/>
              <w:autoSpaceDN w:val="0"/>
              <w:adjustRightInd w:val="0"/>
              <w:jc w:val="center"/>
              <w:rPr>
                <w:rFonts w:hint="default" w:cs="仿宋_GB2312" w:asciiTheme="minorEastAsia" w:hAnsiTheme="minorEastAsia" w:eastAsiaTheme="minorEastAsia"/>
                <w:color w:val="auto"/>
                <w:szCs w:val="21"/>
                <w:lang w:val="en-US" w:eastAsia="zh-CN"/>
              </w:rPr>
            </w:pPr>
            <w:r>
              <w:rPr>
                <w:rFonts w:hint="eastAsia" w:cs="仿宋_GB2312" w:asciiTheme="minorEastAsia" w:hAnsiTheme="minorEastAsia"/>
                <w:color w:val="auto"/>
                <w:szCs w:val="21"/>
                <w:lang w:val="en-US" w:eastAsia="zh-CN"/>
              </w:rPr>
              <w:t>0201211241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9" w:type="dxa"/>
            <w:tcBorders>
              <w:tl2br w:val="nil"/>
              <w:tr2bl w:val="nil"/>
            </w:tcBorders>
            <w:shd w:val="clear" w:color="auto" w:fill="auto"/>
            <w:vAlign w:val="center"/>
          </w:tcPr>
          <w:p>
            <w:pPr>
              <w:jc w:val="center"/>
              <w:rPr>
                <w:rFonts w:cs="仿宋_GB2312" w:asciiTheme="minorEastAsia" w:hAnsiTheme="minorEastAsia"/>
                <w:kern w:val="0"/>
                <w:szCs w:val="21"/>
              </w:rPr>
            </w:pPr>
            <w:r>
              <w:rPr>
                <w:rFonts w:hint="eastAsia" w:cs="仿宋_GB2312" w:asciiTheme="minorEastAsia" w:hAnsiTheme="minorEastAsia"/>
                <w:kern w:val="0"/>
                <w:szCs w:val="21"/>
              </w:rPr>
              <w:t>4</w:t>
            </w:r>
          </w:p>
        </w:tc>
        <w:tc>
          <w:tcPr>
            <w:tcW w:w="4577" w:type="dxa"/>
            <w:tcBorders>
              <w:tl2br w:val="nil"/>
              <w:tr2bl w:val="nil"/>
            </w:tcBorders>
            <w:shd w:val="clear" w:color="auto" w:fill="auto"/>
            <w:vAlign w:val="center"/>
          </w:tcPr>
          <w:p>
            <w:pPr>
              <w:jc w:val="center"/>
              <w:rPr>
                <w:rFonts w:hint="default" w:cs="仿宋_GB2312" w:asciiTheme="minorEastAsia" w:hAnsiTheme="minorEastAsia" w:eastAsiaTheme="minorEastAsia"/>
                <w:kern w:val="0"/>
                <w:szCs w:val="21"/>
                <w:lang w:val="en-US" w:eastAsia="zh-CN"/>
              </w:rPr>
            </w:pPr>
            <w:r>
              <w:rPr>
                <w:rFonts w:hint="eastAsia" w:cs="仿宋_GB2312" w:asciiTheme="minorEastAsia" w:hAnsiTheme="minorEastAsia"/>
                <w:kern w:val="0"/>
                <w:szCs w:val="21"/>
              </w:rPr>
              <w:t>6W方形 LED地砖灯（500*100mm） （4000K）</w:t>
            </w:r>
            <w:r>
              <w:rPr>
                <w:rFonts w:hint="eastAsia" w:cs="仿宋_GB2312" w:asciiTheme="minorEastAsia" w:hAnsiTheme="minorEastAsia"/>
                <w:kern w:val="0"/>
                <w:szCs w:val="21"/>
                <w:lang w:val="en-US" w:eastAsia="zh-CN"/>
              </w:rPr>
              <w:t>DMX</w:t>
            </w:r>
          </w:p>
        </w:tc>
        <w:tc>
          <w:tcPr>
            <w:tcW w:w="533" w:type="dxa"/>
            <w:tcBorders>
              <w:tl2br w:val="nil"/>
              <w:tr2bl w:val="nil"/>
            </w:tcBorders>
            <w:shd w:val="clear" w:color="auto" w:fill="auto"/>
            <w:vAlign w:val="center"/>
          </w:tcPr>
          <w:p>
            <w:pPr>
              <w:jc w:val="center"/>
              <w:rPr>
                <w:rFonts w:asciiTheme="minorEastAsia" w:hAnsiTheme="minorEastAsia"/>
              </w:rPr>
            </w:pPr>
            <w:r>
              <w:rPr>
                <w:rFonts w:hint="eastAsia" w:cs="仿宋_GB2312" w:asciiTheme="minorEastAsia" w:hAnsiTheme="minorEastAsia"/>
                <w:kern w:val="0"/>
                <w:szCs w:val="21"/>
              </w:rPr>
              <w:t>套</w:t>
            </w:r>
          </w:p>
        </w:tc>
        <w:tc>
          <w:tcPr>
            <w:tcW w:w="680" w:type="dxa"/>
            <w:tcBorders>
              <w:tl2br w:val="nil"/>
              <w:tr2bl w:val="nil"/>
            </w:tcBorders>
            <w:shd w:val="clear" w:color="auto" w:fill="auto"/>
            <w:vAlign w:val="center"/>
          </w:tcPr>
          <w:p>
            <w:pPr>
              <w:jc w:val="center"/>
              <w:rPr>
                <w:rFonts w:asciiTheme="minorEastAsia" w:hAnsiTheme="minorEastAsia"/>
              </w:rPr>
            </w:pPr>
            <w:r>
              <w:rPr>
                <w:rFonts w:hint="eastAsia" w:asciiTheme="minorEastAsia" w:hAnsiTheme="minorEastAsia"/>
              </w:rPr>
              <w:t>8</w:t>
            </w:r>
          </w:p>
        </w:tc>
        <w:tc>
          <w:tcPr>
            <w:tcW w:w="1675" w:type="dxa"/>
            <w:tcBorders>
              <w:tl2br w:val="nil"/>
              <w:tr2bl w:val="nil"/>
            </w:tcBorders>
            <w:vAlign w:val="center"/>
          </w:tcPr>
          <w:p>
            <w:pPr>
              <w:autoSpaceDE w:val="0"/>
              <w:autoSpaceDN w:val="0"/>
              <w:adjustRightInd w:val="0"/>
              <w:jc w:val="center"/>
              <w:rPr>
                <w:rFonts w:hint="default" w:cs="仿宋_GB2312" w:asciiTheme="minorEastAsia" w:hAnsiTheme="minorEastAsia" w:eastAsiaTheme="minorEastAsia"/>
                <w:color w:val="auto"/>
                <w:szCs w:val="21"/>
                <w:lang w:val="en-US" w:eastAsia="zh-CN"/>
              </w:rPr>
            </w:pPr>
            <w:r>
              <w:rPr>
                <w:rFonts w:hint="eastAsia" w:cs="仿宋_GB2312" w:asciiTheme="minorEastAsia" w:hAnsiTheme="minorEastAsia"/>
                <w:color w:val="auto"/>
                <w:szCs w:val="21"/>
                <w:lang w:val="en-US" w:eastAsia="zh-CN"/>
              </w:rPr>
              <w:t>0201210641</w:t>
            </w:r>
          </w:p>
        </w:tc>
      </w:tr>
    </w:tbl>
    <w:p>
      <w:pPr>
        <w:pStyle w:val="2"/>
        <w:spacing w:before="156" w:after="468" w:line="360" w:lineRule="auto"/>
        <w:ind w:left="420"/>
        <w:rPr>
          <w:rFonts w:ascii="黑体" w:hAnsi="黑体" w:eastAsia="黑体" w:cs="黑体"/>
          <w:sz w:val="40"/>
          <w:szCs w:val="40"/>
        </w:rPr>
      </w:pPr>
      <w:r>
        <w:rPr>
          <w:rFonts w:hint="eastAsia" w:ascii="黑体" w:hAnsi="黑体" w:eastAsia="黑体" w:cs="黑体"/>
          <w:sz w:val="40"/>
          <w:szCs w:val="40"/>
        </w:rPr>
        <w:br w:type="page"/>
      </w:r>
    </w:p>
    <w:p>
      <w:pPr>
        <w:pStyle w:val="2"/>
        <w:numPr>
          <w:ilvl w:val="0"/>
          <w:numId w:val="1"/>
        </w:numPr>
        <w:spacing w:before="156" w:after="468" w:line="360" w:lineRule="auto"/>
        <w:rPr>
          <w:rFonts w:cs="黑体" w:asciiTheme="minorEastAsia" w:hAnsiTheme="minorEastAsia"/>
          <w:sz w:val="40"/>
          <w:szCs w:val="40"/>
        </w:rPr>
      </w:pPr>
      <w:r>
        <w:rPr>
          <w:rFonts w:hint="eastAsia" w:cs="黑体" w:asciiTheme="minorEastAsia" w:hAnsiTheme="minorEastAsia"/>
          <w:sz w:val="40"/>
          <w:szCs w:val="40"/>
        </w:rPr>
        <w:t>投标须知</w:t>
      </w:r>
    </w:p>
    <w:p>
      <w:pPr>
        <w:pStyle w:val="3"/>
        <w:numPr>
          <w:ilvl w:val="0"/>
          <w:numId w:val="2"/>
        </w:numPr>
        <w:spacing w:line="360" w:lineRule="auto"/>
        <w:rPr>
          <w:rFonts w:cs="仿宋_GB2312" w:asciiTheme="minorEastAsia" w:hAnsiTheme="minorEastAsia" w:eastAsiaTheme="minorEastAsia"/>
        </w:rPr>
      </w:pPr>
      <w:r>
        <w:rPr>
          <w:rFonts w:hint="eastAsia" w:cs="仿宋_GB2312" w:asciiTheme="minorEastAsia" w:hAnsiTheme="minorEastAsia" w:eastAsiaTheme="minorEastAsia"/>
        </w:rPr>
        <w:t>常规要求</w:t>
      </w:r>
    </w:p>
    <w:p>
      <w:pPr>
        <w:numPr>
          <w:ilvl w:val="0"/>
          <w:numId w:val="3"/>
        </w:numPr>
        <w:spacing w:line="360" w:lineRule="auto"/>
        <w:rPr>
          <w:rFonts w:cs="楷体_GB2312" w:asciiTheme="minorEastAsia" w:hAnsiTheme="minorEastAsia"/>
          <w:b/>
          <w:bCs/>
          <w:szCs w:val="21"/>
        </w:rPr>
      </w:pPr>
      <w:r>
        <w:rPr>
          <w:rFonts w:hint="eastAsia" w:cs="楷体_GB2312" w:asciiTheme="minorEastAsia" w:hAnsiTheme="minorEastAsia"/>
          <w:b/>
          <w:bCs/>
          <w:szCs w:val="21"/>
        </w:rPr>
        <w:t>报价</w:t>
      </w:r>
    </w:p>
    <w:p>
      <w:pPr>
        <w:numPr>
          <w:ilvl w:val="0"/>
          <w:numId w:val="4"/>
        </w:numPr>
        <w:spacing w:line="360" w:lineRule="auto"/>
        <w:rPr>
          <w:rFonts w:cs="仿宋_GB2312" w:asciiTheme="minorEastAsia" w:hAnsiTheme="minorEastAsia"/>
          <w:szCs w:val="21"/>
        </w:rPr>
      </w:pPr>
      <w:r>
        <w:rPr>
          <w:rFonts w:hint="eastAsia" w:cs="仿宋_GB2312" w:asciiTheme="minorEastAsia" w:hAnsiTheme="minorEastAsia"/>
          <w:szCs w:val="21"/>
        </w:rPr>
        <w:t>景观灯具报价</w:t>
      </w:r>
      <w:r>
        <w:rPr>
          <w:rFonts w:hint="eastAsia" w:cs="仿宋_GB2312" w:asciiTheme="minorEastAsia" w:hAnsiTheme="minorEastAsia"/>
          <w:color w:val="FF0000"/>
          <w:szCs w:val="21"/>
        </w:rPr>
        <w:t>含分控、信号放大器、常规支架（10cm及以内）、常规遮光板（与灯具一体化并与灯具长度相同，宽度6cm以内）、驱动电源（功率在灯具总功率的两倍范围以内的）、防坠落钢丝绳、软件系统</w:t>
      </w:r>
      <w:r>
        <w:rPr>
          <w:rFonts w:hint="eastAsia" w:cs="仿宋_GB2312" w:asciiTheme="minorEastAsia" w:hAnsiTheme="minorEastAsia"/>
          <w:szCs w:val="21"/>
        </w:rPr>
        <w:t>，具体的数量、型号、颜色等参数应当与甲方提供的技术性文件一致或由甲方审核确认。若由于缺失配件而无法满足现场安装条件所产生的额外安装、更换费用由供应商承担，并可在履约保证金中扣除。。</w:t>
      </w:r>
    </w:p>
    <w:p>
      <w:pPr>
        <w:numPr>
          <w:ilvl w:val="0"/>
          <w:numId w:val="4"/>
        </w:numPr>
        <w:spacing w:line="360" w:lineRule="auto"/>
        <w:rPr>
          <w:rFonts w:cs="仿宋_GB2312" w:asciiTheme="minorEastAsia" w:hAnsiTheme="minorEastAsia"/>
          <w:szCs w:val="21"/>
        </w:rPr>
      </w:pPr>
      <w:r>
        <w:rPr>
          <w:rFonts w:hint="eastAsia" w:cs="仿宋_GB2312" w:asciiTheme="minorEastAsia" w:hAnsiTheme="minorEastAsia"/>
          <w:color w:val="FF0000"/>
          <w:szCs w:val="21"/>
        </w:rPr>
        <w:t>灯与灯之间的控制及电源的插拔件、连接线、延长线、公母头、三通等所有线缆及辅材由投标单位提供</w:t>
      </w:r>
      <w:r>
        <w:rPr>
          <w:rFonts w:hint="eastAsia" w:cs="仿宋_GB2312" w:asciiTheme="minorEastAsia" w:hAnsiTheme="minorEastAsia"/>
          <w:szCs w:val="21"/>
        </w:rPr>
        <w:t>，价格含在灯具投标价格中，具体规格和数量应当满足主采购合同中相应数量灯具的安装。若由于缺失辅材而无法满足现场安装条件所产生的额外安装、更换费用由供应商承担，并可在履约保证金中扣除。</w:t>
      </w:r>
    </w:p>
    <w:p>
      <w:pPr>
        <w:numPr>
          <w:ilvl w:val="0"/>
          <w:numId w:val="4"/>
        </w:numPr>
        <w:spacing w:line="360" w:lineRule="auto"/>
        <w:rPr>
          <w:rFonts w:cs="仿宋_GB2312" w:asciiTheme="minorEastAsia" w:hAnsiTheme="minorEastAsia"/>
          <w:szCs w:val="21"/>
        </w:rPr>
      </w:pPr>
      <w:r>
        <w:rPr>
          <w:rFonts w:hint="eastAsia" w:cs="仿宋_GB2312" w:asciiTheme="minorEastAsia" w:hAnsiTheme="minorEastAsia"/>
          <w:szCs w:val="21"/>
        </w:rPr>
        <w:t>输入电压为非220V的低压灯具，配置恒压驱动电源。报价中所指的驱动电源为：其功率在灯具总功率两倍范围以内的，且300W～350W的驱动电源占比超过70%。</w:t>
      </w:r>
    </w:p>
    <w:p>
      <w:pPr>
        <w:numPr>
          <w:ilvl w:val="0"/>
          <w:numId w:val="4"/>
        </w:numPr>
        <w:spacing w:line="360" w:lineRule="auto"/>
        <w:rPr>
          <w:rFonts w:cs="仿宋_GB2312" w:asciiTheme="minorEastAsia" w:hAnsiTheme="minorEastAsia"/>
          <w:szCs w:val="21"/>
        </w:rPr>
      </w:pPr>
      <w:r>
        <w:rPr>
          <w:rFonts w:hint="eastAsia" w:cs="仿宋_GB2312" w:asciiTheme="minorEastAsia" w:hAnsiTheme="minorEastAsia"/>
          <w:szCs w:val="21"/>
        </w:rPr>
        <w:t>灯具效果调试等事宜的全部费用含在灯具投标价格中。</w:t>
      </w:r>
    </w:p>
    <w:p>
      <w:pPr>
        <w:numPr>
          <w:ilvl w:val="0"/>
          <w:numId w:val="4"/>
        </w:numPr>
        <w:spacing w:line="360" w:lineRule="auto"/>
        <w:rPr>
          <w:rFonts w:cs="仿宋_GB2312" w:asciiTheme="minorEastAsia" w:hAnsiTheme="minorEastAsia"/>
          <w:szCs w:val="21"/>
        </w:rPr>
      </w:pPr>
      <w:r>
        <w:rPr>
          <w:rFonts w:hint="eastAsia" w:cs="仿宋_GB2312" w:asciiTheme="minorEastAsia" w:hAnsiTheme="minorEastAsia"/>
          <w:color w:val="FF0000"/>
          <w:szCs w:val="21"/>
        </w:rPr>
        <w:t>主控、非常规支架、非常规遮光板、防盗框、驱动电源（功率在灯具总功率的两倍范围以外的）的价格，不含在灯具报价中</w:t>
      </w:r>
      <w:r>
        <w:rPr>
          <w:rFonts w:hint="eastAsia" w:cs="仿宋_GB2312" w:asciiTheme="minorEastAsia" w:hAnsiTheme="minorEastAsia"/>
          <w:szCs w:val="21"/>
        </w:rPr>
        <w:t>。</w:t>
      </w:r>
    </w:p>
    <w:p>
      <w:pPr>
        <w:numPr>
          <w:ilvl w:val="0"/>
          <w:numId w:val="4"/>
        </w:numPr>
        <w:spacing w:line="360" w:lineRule="auto"/>
        <w:rPr>
          <w:rFonts w:cs="仿宋_GB2312" w:asciiTheme="minorEastAsia" w:hAnsiTheme="minorEastAsia"/>
          <w:szCs w:val="21"/>
        </w:rPr>
      </w:pPr>
      <w:r>
        <w:rPr>
          <w:rFonts w:hint="eastAsia" w:cs="仿宋_GB2312" w:asciiTheme="minorEastAsia" w:hAnsiTheme="minorEastAsia"/>
          <w:szCs w:val="21"/>
        </w:rPr>
        <w:t>由于供应商的原因造成灯具及配件的质量、效果不符合要求的，所产生的返工更换等全部费用含在灯具投标价格中。造成误工延期的，承担相应误工费用。</w:t>
      </w:r>
    </w:p>
    <w:p>
      <w:pPr>
        <w:numPr>
          <w:ilvl w:val="0"/>
          <w:numId w:val="4"/>
        </w:numPr>
        <w:spacing w:line="360" w:lineRule="auto"/>
        <w:rPr>
          <w:rFonts w:cs="仿宋_GB2312" w:asciiTheme="minorEastAsia" w:hAnsiTheme="minorEastAsia"/>
          <w:szCs w:val="21"/>
        </w:rPr>
      </w:pPr>
      <w:r>
        <w:rPr>
          <w:rFonts w:hint="eastAsia" w:cs="仿宋_GB2312" w:asciiTheme="minorEastAsia" w:hAnsiTheme="minorEastAsia"/>
          <w:szCs w:val="21"/>
        </w:rPr>
        <w:t>报价包含运输至采购单位仓库或采购单位指定地点入库检验的相关费用（包含一次装卸费用）。在运输、装卸等环节，必须做好成品保护，确保货物完好无损。所有措施费用含在投标报价中。</w:t>
      </w:r>
    </w:p>
    <w:p>
      <w:pPr>
        <w:pStyle w:val="3"/>
        <w:numPr>
          <w:ilvl w:val="0"/>
          <w:numId w:val="2"/>
        </w:numPr>
        <w:spacing w:line="360" w:lineRule="auto"/>
        <w:rPr>
          <w:rFonts w:cs="仿宋_GB2312" w:asciiTheme="minorEastAsia" w:hAnsiTheme="minorEastAsia" w:eastAsiaTheme="minorEastAsia"/>
        </w:rPr>
      </w:pPr>
      <w:r>
        <w:rPr>
          <w:rFonts w:hint="eastAsia" w:cs="仿宋_GB2312" w:asciiTheme="minorEastAsia" w:hAnsiTheme="minorEastAsia" w:eastAsiaTheme="minorEastAsia"/>
        </w:rPr>
        <w:t>服务要求</w:t>
      </w:r>
    </w:p>
    <w:p>
      <w:pPr>
        <w:numPr>
          <w:ilvl w:val="0"/>
          <w:numId w:val="5"/>
        </w:numPr>
        <w:spacing w:line="360" w:lineRule="auto"/>
        <w:rPr>
          <w:rFonts w:cs="楷体_GB2312" w:asciiTheme="minorEastAsia" w:hAnsiTheme="minorEastAsia"/>
          <w:b/>
          <w:bCs/>
          <w:szCs w:val="21"/>
        </w:rPr>
      </w:pPr>
      <w:r>
        <w:rPr>
          <w:rFonts w:hint="eastAsia" w:cs="楷体_GB2312" w:asciiTheme="minorEastAsia" w:hAnsiTheme="minorEastAsia"/>
          <w:b/>
          <w:bCs/>
          <w:szCs w:val="21"/>
        </w:rPr>
        <w:t>深化设计</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color w:val="FF0000"/>
          <w:szCs w:val="21"/>
        </w:rPr>
        <w:t>中标单位应根据采购单位提供的相关资料深化设计，根据照明效果和施工图，深化控制系统图，明确主控、分控、信号放大器等的数量和安装方式，并通过采购单位最终确认。</w:t>
      </w:r>
    </w:p>
    <w:p>
      <w:pPr>
        <w:numPr>
          <w:ilvl w:val="0"/>
          <w:numId w:val="5"/>
        </w:numPr>
        <w:spacing w:line="360" w:lineRule="auto"/>
        <w:rPr>
          <w:rFonts w:cs="楷体_GB2312" w:asciiTheme="minorEastAsia" w:hAnsiTheme="minorEastAsia"/>
          <w:b/>
          <w:bCs/>
          <w:szCs w:val="21"/>
        </w:rPr>
      </w:pPr>
      <w:r>
        <w:rPr>
          <w:rFonts w:hint="eastAsia" w:cs="楷体_GB2312" w:asciiTheme="minorEastAsia" w:hAnsiTheme="minorEastAsia"/>
          <w:b/>
          <w:bCs/>
          <w:szCs w:val="21"/>
        </w:rPr>
        <w:t>供货要求</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中标单位自收到订单2日内提供详细的供货计划表，未按计划表供应相关材料所导致的人员、机械窝工、工期延误等经济损失由中标单位承担。中标单位自订单收到起20天完成供货，供货地点为采购单位指定地点，签收日期为采购单位签收日期。</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灯具、配件和附件等应同时提供，未同时供货的视为未按要求供货，其中灯具、支架、防坠落装置应是已组装状态。</w:t>
      </w:r>
    </w:p>
    <w:p>
      <w:pPr>
        <w:numPr>
          <w:ilvl w:val="0"/>
          <w:numId w:val="5"/>
        </w:numPr>
        <w:spacing w:line="360" w:lineRule="auto"/>
        <w:rPr>
          <w:rFonts w:cs="楷体_GB2312" w:asciiTheme="minorEastAsia" w:hAnsiTheme="minorEastAsia"/>
          <w:b/>
          <w:bCs/>
          <w:szCs w:val="21"/>
        </w:rPr>
      </w:pPr>
      <w:r>
        <w:rPr>
          <w:rFonts w:hint="eastAsia" w:cs="楷体_GB2312" w:asciiTheme="minorEastAsia" w:hAnsiTheme="minorEastAsia"/>
          <w:b/>
          <w:bCs/>
          <w:szCs w:val="21"/>
        </w:rPr>
        <w:t>施工过程中的服务</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中标单位需明确现场服务的技术人员名单。在采购单位施工期间提供调试、配合服务工作，人员数量和调试进度应符合现场需求，否则由此产生的误工等费用从质保金中扣除，中标单位的响应时间为24小时。</w:t>
      </w:r>
    </w:p>
    <w:p>
      <w:pPr>
        <w:numPr>
          <w:ilvl w:val="0"/>
          <w:numId w:val="5"/>
        </w:numPr>
        <w:spacing w:line="360" w:lineRule="auto"/>
        <w:rPr>
          <w:rFonts w:cs="楷体_GB2312" w:asciiTheme="minorEastAsia" w:hAnsiTheme="minorEastAsia"/>
          <w:b/>
          <w:bCs/>
          <w:szCs w:val="21"/>
        </w:rPr>
      </w:pPr>
      <w:r>
        <w:rPr>
          <w:rFonts w:hint="eastAsia" w:cs="楷体_GB2312" w:asciiTheme="minorEastAsia" w:hAnsiTheme="minorEastAsia"/>
          <w:b/>
          <w:bCs/>
          <w:szCs w:val="21"/>
        </w:rPr>
        <w:t>质保期责任</w:t>
      </w:r>
    </w:p>
    <w:p>
      <w:pPr>
        <w:spacing w:line="360" w:lineRule="auto"/>
        <w:ind w:firstLine="420" w:firstLineChars="200"/>
        <w:rPr>
          <w:rFonts w:cs="仿宋_GB2312" w:asciiTheme="minorEastAsia" w:hAnsiTheme="minorEastAsia"/>
          <w:color w:val="FF0000"/>
          <w:szCs w:val="21"/>
        </w:rPr>
      </w:pPr>
      <w:r>
        <w:rPr>
          <w:rFonts w:hint="eastAsia" w:cs="仿宋_GB2312" w:asciiTheme="minorEastAsia" w:hAnsiTheme="minorEastAsia"/>
          <w:color w:val="FF0000"/>
          <w:szCs w:val="21"/>
        </w:rPr>
        <w:t>质保期内，出现灯具损坏等质量问题的，由乙方无条件更换并承担相关维修费用（含人工、机械、管理等费用），乙方应提供充足的备品备件，且不得低于每笔订单同款灯具总量的2%，必须在接到甲方通知12小时内响应、48小时内送至甲方指定地点。乙方未按前述期限内完成的，甲方有权另行采购、维修，相关费用（产品采购费用、更换维修费用）由乙方承担，并有权直接从剩余应付货款、质保金中扣除。</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color w:val="FF0000"/>
          <w:szCs w:val="21"/>
        </w:rPr>
        <w:t>质保期内，灯具坏灯率超过合同供货总量的2%的，甲方有权就超出部分的坏灯向乙方主张退款退货并要求乙方承担该坏灯采购价款总和的2倍作为违约金</w:t>
      </w:r>
      <w:r>
        <w:rPr>
          <w:rFonts w:hint="eastAsia" w:cs="仿宋_GB2312" w:asciiTheme="minorEastAsia" w:hAnsiTheme="minorEastAsia"/>
          <w:szCs w:val="21"/>
        </w:rPr>
        <w:t>。</w:t>
      </w:r>
    </w:p>
    <w:p>
      <w:pPr>
        <w:spacing w:line="360" w:lineRule="auto"/>
        <w:ind w:firstLine="420" w:firstLineChars="200"/>
        <w:rPr>
          <w:rFonts w:cs="仿宋_GB2312" w:asciiTheme="minorEastAsia" w:hAnsiTheme="minorEastAsia"/>
          <w:szCs w:val="21"/>
        </w:rPr>
      </w:pPr>
    </w:p>
    <w:p>
      <w:pPr>
        <w:pStyle w:val="2"/>
        <w:numPr>
          <w:ilvl w:val="0"/>
          <w:numId w:val="1"/>
        </w:numPr>
        <w:spacing w:before="156" w:after="468" w:line="360" w:lineRule="auto"/>
        <w:rPr>
          <w:rFonts w:cs="黑体" w:asciiTheme="minorEastAsia" w:hAnsiTheme="minorEastAsia"/>
          <w:sz w:val="40"/>
          <w:szCs w:val="40"/>
        </w:rPr>
      </w:pPr>
      <w:r>
        <w:rPr>
          <w:rFonts w:hint="eastAsia" w:cs="黑体" w:asciiTheme="minorEastAsia" w:hAnsiTheme="minorEastAsia"/>
          <w:sz w:val="40"/>
          <w:szCs w:val="40"/>
        </w:rPr>
        <w:t>技术通则要求</w:t>
      </w:r>
    </w:p>
    <w:p>
      <w:pPr>
        <w:pStyle w:val="3"/>
        <w:numPr>
          <w:ilvl w:val="0"/>
          <w:numId w:val="6"/>
        </w:numPr>
        <w:spacing w:line="360" w:lineRule="auto"/>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灯具应符合的技术标准</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凡是不注日期的引用文件，其最新版本（包括所有的修改单）适用于本文件。同时包括其他国家及江苏省现行标准规范、图集等；以及相关的灯具的现行的国家规范和标准。</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GB7000.1灯具 第1部分：一般要求与试验</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GB7000.203灯具 第2-3部分：特殊要求 道路与街路照明灯具</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GB7000.7投光灯具安全要求</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GB7000.10固定式通用灯具安全要求</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GB 4208外壳防护等级（IP代码）</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GB17743电气照明和类似设备的无线电骚扰特性的限值和测量方法</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GB17625.1电磁兼限值谐波电流发射限值容</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GB/T18595一般照明用设备电磁兼容抗扰度要求</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GB l7625.1电磁兼容限值谐波电流发射限值(设备每相输入电流≤16A)</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QB/T1551灯具油漆涂层</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QB/T3741灯具电镀、化学覆盖层</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GB/T33721 LED灯具可靠性试验方法</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CJJ45 城市道路照明设计标准</w:t>
      </w:r>
    </w:p>
    <w:p>
      <w:pPr>
        <w:numPr>
          <w:ilvl w:val="0"/>
          <w:numId w:val="7"/>
        </w:numPr>
        <w:spacing w:line="360" w:lineRule="auto"/>
        <w:ind w:firstLine="403"/>
        <w:rPr>
          <w:rFonts w:cs="仿宋_GB2312" w:asciiTheme="minorEastAsia" w:hAnsiTheme="minorEastAsia"/>
          <w:szCs w:val="21"/>
        </w:rPr>
      </w:pPr>
      <w:r>
        <w:rPr>
          <w:rFonts w:hint="eastAsia" w:cs="仿宋_GB2312" w:asciiTheme="minorEastAsia" w:hAnsiTheme="minorEastAsia"/>
          <w:szCs w:val="21"/>
        </w:rPr>
        <w:t>JGJ/T 163 城市夜景照明设计规范</w:t>
      </w:r>
    </w:p>
    <w:p>
      <w:pPr>
        <w:spacing w:line="360" w:lineRule="auto"/>
        <w:ind w:left="403"/>
        <w:rPr>
          <w:rFonts w:cs="仿宋_GB2312" w:asciiTheme="minorEastAsia" w:hAnsiTheme="minorEastAsia"/>
          <w:szCs w:val="21"/>
        </w:rPr>
      </w:pPr>
    </w:p>
    <w:p>
      <w:pPr>
        <w:pStyle w:val="3"/>
        <w:numPr>
          <w:ilvl w:val="0"/>
          <w:numId w:val="6"/>
        </w:numPr>
        <w:spacing w:line="360" w:lineRule="auto"/>
        <w:rPr>
          <w:rFonts w:cs="仿宋_GB2312" w:asciiTheme="minorEastAsia" w:hAnsiTheme="minorEastAsia" w:eastAsiaTheme="minorEastAsia"/>
          <w:sz w:val="28"/>
          <w:szCs w:val="28"/>
        </w:rPr>
      </w:pPr>
      <w:bookmarkStart w:id="1" w:name="_Toc1793"/>
      <w:r>
        <w:rPr>
          <w:rFonts w:hint="eastAsia" w:cs="仿宋_GB2312" w:asciiTheme="minorEastAsia" w:hAnsiTheme="minorEastAsia" w:eastAsiaTheme="minorEastAsia"/>
          <w:sz w:val="28"/>
          <w:szCs w:val="28"/>
        </w:rPr>
        <w:t>灯具通则要求</w:t>
      </w:r>
      <w:bookmarkEnd w:id="1"/>
    </w:p>
    <w:p>
      <w:pPr>
        <w:pStyle w:val="4"/>
        <w:numPr>
          <w:ilvl w:val="0"/>
          <w:numId w:val="8"/>
        </w:numPr>
        <w:spacing w:line="360" w:lineRule="auto"/>
        <w:ind w:leftChars="0" w:hanging="5" w:firstLineChars="0"/>
        <w:rPr>
          <w:rFonts w:cs="仿宋_GB2312" w:asciiTheme="minorEastAsia" w:hAnsiTheme="minorEastAsia" w:eastAsiaTheme="minorEastAsia"/>
          <w:sz w:val="21"/>
          <w:szCs w:val="21"/>
        </w:rPr>
      </w:pPr>
      <w:bookmarkStart w:id="2" w:name="_Toc2014"/>
      <w:r>
        <w:rPr>
          <w:rFonts w:hint="eastAsia" w:cs="仿宋_GB2312" w:asciiTheme="minorEastAsia" w:hAnsiTheme="minorEastAsia" w:eastAsiaTheme="minorEastAsia"/>
          <w:sz w:val="21"/>
          <w:szCs w:val="21"/>
        </w:rPr>
        <w:t>一般要求</w:t>
      </w:r>
      <w:bookmarkEnd w:id="2"/>
    </w:p>
    <w:p>
      <w:pPr>
        <w:numPr>
          <w:ilvl w:val="0"/>
          <w:numId w:val="9"/>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技术文件详参有规定的，按详参规定执行，没有详参规定的，按照本通则执行。</w:t>
      </w:r>
    </w:p>
    <w:p>
      <w:pPr>
        <w:numPr>
          <w:ilvl w:val="0"/>
          <w:numId w:val="9"/>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本次招标所涉及的所有灯具外观，仅供参考。投标单位应保证，其所提供的货物在提供给采购单位前具有完全的所有权，或取得专利权人的授权。采购单位在中华人民共和国使用该货物或货物的任何一部分时，免受第三方提出的包括但不限于侵犯其专利权、商标权、工业设计权或专有技术权等知识产权的起诉，免受可能存在的抵押权、担保权在内的物权权利瑕疵的起诉。</w:t>
      </w:r>
    </w:p>
    <w:p>
      <w:pPr>
        <w:numPr>
          <w:ilvl w:val="0"/>
          <w:numId w:val="9"/>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本次投标报价包含本技术文件所要求的所有配件及附件。室外的螺杆、螺栓、垫片必须使用304不锈钢材质。</w:t>
      </w:r>
    </w:p>
    <w:p>
      <w:pPr>
        <w:numPr>
          <w:ilvl w:val="0"/>
          <w:numId w:val="9"/>
        </w:numPr>
        <w:spacing w:line="360" w:lineRule="auto"/>
        <w:ind w:firstLine="422" w:firstLineChars="200"/>
        <w:rPr>
          <w:rFonts w:cs="仿宋_GB2312" w:asciiTheme="minorEastAsia" w:hAnsiTheme="minorEastAsia"/>
          <w:szCs w:val="21"/>
        </w:rPr>
      </w:pPr>
      <w:r>
        <w:rPr>
          <w:rFonts w:hint="eastAsia" w:cs="仿宋_GB2312" w:asciiTheme="minorEastAsia" w:hAnsiTheme="minorEastAsia"/>
          <w:b/>
          <w:bCs/>
          <w:szCs w:val="21"/>
        </w:rPr>
        <w:t>所有投光灯类灯具必须配置防眩光遮罩、挡板或遮光格栅，避免眩光和光污染。</w:t>
      </w:r>
      <w:r>
        <w:rPr>
          <w:rFonts w:hint="eastAsia" w:cs="仿宋_GB2312" w:asciiTheme="minorEastAsia" w:hAnsiTheme="minorEastAsia"/>
          <w:szCs w:val="21"/>
        </w:rPr>
        <w:t>中标单位必须按照采购单位的要求和项目具体的实施情况及时调整。</w:t>
      </w:r>
    </w:p>
    <w:p>
      <w:pPr>
        <w:numPr>
          <w:ilvl w:val="0"/>
          <w:numId w:val="9"/>
        </w:numPr>
        <w:spacing w:line="360" w:lineRule="auto"/>
        <w:ind w:firstLine="422" w:firstLineChars="200"/>
        <w:rPr>
          <w:rFonts w:cs="仿宋_GB2312" w:asciiTheme="minorEastAsia" w:hAnsiTheme="minorEastAsia"/>
          <w:b/>
          <w:bCs/>
          <w:szCs w:val="21"/>
          <w:u w:val="single"/>
        </w:rPr>
      </w:pPr>
      <w:r>
        <w:rPr>
          <w:rFonts w:hint="eastAsia" w:cs="仿宋_GB2312" w:asciiTheme="minorEastAsia" w:hAnsiTheme="minorEastAsia"/>
          <w:b/>
          <w:bCs/>
          <w:szCs w:val="21"/>
          <w:u w:val="single"/>
        </w:rPr>
        <w:t>所有投光灯类灯具必须按照采购方要求，可加装磨砂玻璃、扁光玻璃、布纹玻璃等。价格含在投标报价中。</w:t>
      </w:r>
    </w:p>
    <w:p>
      <w:pPr>
        <w:numPr>
          <w:ilvl w:val="0"/>
          <w:numId w:val="9"/>
        </w:numPr>
        <w:spacing w:line="360" w:lineRule="auto"/>
        <w:ind w:firstLine="422" w:firstLineChars="200"/>
        <w:rPr>
          <w:rFonts w:cs="仿宋_GB2312" w:asciiTheme="minorEastAsia" w:hAnsiTheme="minorEastAsia"/>
          <w:b/>
          <w:bCs/>
          <w:szCs w:val="21"/>
          <w:u w:val="single"/>
        </w:rPr>
      </w:pPr>
      <w:r>
        <w:rPr>
          <w:rFonts w:hint="eastAsia" w:cs="仿宋_GB2312" w:asciiTheme="minorEastAsia" w:hAnsiTheme="minorEastAsia"/>
          <w:b/>
          <w:bCs/>
          <w:szCs w:val="21"/>
          <w:u w:val="single"/>
        </w:rPr>
        <w:t>所有连续照明的被照面安装的投光灯，照明效果需连续均匀，无暗斑。</w:t>
      </w:r>
    </w:p>
    <w:p>
      <w:pPr>
        <w:numPr>
          <w:ilvl w:val="0"/>
          <w:numId w:val="9"/>
        </w:numPr>
        <w:spacing w:line="360" w:lineRule="auto"/>
        <w:ind w:firstLine="422" w:firstLineChars="200"/>
        <w:rPr>
          <w:rFonts w:cs="仿宋_GB2312" w:asciiTheme="minorEastAsia" w:hAnsiTheme="minorEastAsia"/>
          <w:b/>
          <w:bCs/>
          <w:szCs w:val="21"/>
          <w:u w:val="single"/>
        </w:rPr>
      </w:pPr>
      <w:r>
        <w:rPr>
          <w:rFonts w:hint="eastAsia" w:cs="仿宋_GB2312" w:asciiTheme="minorEastAsia" w:hAnsiTheme="minorEastAsia"/>
          <w:b/>
          <w:bCs/>
          <w:szCs w:val="21"/>
          <w:u w:val="single"/>
        </w:rPr>
        <w:t>灯具的单侧供电回路长度见下表格。</w:t>
      </w:r>
    </w:p>
    <w:tbl>
      <w:tblPr>
        <w:tblStyle w:val="8"/>
        <w:tblW w:w="5000" w:type="pct"/>
        <w:jc w:val="center"/>
        <w:tblLayout w:type="fixed"/>
        <w:tblCellMar>
          <w:top w:w="0" w:type="dxa"/>
          <w:left w:w="108" w:type="dxa"/>
          <w:bottom w:w="0" w:type="dxa"/>
          <w:right w:w="108" w:type="dxa"/>
        </w:tblCellMar>
      </w:tblPr>
      <w:tblGrid>
        <w:gridCol w:w="560"/>
        <w:gridCol w:w="5139"/>
        <w:gridCol w:w="1512"/>
        <w:gridCol w:w="1311"/>
      </w:tblGrid>
      <w:tr>
        <w:tblPrEx>
          <w:tblCellMar>
            <w:top w:w="0" w:type="dxa"/>
            <w:left w:w="108" w:type="dxa"/>
            <w:bottom w:w="0" w:type="dxa"/>
            <w:right w:w="108" w:type="dxa"/>
          </w:tblCellMar>
        </w:tblPrEx>
        <w:trPr>
          <w:trHeight w:val="270"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cs="仿宋_GB2312" w:asciiTheme="minorEastAsia" w:hAnsiTheme="minorEastAsia"/>
                <w:b/>
                <w:bCs/>
                <w:color w:val="000000"/>
                <w:szCs w:val="21"/>
              </w:rPr>
            </w:pPr>
            <w:r>
              <w:rPr>
                <w:rFonts w:hint="eastAsia" w:cs="仿宋_GB2312" w:asciiTheme="minorEastAsia" w:hAnsiTheme="minorEastAsia"/>
                <w:b/>
                <w:bCs/>
                <w:color w:val="000000"/>
                <w:kern w:val="0"/>
                <w:szCs w:val="21"/>
                <w:lang w:bidi="ar"/>
              </w:rPr>
              <w:t>序号</w:t>
            </w:r>
          </w:p>
        </w:tc>
        <w:tc>
          <w:tcPr>
            <w:tcW w:w="3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cs="仿宋_GB2312" w:asciiTheme="minorEastAsia" w:hAnsiTheme="minorEastAsia"/>
                <w:b/>
                <w:bCs/>
                <w:color w:val="000000"/>
                <w:szCs w:val="21"/>
              </w:rPr>
            </w:pPr>
            <w:r>
              <w:rPr>
                <w:rFonts w:hint="eastAsia" w:cs="仿宋_GB2312" w:asciiTheme="minorEastAsia" w:hAnsiTheme="minorEastAsia"/>
                <w:b/>
                <w:bCs/>
                <w:color w:val="000000"/>
                <w:kern w:val="0"/>
                <w:szCs w:val="21"/>
                <w:lang w:bidi="ar"/>
              </w:rPr>
              <w:t>型号</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cs="仿宋_GB2312" w:asciiTheme="minorEastAsia" w:hAnsiTheme="minorEastAsia"/>
                <w:b/>
                <w:bCs/>
                <w:color w:val="000000"/>
                <w:szCs w:val="21"/>
              </w:rPr>
            </w:pPr>
            <w:r>
              <w:rPr>
                <w:rFonts w:hint="eastAsia" w:cs="仿宋_GB2312" w:asciiTheme="minorEastAsia" w:hAnsiTheme="minorEastAsia"/>
                <w:b/>
                <w:bCs/>
                <w:color w:val="000000"/>
                <w:kern w:val="0"/>
                <w:szCs w:val="21"/>
                <w:lang w:bidi="ar"/>
              </w:rPr>
              <w:t>单回路可带米( 套）数</w:t>
            </w:r>
          </w:p>
        </w:tc>
        <w:tc>
          <w:tcPr>
            <w:tcW w:w="7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cs="仿宋_GB2312" w:asciiTheme="minorEastAsia" w:hAnsiTheme="minorEastAsia"/>
                <w:b/>
                <w:bCs/>
                <w:color w:val="000000"/>
                <w:szCs w:val="21"/>
              </w:rPr>
            </w:pPr>
            <w:r>
              <w:rPr>
                <w:rFonts w:hint="eastAsia" w:cs="仿宋_GB2312" w:asciiTheme="minorEastAsia" w:hAnsiTheme="minorEastAsia"/>
                <w:b/>
                <w:bCs/>
                <w:color w:val="000000"/>
                <w:kern w:val="0"/>
                <w:szCs w:val="21"/>
                <w:lang w:bidi="ar"/>
              </w:rPr>
              <w:t>备注</w:t>
            </w:r>
          </w:p>
        </w:tc>
      </w:tr>
      <w:tr>
        <w:tblPrEx>
          <w:tblCellMar>
            <w:top w:w="0" w:type="dxa"/>
            <w:left w:w="108" w:type="dxa"/>
            <w:bottom w:w="0" w:type="dxa"/>
            <w:right w:w="108" w:type="dxa"/>
          </w:tblCellMar>
        </w:tblPrEx>
        <w:trPr>
          <w:trHeight w:val="270"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cs="仿宋_GB2312" w:asciiTheme="minorEastAsia" w:hAnsiTheme="minorEastAsia"/>
                <w:color w:val="000000"/>
                <w:szCs w:val="21"/>
              </w:rPr>
            </w:pPr>
            <w:r>
              <w:rPr>
                <w:rFonts w:hint="eastAsia" w:cs="仿宋_GB2312" w:asciiTheme="minorEastAsia" w:hAnsiTheme="minorEastAsia"/>
                <w:color w:val="000000"/>
                <w:kern w:val="0"/>
                <w:szCs w:val="21"/>
                <w:lang w:bidi="ar"/>
              </w:rPr>
              <w:t>1</w:t>
            </w:r>
          </w:p>
        </w:tc>
        <w:tc>
          <w:tcPr>
            <w:tcW w:w="3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cs="仿宋_GB2312" w:asciiTheme="minorEastAsia" w:hAnsiTheme="minorEastAsia"/>
                <w:szCs w:val="21"/>
              </w:rPr>
            </w:pPr>
            <w:r>
              <w:rPr>
                <w:rFonts w:hint="eastAsia" w:cs="仿宋_GB2312" w:asciiTheme="minorEastAsia" w:hAnsiTheme="minorEastAsia"/>
                <w:bCs/>
                <w:kern w:val="0"/>
                <w:szCs w:val="21"/>
              </w:rPr>
              <w:t>10W LED立方体草坪灯（3000K）</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pPr>
            <w:r>
              <w:rPr>
                <w:rFonts w:hint="eastAsia" w:cs="仿宋_GB2312" w:asciiTheme="minorEastAsia" w:hAnsiTheme="minorEastAsia"/>
                <w:kern w:val="0"/>
                <w:szCs w:val="21"/>
                <w:lang w:bidi="ar"/>
              </w:rPr>
              <w:t>——</w:t>
            </w:r>
          </w:p>
        </w:tc>
        <w:tc>
          <w:tcPr>
            <w:tcW w:w="7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AC 220V</w:t>
            </w:r>
          </w:p>
        </w:tc>
      </w:tr>
      <w:tr>
        <w:tblPrEx>
          <w:tblCellMar>
            <w:top w:w="0" w:type="dxa"/>
            <w:left w:w="108" w:type="dxa"/>
            <w:bottom w:w="0" w:type="dxa"/>
            <w:right w:w="108" w:type="dxa"/>
          </w:tblCellMar>
        </w:tblPrEx>
        <w:trPr>
          <w:trHeight w:val="270"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cs="仿宋_GB2312" w:asciiTheme="minorEastAsia" w:hAnsiTheme="minorEastAsia"/>
                <w:color w:val="000000"/>
                <w:szCs w:val="21"/>
              </w:rPr>
            </w:pPr>
            <w:r>
              <w:rPr>
                <w:rFonts w:hint="eastAsia" w:cs="仿宋_GB2312" w:asciiTheme="minorEastAsia" w:hAnsiTheme="minorEastAsia"/>
                <w:color w:val="000000"/>
                <w:kern w:val="0"/>
                <w:szCs w:val="21"/>
                <w:lang w:bidi="ar"/>
              </w:rPr>
              <w:t>2</w:t>
            </w:r>
          </w:p>
        </w:tc>
        <w:tc>
          <w:tcPr>
            <w:tcW w:w="3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cs="仿宋_GB2312" w:asciiTheme="minorEastAsia" w:hAnsiTheme="minorEastAsia"/>
                <w:kern w:val="0"/>
                <w:szCs w:val="21"/>
              </w:rPr>
            </w:pPr>
            <w:r>
              <w:rPr>
                <w:rFonts w:hint="eastAsia" w:cs="仿宋_GB2312" w:asciiTheme="minorEastAsia" w:hAnsiTheme="minorEastAsia"/>
                <w:kern w:val="0"/>
                <w:szCs w:val="21"/>
              </w:rPr>
              <w:t>10W条形 LED地砖灯（1000*50mm） 4000K</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pPr>
            <w:r>
              <w:rPr>
                <w:rFonts w:hint="eastAsia" w:cs="仿宋_GB2312" w:asciiTheme="minorEastAsia" w:hAnsiTheme="minorEastAsia"/>
                <w:kern w:val="0"/>
                <w:szCs w:val="21"/>
                <w:lang w:bidi="ar"/>
              </w:rPr>
              <w:t>——</w:t>
            </w:r>
          </w:p>
        </w:tc>
        <w:tc>
          <w:tcPr>
            <w:tcW w:w="7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DC 24V</w:t>
            </w:r>
          </w:p>
        </w:tc>
      </w:tr>
      <w:tr>
        <w:tblPrEx>
          <w:tblCellMar>
            <w:top w:w="0" w:type="dxa"/>
            <w:left w:w="108" w:type="dxa"/>
            <w:bottom w:w="0" w:type="dxa"/>
            <w:right w:w="108" w:type="dxa"/>
          </w:tblCellMar>
        </w:tblPrEx>
        <w:trPr>
          <w:trHeight w:val="270"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cs="仿宋_GB2312" w:asciiTheme="minorEastAsia" w:hAnsiTheme="minorEastAsia"/>
                <w:color w:val="000000"/>
                <w:szCs w:val="21"/>
              </w:rPr>
            </w:pPr>
            <w:r>
              <w:rPr>
                <w:rFonts w:hint="eastAsia" w:cs="仿宋_GB2312" w:asciiTheme="minorEastAsia" w:hAnsiTheme="minorEastAsia"/>
                <w:color w:val="000000"/>
                <w:kern w:val="0"/>
                <w:szCs w:val="21"/>
                <w:lang w:bidi="ar"/>
              </w:rPr>
              <w:t>3</w:t>
            </w:r>
          </w:p>
        </w:tc>
        <w:tc>
          <w:tcPr>
            <w:tcW w:w="3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cs="仿宋_GB2312" w:asciiTheme="minorEastAsia" w:hAnsiTheme="minorEastAsia"/>
                <w:kern w:val="0"/>
                <w:szCs w:val="21"/>
              </w:rPr>
            </w:pPr>
            <w:r>
              <w:rPr>
                <w:rFonts w:hint="eastAsia" w:cs="仿宋_GB2312" w:asciiTheme="minorEastAsia" w:hAnsiTheme="minorEastAsia"/>
                <w:kern w:val="0"/>
                <w:szCs w:val="21"/>
              </w:rPr>
              <w:t>12W条形 LED地砖灯（1000*100mm） 4000K</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pPr>
            <w:r>
              <w:rPr>
                <w:rFonts w:hint="eastAsia" w:cs="仿宋_GB2312" w:asciiTheme="minorEastAsia" w:hAnsiTheme="minorEastAsia"/>
                <w:kern w:val="0"/>
                <w:szCs w:val="21"/>
                <w:lang w:bidi="ar"/>
              </w:rPr>
              <w:t>——</w:t>
            </w:r>
          </w:p>
        </w:tc>
        <w:tc>
          <w:tcPr>
            <w:tcW w:w="7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DC 24V</w:t>
            </w:r>
          </w:p>
        </w:tc>
      </w:tr>
      <w:tr>
        <w:tblPrEx>
          <w:tblCellMar>
            <w:top w:w="0" w:type="dxa"/>
            <w:left w:w="108" w:type="dxa"/>
            <w:bottom w:w="0" w:type="dxa"/>
            <w:right w:w="108" w:type="dxa"/>
          </w:tblCellMar>
        </w:tblPrEx>
        <w:trPr>
          <w:trHeight w:val="270"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cs="仿宋_GB2312" w:asciiTheme="minorEastAsia" w:hAnsiTheme="minorEastAsia"/>
                <w:color w:val="000000"/>
                <w:szCs w:val="21"/>
              </w:rPr>
            </w:pPr>
            <w:r>
              <w:rPr>
                <w:rFonts w:hint="eastAsia" w:cs="仿宋_GB2312" w:asciiTheme="minorEastAsia" w:hAnsiTheme="minorEastAsia"/>
                <w:color w:val="000000"/>
                <w:kern w:val="0"/>
                <w:szCs w:val="21"/>
                <w:lang w:bidi="ar"/>
              </w:rPr>
              <w:t>4</w:t>
            </w:r>
          </w:p>
        </w:tc>
        <w:tc>
          <w:tcPr>
            <w:tcW w:w="3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cs="仿宋_GB2312" w:asciiTheme="minorEastAsia" w:hAnsiTheme="minorEastAsia"/>
                <w:kern w:val="0"/>
                <w:szCs w:val="21"/>
              </w:rPr>
            </w:pPr>
            <w:r>
              <w:rPr>
                <w:rFonts w:hint="eastAsia" w:cs="仿宋_GB2312" w:asciiTheme="minorEastAsia" w:hAnsiTheme="minorEastAsia"/>
                <w:kern w:val="0"/>
                <w:szCs w:val="21"/>
              </w:rPr>
              <w:t>6W条形 LED地砖灯（500*100mm） 4000K</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pPr>
            <w:r>
              <w:rPr>
                <w:rFonts w:hint="eastAsia" w:cs="仿宋_GB2312" w:asciiTheme="minorEastAsia" w:hAnsiTheme="minorEastAsia"/>
                <w:kern w:val="0"/>
                <w:szCs w:val="21"/>
                <w:lang w:bidi="ar"/>
              </w:rPr>
              <w:t>——</w:t>
            </w:r>
          </w:p>
        </w:tc>
        <w:tc>
          <w:tcPr>
            <w:tcW w:w="7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DC 24V</w:t>
            </w:r>
          </w:p>
        </w:tc>
      </w:tr>
      <w:tr>
        <w:tblPrEx>
          <w:tblCellMar>
            <w:top w:w="0" w:type="dxa"/>
            <w:left w:w="108" w:type="dxa"/>
            <w:bottom w:w="0" w:type="dxa"/>
            <w:right w:w="108" w:type="dxa"/>
          </w:tblCellMar>
        </w:tblPrEx>
        <w:trPr>
          <w:trHeight w:val="270"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cs="仿宋_GB2312" w:asciiTheme="minorEastAsia" w:hAnsiTheme="minorEastAsia"/>
                <w:color w:val="000000"/>
                <w:szCs w:val="21"/>
              </w:rPr>
            </w:pPr>
            <w:r>
              <w:rPr>
                <w:rFonts w:hint="eastAsia" w:cs="仿宋_GB2312" w:asciiTheme="minorEastAsia" w:hAnsiTheme="minorEastAsia"/>
                <w:color w:val="000000"/>
                <w:kern w:val="0"/>
                <w:szCs w:val="21"/>
                <w:lang w:bidi="ar"/>
              </w:rPr>
              <w:t>5</w:t>
            </w:r>
          </w:p>
        </w:tc>
        <w:tc>
          <w:tcPr>
            <w:tcW w:w="3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cs="仿宋_GB2312" w:asciiTheme="minorEastAsia" w:hAnsiTheme="minorEastAsia"/>
                <w:kern w:val="0"/>
                <w:szCs w:val="21"/>
              </w:rPr>
            </w:pPr>
            <w:r>
              <w:rPr>
                <w:rFonts w:hint="eastAsia" w:cs="仿宋_GB2312" w:asciiTheme="minorEastAsia" w:hAnsiTheme="minorEastAsia"/>
                <w:kern w:val="0"/>
                <w:szCs w:val="21"/>
              </w:rPr>
              <w:t>10W LED流星灯</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10</w:t>
            </w:r>
          </w:p>
        </w:tc>
        <w:tc>
          <w:tcPr>
            <w:tcW w:w="7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DC 12V</w:t>
            </w:r>
          </w:p>
        </w:tc>
      </w:tr>
    </w:tbl>
    <w:p>
      <w:pPr>
        <w:spacing w:line="360" w:lineRule="auto"/>
        <w:rPr>
          <w:rFonts w:cs="仿宋_GB2312" w:asciiTheme="minorEastAsia" w:hAnsiTheme="minorEastAsia"/>
          <w:b/>
          <w:bCs/>
          <w:szCs w:val="21"/>
          <w:u w:val="single"/>
        </w:rPr>
      </w:pPr>
    </w:p>
    <w:p>
      <w:pPr>
        <w:numPr>
          <w:ilvl w:val="0"/>
          <w:numId w:val="9"/>
        </w:numPr>
        <w:spacing w:line="360" w:lineRule="auto"/>
        <w:ind w:firstLine="420" w:firstLineChars="200"/>
        <w:rPr>
          <w:rFonts w:cs="仿宋_GB2312" w:asciiTheme="minorEastAsia" w:hAnsiTheme="minorEastAsia"/>
          <w:szCs w:val="21"/>
        </w:rPr>
      </w:pPr>
      <w:bookmarkStart w:id="3" w:name="_Toc24646"/>
      <w:r>
        <w:rPr>
          <w:rFonts w:hint="eastAsia" w:cs="仿宋_GB2312" w:asciiTheme="minorEastAsia" w:hAnsiTheme="minorEastAsia"/>
          <w:szCs w:val="21"/>
        </w:rPr>
        <w:t>中标后，中标单位踏勘现场，根据灯具安装条件，深化灯具颜色安装支架灯零配件的设计，按照采购单位的要求和项目具体的实施情况及时调整。所有灯具按规定提供灯具实样一款，经采购单位目视检验最终确认后，才能按照灯具订单批量提供灯具，并提供灯具安装说明书。</w:t>
      </w:r>
      <w:bookmarkStart w:id="4" w:name="_Toc15096"/>
    </w:p>
    <w:p>
      <w:pPr>
        <w:numPr>
          <w:ilvl w:val="0"/>
          <w:numId w:val="9"/>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中标后灯具供应阶段，投标人确定的灯具抽样送国家权威机构检测。</w:t>
      </w:r>
    </w:p>
    <w:p>
      <w:pPr>
        <w:numPr>
          <w:ilvl w:val="0"/>
          <w:numId w:val="9"/>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灯具的工作环境温度： -20~60°C。湿度： 0~87%。在此工作温度、湿度下灯具可连续正常工作，并符合相应的国家灯具规范。</w:t>
      </w:r>
    </w:p>
    <w:p>
      <w:pPr>
        <w:pStyle w:val="4"/>
        <w:numPr>
          <w:ilvl w:val="0"/>
          <w:numId w:val="8"/>
        </w:numPr>
        <w:spacing w:line="360" w:lineRule="auto"/>
        <w:ind w:leftChars="0" w:hanging="5" w:firstLineChars="0"/>
        <w:rPr>
          <w:rFonts w:cs="仿宋_GB2312" w:asciiTheme="minorEastAsia" w:hAnsiTheme="minorEastAsia" w:eastAsiaTheme="minorEastAsia"/>
          <w:sz w:val="21"/>
          <w:szCs w:val="21"/>
        </w:rPr>
      </w:pPr>
      <w:r>
        <w:rPr>
          <w:rFonts w:hint="eastAsia" w:cs="仿宋_GB2312" w:asciiTheme="minorEastAsia" w:hAnsiTheme="minorEastAsia" w:eastAsiaTheme="minorEastAsia"/>
          <w:sz w:val="21"/>
          <w:szCs w:val="21"/>
        </w:rPr>
        <w:t>LED光源要求</w:t>
      </w:r>
      <w:bookmarkEnd w:id="4"/>
    </w:p>
    <w:p>
      <w:pPr>
        <w:numPr>
          <w:ilvl w:val="0"/>
          <w:numId w:val="10"/>
        </w:numPr>
        <w:spacing w:line="360" w:lineRule="auto"/>
        <w:ind w:firstLine="422" w:firstLineChars="200"/>
        <w:rPr>
          <w:rFonts w:cs="仿宋_GB2312" w:asciiTheme="minorEastAsia" w:hAnsiTheme="minorEastAsia"/>
          <w:b/>
          <w:bCs/>
          <w:szCs w:val="21"/>
        </w:rPr>
      </w:pPr>
      <w:r>
        <w:rPr>
          <w:rFonts w:hint="eastAsia" w:cs="仿宋_GB2312" w:asciiTheme="minorEastAsia" w:hAnsiTheme="minorEastAsia"/>
          <w:b/>
          <w:bCs/>
          <w:szCs w:val="21"/>
        </w:rPr>
        <w:t>该类灯具的主要原材料光源封装颗粒品牌推荐科锐（CREE）、飞利浦</w:t>
      </w:r>
      <w:r>
        <w:rPr>
          <w:rFonts w:hint="eastAsia" w:cs="仿宋_GB2312" w:asciiTheme="minorEastAsia" w:hAnsiTheme="minorEastAsia"/>
          <w:b/>
          <w:bCs/>
          <w:kern w:val="0"/>
          <w:szCs w:val="21"/>
        </w:rPr>
        <w:t>LUMILEDS</w:t>
      </w:r>
      <w:r>
        <w:rPr>
          <w:rFonts w:hint="eastAsia" w:cs="仿宋_GB2312" w:asciiTheme="minorEastAsia" w:hAnsiTheme="minorEastAsia"/>
          <w:b/>
          <w:bCs/>
          <w:szCs w:val="21"/>
        </w:rPr>
        <w:t>）、欧司朗（OSRAM）、日亚（NICHIA）。</w:t>
      </w:r>
    </w:p>
    <w:p>
      <w:pPr>
        <w:numPr>
          <w:ilvl w:val="0"/>
          <w:numId w:val="10"/>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LED单色芯片的色差必须符合下表的要求。</w:t>
      </w:r>
    </w:p>
    <w:tbl>
      <w:tblPr>
        <w:tblStyle w:val="8"/>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4028"/>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22" w:type="dxa"/>
            <w:shd w:val="clear" w:color="auto" w:fill="D7D7D7" w:themeFill="background1" w:themeFillShade="D8"/>
            <w:vAlign w:val="center"/>
          </w:tcPr>
          <w:p>
            <w:pPr>
              <w:spacing w:line="360" w:lineRule="auto"/>
              <w:rPr>
                <w:rFonts w:cs="仿宋_GB2312" w:asciiTheme="minorEastAsia" w:hAnsiTheme="minorEastAsia"/>
                <w:szCs w:val="21"/>
              </w:rPr>
            </w:pPr>
            <w:r>
              <w:rPr>
                <w:rFonts w:hint="eastAsia" w:cs="仿宋_GB2312" w:asciiTheme="minorEastAsia" w:hAnsiTheme="minorEastAsia"/>
                <w:szCs w:val="21"/>
              </w:rPr>
              <w:t>序号</w:t>
            </w:r>
          </w:p>
        </w:tc>
        <w:tc>
          <w:tcPr>
            <w:tcW w:w="4028" w:type="dxa"/>
            <w:shd w:val="clear" w:color="auto" w:fill="D7D7D7" w:themeFill="background1" w:themeFillShade="D8"/>
            <w:vAlign w:val="center"/>
          </w:tcPr>
          <w:p>
            <w:pPr>
              <w:spacing w:line="360" w:lineRule="auto"/>
              <w:rPr>
                <w:rFonts w:cs="仿宋_GB2312" w:asciiTheme="minorEastAsia" w:hAnsiTheme="minorEastAsia"/>
                <w:szCs w:val="21"/>
              </w:rPr>
            </w:pPr>
            <w:r>
              <w:rPr>
                <w:rFonts w:hint="eastAsia" w:cs="仿宋_GB2312" w:asciiTheme="minorEastAsia" w:hAnsiTheme="minorEastAsia"/>
                <w:szCs w:val="21"/>
              </w:rPr>
              <w:t>色温/色彩</w:t>
            </w:r>
          </w:p>
        </w:tc>
        <w:tc>
          <w:tcPr>
            <w:tcW w:w="3570" w:type="dxa"/>
            <w:shd w:val="clear" w:color="auto" w:fill="D7D7D7" w:themeFill="background1" w:themeFillShade="D8"/>
          </w:tcPr>
          <w:p>
            <w:pPr>
              <w:spacing w:line="360" w:lineRule="auto"/>
              <w:rPr>
                <w:rFonts w:cs="仿宋_GB2312" w:asciiTheme="minorEastAsia" w:hAnsiTheme="minorEastAsia"/>
                <w:szCs w:val="21"/>
              </w:rPr>
            </w:pPr>
            <w:r>
              <w:rPr>
                <w:rFonts w:hint="eastAsia" w:cs="仿宋_GB2312" w:asciiTheme="minorEastAsia" w:hAnsiTheme="minorEastAsia"/>
                <w:szCs w:val="21"/>
              </w:rPr>
              <w:t>偏差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2" w:type="dxa"/>
            <w:vAlign w:val="center"/>
          </w:tcPr>
          <w:p>
            <w:pPr>
              <w:spacing w:line="360" w:lineRule="auto"/>
              <w:rPr>
                <w:rFonts w:cs="仿宋_GB2312" w:asciiTheme="minorEastAsia" w:hAnsiTheme="minorEastAsia"/>
                <w:szCs w:val="21"/>
              </w:rPr>
            </w:pPr>
            <w:r>
              <w:rPr>
                <w:rFonts w:hint="eastAsia" w:cs="仿宋_GB2312" w:asciiTheme="minorEastAsia" w:hAnsiTheme="minorEastAsia"/>
                <w:szCs w:val="21"/>
              </w:rPr>
              <w:t>1</w:t>
            </w:r>
          </w:p>
        </w:tc>
        <w:tc>
          <w:tcPr>
            <w:tcW w:w="4028" w:type="dxa"/>
            <w:vAlign w:val="center"/>
          </w:tcPr>
          <w:p>
            <w:pPr>
              <w:spacing w:line="360" w:lineRule="auto"/>
              <w:rPr>
                <w:rFonts w:cs="仿宋_GB2312" w:asciiTheme="minorEastAsia" w:hAnsiTheme="minorEastAsia"/>
                <w:szCs w:val="21"/>
              </w:rPr>
            </w:pPr>
            <w:r>
              <w:rPr>
                <w:rFonts w:hint="eastAsia" w:cs="仿宋_GB2312" w:asciiTheme="minorEastAsia" w:hAnsiTheme="minorEastAsia"/>
                <w:szCs w:val="21"/>
              </w:rPr>
              <w:t>2200K-3000K</w:t>
            </w:r>
          </w:p>
        </w:tc>
        <w:tc>
          <w:tcPr>
            <w:tcW w:w="3570" w:type="dxa"/>
            <w:vAlign w:val="center"/>
          </w:tcPr>
          <w:p>
            <w:pPr>
              <w:spacing w:line="360" w:lineRule="auto"/>
              <w:rPr>
                <w:rFonts w:cs="仿宋_GB2312" w:asciiTheme="minorEastAsia" w:hAnsiTheme="minorEastAsia"/>
                <w:szCs w:val="21"/>
              </w:rPr>
            </w:pPr>
            <w:r>
              <w:rPr>
                <w:rFonts w:hint="eastAsia" w:cs="仿宋_GB2312" w:asciiTheme="minorEastAsia" w:hAnsiTheme="minorEastAsia"/>
                <w:szCs w:val="21"/>
              </w:rPr>
              <w:t>±100K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2" w:type="dxa"/>
            <w:vAlign w:val="center"/>
          </w:tcPr>
          <w:p>
            <w:pPr>
              <w:spacing w:line="360" w:lineRule="auto"/>
              <w:rPr>
                <w:rFonts w:cs="仿宋_GB2312" w:asciiTheme="minorEastAsia" w:hAnsiTheme="minorEastAsia"/>
                <w:szCs w:val="21"/>
              </w:rPr>
            </w:pPr>
            <w:r>
              <w:rPr>
                <w:rFonts w:hint="eastAsia" w:cs="仿宋_GB2312" w:asciiTheme="minorEastAsia" w:hAnsiTheme="minorEastAsia"/>
                <w:szCs w:val="21"/>
              </w:rPr>
              <w:t>2</w:t>
            </w:r>
          </w:p>
        </w:tc>
        <w:tc>
          <w:tcPr>
            <w:tcW w:w="4028" w:type="dxa"/>
            <w:vAlign w:val="center"/>
          </w:tcPr>
          <w:p>
            <w:pPr>
              <w:spacing w:line="360" w:lineRule="auto"/>
              <w:rPr>
                <w:rFonts w:cs="仿宋_GB2312" w:asciiTheme="minorEastAsia" w:hAnsiTheme="minorEastAsia"/>
                <w:szCs w:val="21"/>
              </w:rPr>
            </w:pPr>
            <w:r>
              <w:rPr>
                <w:rFonts w:hint="eastAsia" w:cs="仿宋_GB2312" w:asciiTheme="minorEastAsia" w:hAnsiTheme="minorEastAsia"/>
                <w:szCs w:val="21"/>
              </w:rPr>
              <w:t>3001K-5000K</w:t>
            </w:r>
          </w:p>
        </w:tc>
        <w:tc>
          <w:tcPr>
            <w:tcW w:w="3570" w:type="dxa"/>
            <w:vAlign w:val="center"/>
          </w:tcPr>
          <w:p>
            <w:pPr>
              <w:spacing w:line="360" w:lineRule="auto"/>
              <w:rPr>
                <w:rFonts w:cs="仿宋_GB2312" w:asciiTheme="minorEastAsia" w:hAnsiTheme="minorEastAsia"/>
                <w:szCs w:val="21"/>
              </w:rPr>
            </w:pPr>
            <w:r>
              <w:rPr>
                <w:rFonts w:hint="eastAsia" w:cs="仿宋_GB2312" w:asciiTheme="minorEastAsia" w:hAnsiTheme="minorEastAsia"/>
                <w:szCs w:val="21"/>
              </w:rPr>
              <w:t>±150K</w:t>
            </w:r>
          </w:p>
        </w:tc>
      </w:tr>
    </w:tbl>
    <w:p>
      <w:pPr>
        <w:numPr>
          <w:ilvl w:val="0"/>
          <w:numId w:val="10"/>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白光LED灯具的色容差应符合以下规定：同型号白光LED灯具，色容差不应大于5SDCM。</w:t>
      </w:r>
    </w:p>
    <w:p>
      <w:pPr>
        <w:numPr>
          <w:ilvl w:val="0"/>
          <w:numId w:val="10"/>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当照射对象为纯色物体时，灯具色容差不应大于5SDCM。</w:t>
      </w:r>
    </w:p>
    <w:p>
      <w:pPr>
        <w:numPr>
          <w:ilvl w:val="0"/>
          <w:numId w:val="10"/>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LED颗粒应满足拥有LM-80认证，颗粒寿命不低于5万小时。</w:t>
      </w:r>
    </w:p>
    <w:p>
      <w:pPr>
        <w:numPr>
          <w:ilvl w:val="0"/>
          <w:numId w:val="10"/>
        </w:numPr>
        <w:spacing w:line="360" w:lineRule="auto"/>
        <w:ind w:firstLine="422" w:firstLineChars="200"/>
        <w:rPr>
          <w:rFonts w:cs="仿宋_GB2312" w:asciiTheme="minorEastAsia" w:hAnsiTheme="minorEastAsia"/>
          <w:b/>
          <w:bCs/>
          <w:szCs w:val="21"/>
          <w:highlight w:val="yellow"/>
        </w:rPr>
      </w:pPr>
      <w:r>
        <w:rPr>
          <w:rFonts w:hint="eastAsia" w:cs="仿宋_GB2312" w:asciiTheme="minorEastAsia" w:hAnsiTheme="minorEastAsia"/>
          <w:b/>
          <w:bCs/>
          <w:szCs w:val="21"/>
          <w:highlight w:val="yellow"/>
        </w:rPr>
        <w:t>LED颗粒的显色指数（CRI）：白光LED一般显色指数Ra≥80，且R9＞0。</w:t>
      </w:r>
    </w:p>
    <w:p>
      <w:pPr>
        <w:pStyle w:val="4"/>
        <w:numPr>
          <w:ilvl w:val="0"/>
          <w:numId w:val="8"/>
        </w:numPr>
        <w:spacing w:line="360" w:lineRule="auto"/>
        <w:ind w:leftChars="0" w:hanging="5" w:firstLineChars="0"/>
        <w:rPr>
          <w:rFonts w:cs="仿宋_GB2312" w:asciiTheme="minorEastAsia" w:hAnsiTheme="minorEastAsia" w:eastAsiaTheme="minorEastAsia"/>
          <w:sz w:val="21"/>
          <w:szCs w:val="21"/>
        </w:rPr>
      </w:pPr>
      <w:bookmarkStart w:id="5" w:name="_Toc517"/>
      <w:r>
        <w:rPr>
          <w:rFonts w:hint="eastAsia" w:cs="仿宋_GB2312" w:asciiTheme="minorEastAsia" w:hAnsiTheme="minorEastAsia" w:eastAsiaTheme="minorEastAsia"/>
          <w:sz w:val="21"/>
          <w:szCs w:val="21"/>
        </w:rPr>
        <w:t>LED灯具输入电压要求</w:t>
      </w:r>
      <w:bookmarkEnd w:id="5"/>
    </w:p>
    <w:p>
      <w:pPr>
        <w:numPr>
          <w:ilvl w:val="0"/>
          <w:numId w:val="11"/>
        </w:numPr>
        <w:spacing w:line="360" w:lineRule="auto"/>
        <w:ind w:firstLine="422" w:firstLineChars="200"/>
        <w:rPr>
          <w:rFonts w:cs="仿宋_GB2312" w:asciiTheme="minorEastAsia" w:hAnsiTheme="minorEastAsia"/>
          <w:b/>
          <w:bCs/>
          <w:szCs w:val="21"/>
          <w:u w:val="single"/>
        </w:rPr>
      </w:pPr>
      <w:r>
        <w:rPr>
          <w:rFonts w:hint="eastAsia" w:cs="仿宋_GB2312" w:asciiTheme="minorEastAsia" w:hAnsiTheme="minorEastAsia"/>
          <w:b/>
          <w:bCs/>
          <w:szCs w:val="21"/>
          <w:u w:val="single"/>
        </w:rPr>
        <w:t>详细参数标明输入电压为220V的灯具为内置驱动电源。详细参数未标明输入电压的为外置驱动电源集中供电。</w:t>
      </w:r>
    </w:p>
    <w:p>
      <w:pPr>
        <w:numPr>
          <w:ilvl w:val="0"/>
          <w:numId w:val="11"/>
        </w:numPr>
        <w:spacing w:line="360" w:lineRule="auto"/>
        <w:ind w:firstLine="422" w:firstLineChars="200"/>
        <w:rPr>
          <w:rFonts w:cs="仿宋_GB2312" w:asciiTheme="minorEastAsia" w:hAnsiTheme="minorEastAsia"/>
          <w:b/>
          <w:bCs/>
          <w:szCs w:val="21"/>
          <w:u w:val="single"/>
        </w:rPr>
      </w:pPr>
      <w:r>
        <w:rPr>
          <w:rFonts w:hint="eastAsia" w:cs="仿宋_GB2312" w:asciiTheme="minorEastAsia" w:hAnsiTheme="minorEastAsia"/>
          <w:b/>
          <w:bCs/>
          <w:szCs w:val="21"/>
          <w:u w:val="single"/>
        </w:rPr>
        <w:t>详细参数未标明输入电压的，其输入电压必须为DC24V。详细参数标明输入电压的，按详细参数执行。</w:t>
      </w:r>
    </w:p>
    <w:p>
      <w:pPr>
        <w:pStyle w:val="4"/>
        <w:numPr>
          <w:ilvl w:val="0"/>
          <w:numId w:val="8"/>
        </w:numPr>
        <w:spacing w:line="360" w:lineRule="auto"/>
        <w:ind w:leftChars="0" w:hanging="5" w:firstLineChars="0"/>
        <w:rPr>
          <w:rFonts w:cs="仿宋_GB2312" w:asciiTheme="minorEastAsia" w:hAnsiTheme="minorEastAsia" w:eastAsiaTheme="minorEastAsia"/>
          <w:sz w:val="21"/>
          <w:szCs w:val="21"/>
        </w:rPr>
      </w:pPr>
      <w:bookmarkStart w:id="6" w:name="_Toc18301"/>
      <w:bookmarkStart w:id="7" w:name="_Toc13353"/>
      <w:r>
        <w:rPr>
          <w:rFonts w:hint="eastAsia" w:cs="仿宋_GB2312" w:asciiTheme="minorEastAsia" w:hAnsiTheme="minorEastAsia" w:eastAsiaTheme="minorEastAsia"/>
          <w:sz w:val="21"/>
          <w:szCs w:val="21"/>
        </w:rPr>
        <w:t>动态LED灯具要求</w:t>
      </w:r>
      <w:bookmarkEnd w:id="6"/>
    </w:p>
    <w:p>
      <w:pPr>
        <w:numPr>
          <w:ilvl w:val="0"/>
          <w:numId w:val="12"/>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灯具要求有动态变化的，必须配置符合采购文件要求的控制系统及其所有附件，除主控外，其他设备均价格含在灯具中。</w:t>
      </w:r>
    </w:p>
    <w:p>
      <w:pPr>
        <w:numPr>
          <w:ilvl w:val="0"/>
          <w:numId w:val="12"/>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所有动态（带控）灯具，必须采用DMX512-A标准控制协议，或兼容于上述协议。</w:t>
      </w:r>
    </w:p>
    <w:p>
      <w:pPr>
        <w:numPr>
          <w:ilvl w:val="0"/>
          <w:numId w:val="12"/>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动态LED灯具，动态的速率可调，可缓慢连续变化也可跳变。芯片亮度可从0%-100%变化。动态LED灯具灰度级别必须达到256*256*256位灰度。灰度刷新频率不小于1000HZ。彩色的LED灯具必须发出1670万种真彩色。实现全场景同步色彩渐变及追光等各种动感色彩效果，色彩过渡要平稳、圆润，色彩还原要求逼真、细腻、自然。</w:t>
      </w:r>
      <w:r>
        <w:rPr>
          <w:rFonts w:hint="eastAsia" w:cs="仿宋_GB2312" w:asciiTheme="minorEastAsia" w:hAnsiTheme="minorEastAsia"/>
          <w:szCs w:val="21"/>
          <w:shd w:val="clear" w:color="auto" w:fill="FFFF00"/>
        </w:rPr>
        <w:t>灯具要求3阶起灰。同一栋建筑上，不同功率的RGB/RGBW灯具，需要整体联动变色时，灯具的控制位数为16 bit，保证所有型号灯具色彩、亮度变化一致。其他应用场景，灯具的控制位数为8bit。</w:t>
      </w:r>
    </w:p>
    <w:p>
      <w:pPr>
        <w:numPr>
          <w:ilvl w:val="0"/>
          <w:numId w:val="12"/>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系统运行时，单个灯的故障必须只表现为它本身的故障，不得引起其他灯连带故障而扩大故障面。</w:t>
      </w:r>
    </w:p>
    <w:p>
      <w:pPr>
        <w:spacing w:line="360" w:lineRule="auto"/>
        <w:ind w:firstLine="308" w:firstLineChars="147"/>
        <w:rPr>
          <w:rFonts w:cs="仿宋_GB2312" w:asciiTheme="minorEastAsia" w:hAnsiTheme="minorEastAsia"/>
          <w:szCs w:val="21"/>
        </w:rPr>
      </w:pPr>
      <w:r>
        <w:rPr>
          <w:rFonts w:hint="eastAsia" w:cs="仿宋_GB2312" w:asciiTheme="minorEastAsia" w:hAnsiTheme="minorEastAsia"/>
          <w:szCs w:val="21"/>
        </w:rPr>
        <w:t>带控制灯具需可被上级分控系统调试、调用。</w:t>
      </w:r>
    </w:p>
    <w:p>
      <w:pPr>
        <w:pStyle w:val="4"/>
        <w:spacing w:line="360" w:lineRule="auto"/>
        <w:ind w:left="562" w:leftChars="0" w:firstLine="0" w:firstLineChars="0"/>
        <w:rPr>
          <w:rFonts w:cs="仿宋_GB2312" w:asciiTheme="minorEastAsia" w:hAnsiTheme="minorEastAsia" w:eastAsiaTheme="minorEastAsia"/>
          <w:sz w:val="21"/>
          <w:szCs w:val="21"/>
        </w:rPr>
      </w:pPr>
      <w:r>
        <w:rPr>
          <w:rFonts w:hint="eastAsia" w:cs="仿宋_GB2312" w:asciiTheme="minorEastAsia" w:hAnsiTheme="minorEastAsia" w:eastAsiaTheme="minorEastAsia"/>
          <w:sz w:val="21"/>
          <w:szCs w:val="21"/>
        </w:rPr>
        <w:t>6)外观及结构要求</w:t>
      </w:r>
      <w:bookmarkEnd w:id="7"/>
    </w:p>
    <w:p>
      <w:pPr>
        <w:numPr>
          <w:ilvl w:val="0"/>
          <w:numId w:val="1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外观质量：灯具的表面应光滑，以防污物堆积和便于清洗;无损伤、变形、涂层剥落，玻璃罩应无气泡、明显划痕和裂纹等缺陷。</w:t>
      </w:r>
    </w:p>
    <w:p>
      <w:pPr>
        <w:numPr>
          <w:ilvl w:val="0"/>
          <w:numId w:val="13"/>
        </w:numPr>
        <w:spacing w:line="360" w:lineRule="auto"/>
        <w:ind w:firstLine="420" w:firstLineChars="200"/>
        <w:rPr>
          <w:rFonts w:cs="仿宋_GB2312" w:asciiTheme="minorEastAsia" w:hAnsiTheme="minorEastAsia"/>
          <w:b/>
          <w:bCs/>
          <w:szCs w:val="21"/>
          <w:u w:val="single"/>
        </w:rPr>
      </w:pPr>
      <w:r>
        <w:rPr>
          <w:rFonts w:hint="eastAsia" w:cs="仿宋_GB2312" w:asciiTheme="minorEastAsia" w:hAnsiTheme="minorEastAsia"/>
          <w:szCs w:val="21"/>
        </w:rPr>
        <w:t>外形尺寸：允许偏差范围标明区间的（例如：有≥、≤、±等符号）灯具尺寸在要求范围内为满足要求；未标明尺寸允许偏差范围的灯具尺寸上下浮动10%为满足要求。</w:t>
      </w:r>
    </w:p>
    <w:p>
      <w:pPr>
        <w:numPr>
          <w:ilvl w:val="0"/>
          <w:numId w:val="1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安装和位置尺寸：未标明尺寸允许偏差范围的按照GB-T1804的精度M级别标准执行。</w:t>
      </w:r>
    </w:p>
    <w:p>
      <w:pPr>
        <w:numPr>
          <w:ilvl w:val="0"/>
          <w:numId w:val="1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灯具应安装方便，灯具出线方式不能影响现场安装。投光类灯具安装角度应能灵活调节。确定安装角度后，灯具有锁死固定功能。灯具应有特设的导线出(入)口密封装置。灯具内应有电源接线端子，外部接线和内部接线穿过硬质材料时应有保护措施。灯具应配备一个耐温度骤变、废气、烟雾和其他化学物质的钢化玻璃罩。</w:t>
      </w:r>
    </w:p>
    <w:p>
      <w:pPr>
        <w:numPr>
          <w:ilvl w:val="0"/>
          <w:numId w:val="1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所有LED灯具引出线线径应符合GB7000.1（灯具 第1部分：一般要求与试验）的要求，引出线长度按照现场安装情况提供，确保灯与灯之间连线符合最优化。一个回路的灯具可成串提供，灯具引出线满足现场安装要求。 芯线颜色必须符合国标要求，且有明显区别。</w:t>
      </w:r>
    </w:p>
    <w:p>
      <w:pPr>
        <w:numPr>
          <w:ilvl w:val="0"/>
          <w:numId w:val="1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控制线采用专用RS485超五类屏蔽总线。接头必须具有防水措施、连接方便易操作。</w:t>
      </w:r>
    </w:p>
    <w:p>
      <w:pPr>
        <w:numPr>
          <w:ilvl w:val="0"/>
          <w:numId w:val="1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有针对感应雷击及静电的专用防护元件，器件性能符合IEC61000-4-4（电磁兼容-第4-4部分:试验和测量技术-电快速瞬变脉冲群抗扰度试验）的检测标准。</w:t>
      </w:r>
    </w:p>
    <w:p>
      <w:pPr>
        <w:numPr>
          <w:ilvl w:val="0"/>
          <w:numId w:val="1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明装灯具及其安装附件及嵌装灯具的颜色纹理需与背景墙面颜色一致，由设计方与甲方共同确定色卡号。</w:t>
      </w:r>
    </w:p>
    <w:p>
      <w:pPr>
        <w:numPr>
          <w:ilvl w:val="0"/>
          <w:numId w:val="13"/>
        </w:numPr>
        <w:spacing w:line="360" w:lineRule="auto"/>
        <w:ind w:firstLine="422" w:firstLineChars="200"/>
        <w:rPr>
          <w:rFonts w:cs="仿宋_GB2312" w:asciiTheme="minorEastAsia" w:hAnsiTheme="minorEastAsia"/>
          <w:szCs w:val="21"/>
        </w:rPr>
      </w:pPr>
      <w:r>
        <w:rPr>
          <w:rFonts w:hint="eastAsia" w:cs="仿宋_GB2312" w:asciiTheme="minorEastAsia" w:hAnsiTheme="minorEastAsia"/>
          <w:b/>
          <w:bCs/>
          <w:szCs w:val="21"/>
          <w:u w:val="single"/>
        </w:rPr>
        <w:t>灯具必须采用结构防水，防护等级不小于IP65。</w:t>
      </w:r>
      <w:r>
        <w:rPr>
          <w:rFonts w:hint="eastAsia" w:cs="仿宋_GB2312" w:asciiTheme="minorEastAsia" w:hAnsiTheme="minorEastAsia"/>
          <w:b/>
          <w:bCs/>
          <w:szCs w:val="21"/>
          <w:u w:val="single"/>
          <w:lang w:val="en-US" w:eastAsia="zh-CN"/>
        </w:rPr>
        <w:t>地埋灯具防护等级不低于IP67.</w:t>
      </w:r>
      <w:r>
        <w:rPr>
          <w:rFonts w:hint="eastAsia" w:cs="仿宋_GB2312" w:asciiTheme="minorEastAsia" w:hAnsiTheme="minorEastAsia"/>
          <w:szCs w:val="21"/>
        </w:rPr>
        <w:t>灯具防尘防水等级（IP等级）指：防水接头、接线、匹配电源、灯具四部分的防尘防水等级。公母头、三通等辅材的</w:t>
      </w:r>
      <w:r>
        <w:rPr>
          <w:rFonts w:hint="eastAsia" w:cs="仿宋_GB2312" w:asciiTheme="minorEastAsia" w:hAnsiTheme="minorEastAsia"/>
          <w:b/>
          <w:bCs/>
          <w:szCs w:val="21"/>
          <w:u w:val="single"/>
        </w:rPr>
        <w:t>防护等级不小于IP66。</w:t>
      </w:r>
    </w:p>
    <w:p>
      <w:pPr>
        <w:pStyle w:val="4"/>
        <w:spacing w:line="360" w:lineRule="auto"/>
        <w:ind w:left="562" w:leftChars="0" w:firstLine="0" w:firstLineChars="0"/>
        <w:rPr>
          <w:rFonts w:cs="仿宋_GB2312" w:asciiTheme="minorEastAsia" w:hAnsiTheme="minorEastAsia" w:eastAsiaTheme="minorEastAsia"/>
          <w:sz w:val="21"/>
          <w:szCs w:val="21"/>
        </w:rPr>
      </w:pPr>
      <w:bookmarkStart w:id="8" w:name="_Toc20504"/>
      <w:r>
        <w:rPr>
          <w:rFonts w:hint="eastAsia" w:cs="仿宋_GB2312" w:asciiTheme="minorEastAsia" w:hAnsiTheme="minorEastAsia" w:eastAsiaTheme="minorEastAsia"/>
          <w:sz w:val="21"/>
          <w:szCs w:val="21"/>
        </w:rPr>
        <w:t>7)材料要求</w:t>
      </w:r>
      <w:bookmarkEnd w:id="8"/>
    </w:p>
    <w:p>
      <w:pPr>
        <w:numPr>
          <w:ilvl w:val="0"/>
          <w:numId w:val="14"/>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所有要求为不锈钢的材质，必须采用304/2B不锈钢标号；所有要求为铝材的，必须采用高镁防锈3404标号或同等、优于该材料。灯具所采用的电线(缆)、LED和其他电子部件均应符合相应的国家标准或行业标准的规定要求。</w:t>
      </w:r>
    </w:p>
    <w:p>
      <w:pPr>
        <w:numPr>
          <w:ilvl w:val="0"/>
          <w:numId w:val="14"/>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 xml:space="preserve">灯具密封圈需采用抗老化硅橡胶圈或同等、优于上标准。应耐温、耐老化和耐道路上可能出现的腐蚀性气体，并应方便更换。灯具密封若采用灌胶形式，灌胶材料必须采用有机硅胶或同等、优于以上标准。 </w:t>
      </w:r>
    </w:p>
    <w:p>
      <w:pPr>
        <w:numPr>
          <w:ilvl w:val="0"/>
          <w:numId w:val="14"/>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灯具的插销、铰链、螺钉和其他外部构件应用304/2B不锈钢或高镁防锈3404铝合金，其安装构件应不受混凝土的化学反应腐蚀。膨胀管、膨胀螺栓（含螺栓、胀管、平垫圈、弹簧垫和六角螺母等）必须采用不锈钢304/2B材料，且不受混凝土的化学反应腐蚀。</w:t>
      </w:r>
    </w:p>
    <w:p>
      <w:pPr>
        <w:pStyle w:val="4"/>
        <w:spacing w:line="360" w:lineRule="auto"/>
        <w:ind w:left="562" w:leftChars="0" w:firstLine="0" w:firstLineChars="0"/>
        <w:rPr>
          <w:rFonts w:cs="仿宋_GB2312" w:asciiTheme="minorEastAsia" w:hAnsiTheme="minorEastAsia" w:eastAsiaTheme="minorEastAsia"/>
          <w:sz w:val="21"/>
          <w:szCs w:val="21"/>
        </w:rPr>
      </w:pPr>
      <w:bookmarkStart w:id="9" w:name="_Toc19172"/>
      <w:r>
        <w:rPr>
          <w:rFonts w:hint="eastAsia" w:cs="仿宋_GB2312" w:asciiTheme="minorEastAsia" w:hAnsiTheme="minorEastAsia" w:eastAsiaTheme="minorEastAsia"/>
          <w:sz w:val="21"/>
          <w:szCs w:val="21"/>
        </w:rPr>
        <w:t>8)耐腐蚀性要求</w:t>
      </w:r>
      <w:bookmarkEnd w:id="9"/>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灯具应具有良好的耐腐蚀性能；灯具上的涂层部件，涂层应符合QB/T 1551（《灯具油漆涂层》国家标准）中II类（恶劣的使用环境，如含有工业废气或盐分，潮湿的使用场所）使用条件的要求；灯具上的电镀或化学覆盖件，覆盖层应符合QB/T3741（《灯具电镀、化学覆盖层》轻工行业标准）中Ⅲ类（严酷的使用条件，如空气中含有工业废气或盐分潮湿的环境）使用条件的要求。灯具灯体材质表面应有耐腐蚀、抗破坏处理手段，处理工艺需达10年使用寿命。压克力材料部分保证5年不发黄。</w:t>
      </w:r>
    </w:p>
    <w:p>
      <w:pPr>
        <w:pStyle w:val="4"/>
        <w:spacing w:line="360" w:lineRule="auto"/>
        <w:ind w:left="562" w:leftChars="0" w:firstLine="0" w:firstLineChars="0"/>
        <w:rPr>
          <w:rFonts w:cs="仿宋_GB2312" w:asciiTheme="minorEastAsia" w:hAnsiTheme="minorEastAsia" w:eastAsiaTheme="minorEastAsia"/>
          <w:sz w:val="21"/>
          <w:szCs w:val="21"/>
        </w:rPr>
      </w:pPr>
      <w:bookmarkStart w:id="10" w:name="_Toc6693"/>
      <w:bookmarkStart w:id="11" w:name="_Toc9926"/>
      <w:bookmarkStart w:id="12" w:name="_Toc4937"/>
      <w:bookmarkStart w:id="13" w:name="_Toc2295"/>
      <w:bookmarkStart w:id="14" w:name="_Toc20838"/>
      <w:r>
        <w:rPr>
          <w:rFonts w:hint="eastAsia" w:cs="仿宋_GB2312" w:asciiTheme="minorEastAsia" w:hAnsiTheme="minorEastAsia" w:eastAsiaTheme="minorEastAsia"/>
          <w:sz w:val="21"/>
          <w:szCs w:val="21"/>
        </w:rPr>
        <w:t>9)电磁兼容</w:t>
      </w:r>
      <w:bookmarkEnd w:id="10"/>
      <w:bookmarkEnd w:id="11"/>
      <w:bookmarkEnd w:id="12"/>
      <w:bookmarkEnd w:id="13"/>
      <w:r>
        <w:rPr>
          <w:rFonts w:hint="eastAsia" w:cs="仿宋_GB2312" w:asciiTheme="minorEastAsia" w:hAnsiTheme="minorEastAsia" w:eastAsiaTheme="minorEastAsia"/>
          <w:sz w:val="21"/>
          <w:szCs w:val="21"/>
        </w:rPr>
        <w:t>要求</w:t>
      </w:r>
      <w:bookmarkEnd w:id="14"/>
    </w:p>
    <w:p>
      <w:pPr>
        <w:numPr>
          <w:ilvl w:val="0"/>
          <w:numId w:val="15"/>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灯具的无线电骚扰特性应符合GB 17743的要求。</w:t>
      </w:r>
    </w:p>
    <w:p>
      <w:pPr>
        <w:numPr>
          <w:ilvl w:val="0"/>
          <w:numId w:val="15"/>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灯具电磁兼容抗扰度应符合GB/T 18595 的要求。</w:t>
      </w:r>
    </w:p>
    <w:p>
      <w:pPr>
        <w:numPr>
          <w:ilvl w:val="0"/>
          <w:numId w:val="15"/>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灯具的输入电流谐波应符合GB l7625.1的要求。</w:t>
      </w:r>
    </w:p>
    <w:p>
      <w:pPr>
        <w:numPr>
          <w:ilvl w:val="0"/>
          <w:numId w:val="15"/>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LED电子控制装置应采用高压输出的LED电子控制装置，输出电流不超过1.5A。并应符合GB 19510.14的规定。</w:t>
      </w:r>
    </w:p>
    <w:p>
      <w:pPr>
        <w:numPr>
          <w:ilvl w:val="0"/>
          <w:numId w:val="15"/>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LED灯具的蓝光控制应符合GB 7000.1的规定。</w:t>
      </w:r>
    </w:p>
    <w:p>
      <w:pPr>
        <w:pStyle w:val="4"/>
        <w:spacing w:line="360" w:lineRule="auto"/>
        <w:ind w:left="562" w:leftChars="0" w:firstLine="0" w:firstLineChars="0"/>
        <w:rPr>
          <w:rFonts w:cs="仿宋_GB2312" w:asciiTheme="minorEastAsia" w:hAnsiTheme="minorEastAsia" w:eastAsiaTheme="minorEastAsia"/>
          <w:sz w:val="21"/>
          <w:szCs w:val="21"/>
        </w:rPr>
      </w:pPr>
      <w:bookmarkStart w:id="15" w:name="_Toc28959"/>
      <w:r>
        <w:rPr>
          <w:rFonts w:hint="eastAsia" w:cs="仿宋_GB2312" w:asciiTheme="minorEastAsia" w:hAnsiTheme="minorEastAsia" w:eastAsiaTheme="minorEastAsia"/>
          <w:sz w:val="21"/>
          <w:szCs w:val="21"/>
        </w:rPr>
        <w:t>10)灯具寿命、光衰、散热等要求</w:t>
      </w:r>
      <w:bookmarkEnd w:id="15"/>
    </w:p>
    <w:p>
      <w:pPr>
        <w:numPr>
          <w:ilvl w:val="0"/>
          <w:numId w:val="16"/>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灯的光源寿命不低于5万小时。灯具的平均寿命应不低于3万小时。</w:t>
      </w:r>
    </w:p>
    <w:p>
      <w:pPr>
        <w:numPr>
          <w:ilvl w:val="0"/>
          <w:numId w:val="16"/>
        </w:numPr>
        <w:spacing w:line="360" w:lineRule="auto"/>
        <w:ind w:firstLine="275" w:firstLineChars="131"/>
        <w:rPr>
          <w:rFonts w:cs="仿宋_GB2312" w:asciiTheme="minorEastAsia" w:hAnsiTheme="minorEastAsia"/>
          <w:szCs w:val="21"/>
        </w:rPr>
      </w:pPr>
      <w:r>
        <w:rPr>
          <w:rFonts w:hint="eastAsia" w:cs="仿宋_GB2312" w:asciiTheme="minorEastAsia" w:hAnsiTheme="minorEastAsia"/>
          <w:szCs w:val="21"/>
        </w:rPr>
        <w:t>灯在燃点3千小时时，其光通维持率应不低于96%；在燃点6千小时时，其光通维持率应不低于92%。</w:t>
      </w:r>
    </w:p>
    <w:p>
      <w:pPr>
        <w:numPr>
          <w:ilvl w:val="0"/>
          <w:numId w:val="16"/>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灯的初始光通量（灯具入库或到达安装现场的时间点）可由制造商或销售商标称，但其实测值不得低于标称值的95%，不得高于标称值的105%。</w:t>
      </w:r>
    </w:p>
    <w:p>
      <w:pPr>
        <w:numPr>
          <w:ilvl w:val="0"/>
          <w:numId w:val="16"/>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所有LED灯具外壳温度满载负荷两小时候后，温度升高不大于30℃。现场安装后抽检灯具的外壳温度。芯片引脚满载两小时后，温度升高不大于60℃。</w:t>
      </w:r>
    </w:p>
    <w:bookmarkEnd w:id="3"/>
    <w:p>
      <w:pPr>
        <w:pStyle w:val="3"/>
        <w:numPr>
          <w:ilvl w:val="0"/>
          <w:numId w:val="2"/>
        </w:numPr>
        <w:spacing w:line="360" w:lineRule="auto"/>
        <w:rPr>
          <w:rFonts w:cs="仿宋_GB2312" w:asciiTheme="minorEastAsia" w:hAnsiTheme="minorEastAsia" w:eastAsiaTheme="minorEastAsia"/>
          <w:sz w:val="24"/>
        </w:rPr>
      </w:pPr>
      <w:bookmarkStart w:id="16" w:name="_Toc11963"/>
      <w:bookmarkStart w:id="17" w:name="_Toc10067"/>
      <w:r>
        <w:rPr>
          <w:rFonts w:hint="eastAsia" w:cs="仿宋_GB2312" w:asciiTheme="minorEastAsia" w:hAnsiTheme="minorEastAsia" w:eastAsiaTheme="minorEastAsia"/>
          <w:sz w:val="24"/>
        </w:rPr>
        <w:t>灯具附属开关电源（驱动电源）技术通则</w:t>
      </w:r>
      <w:bookmarkEnd w:id="16"/>
    </w:p>
    <w:p>
      <w:pPr>
        <w:pStyle w:val="4"/>
        <w:numPr>
          <w:ilvl w:val="0"/>
          <w:numId w:val="17"/>
        </w:numPr>
        <w:spacing w:line="360" w:lineRule="auto"/>
        <w:ind w:leftChars="0" w:hanging="5" w:firstLineChars="0"/>
        <w:rPr>
          <w:rFonts w:cs="仿宋_GB2312" w:asciiTheme="minorEastAsia" w:hAnsiTheme="minorEastAsia" w:eastAsiaTheme="minorEastAsia"/>
          <w:sz w:val="21"/>
          <w:szCs w:val="21"/>
        </w:rPr>
      </w:pPr>
      <w:bookmarkStart w:id="18" w:name="_Toc30970"/>
      <w:r>
        <w:rPr>
          <w:rFonts w:hint="eastAsia" w:cs="仿宋_GB2312" w:asciiTheme="minorEastAsia" w:hAnsiTheme="minorEastAsia" w:eastAsiaTheme="minorEastAsia"/>
          <w:sz w:val="21"/>
          <w:szCs w:val="21"/>
        </w:rPr>
        <w:t>说明</w:t>
      </w:r>
      <w:bookmarkEnd w:id="18"/>
    </w:p>
    <w:p>
      <w:pPr>
        <w:spacing w:line="360" w:lineRule="auto"/>
        <w:ind w:firstLine="293" w:firstLineChars="139"/>
        <w:rPr>
          <w:rFonts w:cs="仿宋_GB2312" w:asciiTheme="minorEastAsia" w:hAnsiTheme="minorEastAsia"/>
          <w:b/>
          <w:bCs/>
          <w:szCs w:val="21"/>
          <w:u w:val="single"/>
        </w:rPr>
      </w:pPr>
      <w:r>
        <w:rPr>
          <w:rFonts w:hint="eastAsia" w:cs="仿宋_GB2312" w:asciiTheme="minorEastAsia" w:hAnsiTheme="minorEastAsia"/>
          <w:b/>
          <w:bCs/>
          <w:szCs w:val="21"/>
          <w:u w:val="single"/>
        </w:rPr>
        <w:t>灯具必须按照采购单位要求，提供全部驱动电源。</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所有灯具附属驱动电源的深化设计，相关参数按照下表执行。</w:t>
      </w:r>
    </w:p>
    <w:tbl>
      <w:tblPr>
        <w:tblStyle w:val="8"/>
        <w:tblW w:w="7738" w:type="dxa"/>
        <w:tblInd w:w="4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60"/>
        <w:gridCol w:w="1369"/>
        <w:gridCol w:w="5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blHeader/>
        </w:trPr>
        <w:tc>
          <w:tcPr>
            <w:tcW w:w="560" w:type="dxa"/>
            <w:shd w:val="clear" w:color="auto" w:fill="D7D7D7" w:themeFill="background1" w:themeFillShade="D8"/>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序号</w:t>
            </w:r>
          </w:p>
        </w:tc>
        <w:tc>
          <w:tcPr>
            <w:tcW w:w="1369" w:type="dxa"/>
            <w:shd w:val="clear" w:color="auto" w:fill="D7D7D7" w:themeFill="background1" w:themeFillShade="D8"/>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内容</w:t>
            </w:r>
          </w:p>
        </w:tc>
        <w:tc>
          <w:tcPr>
            <w:tcW w:w="5809" w:type="dxa"/>
            <w:shd w:val="clear" w:color="auto" w:fill="D7D7D7" w:themeFill="background1" w:themeFillShade="D8"/>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560"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1</w:t>
            </w:r>
          </w:p>
        </w:tc>
        <w:tc>
          <w:tcPr>
            <w:tcW w:w="136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深化设计</w:t>
            </w:r>
          </w:p>
        </w:tc>
        <w:tc>
          <w:tcPr>
            <w:tcW w:w="580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中标单位根据现场安装条件优化使用方案，由业主最终确认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560"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2</w:t>
            </w:r>
          </w:p>
        </w:tc>
        <w:tc>
          <w:tcPr>
            <w:tcW w:w="136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型号</w:t>
            </w:r>
          </w:p>
        </w:tc>
        <w:tc>
          <w:tcPr>
            <w:tcW w:w="580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厂家深化，设计确认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8" w:hRule="atLeast"/>
        </w:trPr>
        <w:tc>
          <w:tcPr>
            <w:tcW w:w="560" w:type="dxa"/>
            <w:vMerge w:val="restart"/>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3</w:t>
            </w:r>
          </w:p>
        </w:tc>
        <w:tc>
          <w:tcPr>
            <w:tcW w:w="1369" w:type="dxa"/>
            <w:vMerge w:val="restart"/>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输出属性</w:t>
            </w:r>
          </w:p>
        </w:tc>
        <w:tc>
          <w:tcPr>
            <w:tcW w:w="580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详细参数输入电压标明为220V的灯具为内置驱动电源。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46" w:hRule="atLeast"/>
        </w:trPr>
        <w:tc>
          <w:tcPr>
            <w:tcW w:w="560" w:type="dxa"/>
            <w:vMerge w:val="continue"/>
            <w:shd w:val="clear" w:color="auto" w:fill="auto"/>
            <w:vAlign w:val="center"/>
          </w:tcPr>
          <w:p>
            <w:pPr>
              <w:spacing w:line="360" w:lineRule="auto"/>
              <w:jc w:val="center"/>
              <w:rPr>
                <w:rFonts w:cs="仿宋_GB2312" w:asciiTheme="minorEastAsia" w:hAnsiTheme="minorEastAsia"/>
                <w:szCs w:val="21"/>
              </w:rPr>
            </w:pPr>
          </w:p>
        </w:tc>
        <w:tc>
          <w:tcPr>
            <w:tcW w:w="1369" w:type="dxa"/>
            <w:vMerge w:val="continue"/>
            <w:shd w:val="clear" w:color="auto" w:fill="auto"/>
            <w:vAlign w:val="center"/>
          </w:tcPr>
          <w:p>
            <w:pPr>
              <w:spacing w:line="360" w:lineRule="auto"/>
              <w:jc w:val="center"/>
              <w:rPr>
                <w:rFonts w:cs="仿宋_GB2312" w:asciiTheme="minorEastAsia" w:hAnsiTheme="minorEastAsia"/>
                <w:szCs w:val="21"/>
              </w:rPr>
            </w:pPr>
          </w:p>
        </w:tc>
        <w:tc>
          <w:tcPr>
            <w:tcW w:w="580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工作电压为安全电压（≤36V）的灯具,必须采用外置驱动电源。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560"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4</w:t>
            </w:r>
          </w:p>
        </w:tc>
        <w:tc>
          <w:tcPr>
            <w:tcW w:w="136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功率</w:t>
            </w:r>
          </w:p>
        </w:tc>
        <w:tc>
          <w:tcPr>
            <w:tcW w:w="580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根据现场合理配置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560"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5</w:t>
            </w:r>
          </w:p>
        </w:tc>
        <w:tc>
          <w:tcPr>
            <w:tcW w:w="136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功率因数</w:t>
            </w:r>
          </w:p>
        </w:tc>
        <w:tc>
          <w:tcPr>
            <w:tcW w:w="580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560"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6</w:t>
            </w:r>
          </w:p>
        </w:tc>
        <w:tc>
          <w:tcPr>
            <w:tcW w:w="136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3C认证</w:t>
            </w:r>
          </w:p>
        </w:tc>
        <w:tc>
          <w:tcPr>
            <w:tcW w:w="580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必须提供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560"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7</w:t>
            </w:r>
          </w:p>
        </w:tc>
        <w:tc>
          <w:tcPr>
            <w:tcW w:w="136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效率</w:t>
            </w:r>
          </w:p>
        </w:tc>
        <w:tc>
          <w:tcPr>
            <w:tcW w:w="580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560" w:type="dxa"/>
            <w:vMerge w:val="restart"/>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8</w:t>
            </w:r>
          </w:p>
        </w:tc>
        <w:tc>
          <w:tcPr>
            <w:tcW w:w="1369" w:type="dxa"/>
            <w:vMerge w:val="restart"/>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防护等级</w:t>
            </w:r>
          </w:p>
        </w:tc>
        <w:tc>
          <w:tcPr>
            <w:tcW w:w="580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输出额定功率≤600W的驱动电源防护等级为IP67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560" w:type="dxa"/>
            <w:vMerge w:val="continue"/>
            <w:shd w:val="clear" w:color="auto" w:fill="auto"/>
            <w:vAlign w:val="center"/>
          </w:tcPr>
          <w:p>
            <w:pPr>
              <w:spacing w:line="360" w:lineRule="auto"/>
              <w:jc w:val="center"/>
              <w:rPr>
                <w:rFonts w:cs="仿宋_GB2312" w:asciiTheme="minorEastAsia" w:hAnsiTheme="minorEastAsia"/>
                <w:szCs w:val="21"/>
              </w:rPr>
            </w:pPr>
          </w:p>
        </w:tc>
        <w:tc>
          <w:tcPr>
            <w:tcW w:w="1369" w:type="dxa"/>
            <w:vMerge w:val="continue"/>
            <w:shd w:val="clear" w:color="auto" w:fill="auto"/>
            <w:vAlign w:val="center"/>
          </w:tcPr>
          <w:p>
            <w:pPr>
              <w:spacing w:line="360" w:lineRule="auto"/>
              <w:jc w:val="center"/>
              <w:rPr>
                <w:rFonts w:cs="仿宋_GB2312" w:asciiTheme="minorEastAsia" w:hAnsiTheme="minorEastAsia"/>
                <w:szCs w:val="21"/>
              </w:rPr>
            </w:pPr>
          </w:p>
        </w:tc>
        <w:tc>
          <w:tcPr>
            <w:tcW w:w="580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输出额定功率＞600W的驱动电源为非防水电源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4" w:hRule="atLeast"/>
        </w:trPr>
        <w:tc>
          <w:tcPr>
            <w:tcW w:w="560"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9</w:t>
            </w:r>
          </w:p>
        </w:tc>
        <w:tc>
          <w:tcPr>
            <w:tcW w:w="136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电磁兼容</w:t>
            </w:r>
          </w:p>
        </w:tc>
        <w:tc>
          <w:tcPr>
            <w:tcW w:w="5809" w:type="dxa"/>
            <w:shd w:val="clear" w:color="auto" w:fill="auto"/>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合格</w:t>
            </w:r>
          </w:p>
        </w:tc>
      </w:tr>
    </w:tbl>
    <w:p>
      <w:pPr>
        <w:pStyle w:val="4"/>
        <w:numPr>
          <w:ilvl w:val="0"/>
          <w:numId w:val="17"/>
        </w:numPr>
        <w:spacing w:line="360" w:lineRule="auto"/>
        <w:ind w:leftChars="0" w:hanging="5" w:firstLineChars="0"/>
        <w:rPr>
          <w:rFonts w:cs="仿宋_GB2312" w:asciiTheme="minorEastAsia" w:hAnsiTheme="minorEastAsia" w:eastAsiaTheme="minorEastAsia"/>
          <w:sz w:val="21"/>
          <w:szCs w:val="21"/>
        </w:rPr>
      </w:pPr>
      <w:bookmarkStart w:id="19" w:name="_Toc7509"/>
      <w:r>
        <w:rPr>
          <w:rFonts w:hint="eastAsia" w:cs="仿宋_GB2312" w:asciiTheme="minorEastAsia" w:hAnsiTheme="minorEastAsia" w:eastAsiaTheme="minorEastAsia"/>
          <w:sz w:val="21"/>
          <w:szCs w:val="21"/>
        </w:rPr>
        <w:t>驱动电源技术要求</w:t>
      </w:r>
      <w:bookmarkEnd w:id="19"/>
    </w:p>
    <w:p>
      <w:pPr>
        <w:numPr>
          <w:ilvl w:val="0"/>
          <w:numId w:val="18"/>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品牌推荐使用“台湾明纬（MEAN WELL）”、“茂硕”、“英飞特”、“欧司朗（OSRAM）”、“飞利浦（PHILIPS）”、“创联”电源；</w:t>
      </w:r>
    </w:p>
    <w:p>
      <w:pPr>
        <w:numPr>
          <w:ilvl w:val="0"/>
          <w:numId w:val="18"/>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详细参数输入电压标明为220V的灯具为内置驱动电源。详细参数未标明输入电压或标明为安全电压（≤36V）的灯具为外置恒压驱动电源集中供电。</w:t>
      </w:r>
    </w:p>
    <w:p>
      <w:pPr>
        <w:numPr>
          <w:ilvl w:val="0"/>
          <w:numId w:val="18"/>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电源必须符合国家相关标准。小于70W的灯具必须配置恒压驱动电源。所有LED灯具必须结合现场安装条件配置适当的防水驱动电源（含内置电源），电源功率及数量由业主根据现场安装条件确定，电源的价格含在灯具总价中。电源数量不作为影响灯具价格的因素。根据具体灯具要求配置内置或外置。该电源必须为灯具标配，不得随意更换。</w:t>
      </w:r>
    </w:p>
    <w:p>
      <w:pPr>
        <w:numPr>
          <w:ilvl w:val="0"/>
          <w:numId w:val="18"/>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外置驱动电源、内置外露驱动电源应考虑一体式防水和散热。</w:t>
      </w:r>
    </w:p>
    <w:p>
      <w:pPr>
        <w:numPr>
          <w:ilvl w:val="0"/>
          <w:numId w:val="18"/>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单颗芯片功率不小于1W的大功率LED灯具电源要有过载过压短路保护，自动温控保护。</w:t>
      </w:r>
    </w:p>
    <w:p>
      <w:pPr>
        <w:numPr>
          <w:ilvl w:val="0"/>
          <w:numId w:val="18"/>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外置电源集中供电时，所提供的电源必须满足现场实际安装需要，每个电源的功率根据现场条件，由设计及业主确定。</w:t>
      </w:r>
    </w:p>
    <w:p>
      <w:pPr>
        <w:numPr>
          <w:ilvl w:val="0"/>
          <w:numId w:val="18"/>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外置驱动电源：输入交流电压220VAC，输出直流电压24V/12V/48V恒压（以灯具技术参数为准）；输入输出引出线长不低于0.3米。防护等级IP67。防雷等级线对线4KV、线对地6KV。无风扇设计，自然风冷。功率小于36W的驱动电源效率不低于85%，功率大于36W的驱动电源效率不低于90%，有短路、过电流、过电压、过温度保护。功率因素不小于90%，安规和电磁兼容符合相关国家、国际标准。</w:t>
      </w:r>
    </w:p>
    <w:p>
      <w:pPr>
        <w:numPr>
          <w:ilvl w:val="0"/>
          <w:numId w:val="18"/>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外置驱动电源在电源箱内设置数量3~6个，在干燥、潮湿、淋雨环境下工作温度为-20℃~+60℃，潮湿环境为20~90%RH，质保期不小于5年。</w:t>
      </w:r>
    </w:p>
    <w:p>
      <w:pPr>
        <w:pStyle w:val="3"/>
        <w:numPr>
          <w:ilvl w:val="0"/>
          <w:numId w:val="2"/>
        </w:numPr>
        <w:spacing w:line="360" w:lineRule="auto"/>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灯具附属控制系统技术通则</w:t>
      </w:r>
    </w:p>
    <w:p>
      <w:pPr>
        <w:pStyle w:val="4"/>
        <w:numPr>
          <w:ilvl w:val="0"/>
          <w:numId w:val="19"/>
        </w:numPr>
        <w:spacing w:line="360" w:lineRule="auto"/>
        <w:ind w:leftChars="0" w:hanging="5" w:firstLineChars="0"/>
        <w:rPr>
          <w:rFonts w:cs="仿宋_GB2312" w:asciiTheme="minorEastAsia" w:hAnsiTheme="minorEastAsia" w:eastAsiaTheme="minorEastAsia"/>
          <w:sz w:val="21"/>
          <w:szCs w:val="21"/>
        </w:rPr>
      </w:pPr>
      <w:bookmarkStart w:id="20" w:name="_Toc14069"/>
      <w:r>
        <w:rPr>
          <w:rFonts w:hint="eastAsia" w:cs="仿宋_GB2312" w:asciiTheme="minorEastAsia" w:hAnsiTheme="minorEastAsia" w:eastAsiaTheme="minorEastAsia"/>
          <w:sz w:val="21"/>
          <w:szCs w:val="21"/>
        </w:rPr>
        <w:t>说明</w:t>
      </w:r>
      <w:bookmarkEnd w:id="20"/>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技术文件详参有规定的，按详参规定执行，没有详参规定的，按照本通则执行。</w:t>
      </w:r>
    </w:p>
    <w:p>
      <w:pPr>
        <w:spacing w:line="360" w:lineRule="auto"/>
        <w:ind w:firstLine="422" w:firstLineChars="200"/>
        <w:rPr>
          <w:rFonts w:cs="仿宋_GB2312" w:asciiTheme="minorEastAsia" w:hAnsiTheme="minorEastAsia"/>
          <w:b/>
          <w:bCs/>
          <w:szCs w:val="21"/>
          <w:u w:val="single"/>
        </w:rPr>
      </w:pPr>
      <w:r>
        <w:rPr>
          <w:rFonts w:hint="eastAsia" w:cs="仿宋_GB2312" w:asciiTheme="minorEastAsia" w:hAnsiTheme="minorEastAsia"/>
          <w:b/>
          <w:bCs/>
          <w:szCs w:val="21"/>
          <w:u w:val="single"/>
        </w:rPr>
        <w:t>灯具要求有动态变化的，必须配置符合采购文件要求的控制系统及其所有附件，价格含在灯具中。</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中标单位必须依据设计施工图纸和技术文件要求，本工程项目的材料、设备、施工必须达到现行中华人民共和国及省、市、行业的一切有关法规、规范的要求，如设计施工图纸、技术文件、标准及规范要求有出入则以较严格者为准。</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下列技术参数为各类综合控制系统的总体要求，中标单位应根据所投灯具的情况，按照控制系统不同控制要求合理配置。</w:t>
      </w:r>
    </w:p>
    <w:p>
      <w:pPr>
        <w:pStyle w:val="4"/>
        <w:numPr>
          <w:ilvl w:val="0"/>
          <w:numId w:val="19"/>
        </w:numPr>
        <w:spacing w:line="360" w:lineRule="auto"/>
        <w:ind w:leftChars="0" w:hanging="5" w:firstLineChars="0"/>
        <w:rPr>
          <w:rFonts w:cs="仿宋_GB2312" w:asciiTheme="minorEastAsia" w:hAnsiTheme="minorEastAsia" w:eastAsiaTheme="minorEastAsia"/>
          <w:sz w:val="21"/>
          <w:szCs w:val="21"/>
        </w:rPr>
      </w:pPr>
      <w:bookmarkStart w:id="21" w:name="_Toc8710"/>
      <w:r>
        <w:rPr>
          <w:rFonts w:hint="eastAsia" w:cs="仿宋_GB2312" w:asciiTheme="minorEastAsia" w:hAnsiTheme="minorEastAsia" w:eastAsiaTheme="minorEastAsia"/>
          <w:sz w:val="21"/>
          <w:szCs w:val="21"/>
        </w:rPr>
        <w:t>通信网络技术要求</w:t>
      </w:r>
      <w:bookmarkEnd w:id="21"/>
    </w:p>
    <w:p>
      <w:pPr>
        <w:numPr>
          <w:ilvl w:val="1"/>
          <w:numId w:val="20"/>
        </w:numPr>
        <w:spacing w:line="360" w:lineRule="auto"/>
        <w:rPr>
          <w:rFonts w:cs="仿宋_GB2312" w:asciiTheme="minorEastAsia" w:hAnsiTheme="minorEastAsia"/>
          <w:szCs w:val="21"/>
        </w:rPr>
      </w:pPr>
      <w:r>
        <w:rPr>
          <w:rFonts w:hint="eastAsia" w:cs="仿宋_GB2312" w:asciiTheme="minorEastAsia" w:hAnsiTheme="minorEastAsia"/>
          <w:szCs w:val="21"/>
        </w:rPr>
        <w:t>网络架构采用VPN专线方式，具有独立网络安全防范能力。</w:t>
      </w:r>
    </w:p>
    <w:p>
      <w:pPr>
        <w:numPr>
          <w:ilvl w:val="1"/>
          <w:numId w:val="20"/>
        </w:numPr>
        <w:spacing w:line="360" w:lineRule="auto"/>
        <w:rPr>
          <w:rFonts w:cs="仿宋_GB2312" w:asciiTheme="minorEastAsia" w:hAnsiTheme="minorEastAsia"/>
          <w:szCs w:val="21"/>
        </w:rPr>
      </w:pPr>
      <w:r>
        <w:rPr>
          <w:rFonts w:hint="eastAsia" w:cs="仿宋_GB2312" w:asciiTheme="minorEastAsia" w:hAnsiTheme="minorEastAsia"/>
          <w:szCs w:val="21"/>
        </w:rPr>
        <w:t>各网关接口具有独立IP地址。</w:t>
      </w:r>
    </w:p>
    <w:p>
      <w:pPr>
        <w:numPr>
          <w:ilvl w:val="1"/>
          <w:numId w:val="20"/>
        </w:numPr>
        <w:spacing w:line="360" w:lineRule="auto"/>
        <w:rPr>
          <w:rFonts w:cs="仿宋_GB2312" w:asciiTheme="minorEastAsia" w:hAnsiTheme="minorEastAsia"/>
          <w:szCs w:val="21"/>
        </w:rPr>
      </w:pPr>
      <w:r>
        <w:rPr>
          <w:rFonts w:hint="eastAsia" w:cs="仿宋_GB2312" w:asciiTheme="minorEastAsia" w:hAnsiTheme="minorEastAsia"/>
          <w:szCs w:val="21"/>
        </w:rPr>
        <w:t>信号传输方式：控制器联机信号接口和信号传输协议是TCP/IP。</w:t>
      </w:r>
    </w:p>
    <w:p>
      <w:pPr>
        <w:numPr>
          <w:ilvl w:val="1"/>
          <w:numId w:val="20"/>
        </w:numPr>
        <w:spacing w:line="360" w:lineRule="auto"/>
        <w:rPr>
          <w:rFonts w:cs="仿宋_GB2312" w:asciiTheme="minorEastAsia" w:hAnsiTheme="minorEastAsia"/>
          <w:szCs w:val="21"/>
        </w:rPr>
      </w:pPr>
      <w:r>
        <w:rPr>
          <w:rFonts w:hint="eastAsia" w:cs="仿宋_GB2312" w:asciiTheme="minorEastAsia" w:hAnsiTheme="minorEastAsia"/>
          <w:szCs w:val="21"/>
        </w:rPr>
        <w:t>网络传输采用有线或4G两种方式。</w:t>
      </w:r>
    </w:p>
    <w:p>
      <w:pPr>
        <w:numPr>
          <w:ilvl w:val="0"/>
          <w:numId w:val="21"/>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主体建筑及主要景观节点必须使用有线的传输方式，时延＜50ms；</w:t>
      </w:r>
    </w:p>
    <w:p>
      <w:pPr>
        <w:numPr>
          <w:ilvl w:val="0"/>
          <w:numId w:val="21"/>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在无法敷设光纤的区域，且能够保证信号强度前提下，可以使用4G。为了保证网络质量，4G需满足以下要求：在设备接入点7*24小时监测情况下，吞吐量≥10M，时延＜100ms，丢包率≤0.1%。</w:t>
      </w:r>
    </w:p>
    <w:p>
      <w:pPr>
        <w:numPr>
          <w:ilvl w:val="1"/>
          <w:numId w:val="20"/>
        </w:numPr>
        <w:spacing w:line="360" w:lineRule="auto"/>
        <w:rPr>
          <w:rFonts w:cs="仿宋_GB2312" w:asciiTheme="minorEastAsia" w:hAnsiTheme="minorEastAsia"/>
          <w:szCs w:val="21"/>
        </w:rPr>
      </w:pPr>
      <w:r>
        <w:rPr>
          <w:rFonts w:hint="eastAsia" w:cs="仿宋_GB2312" w:asciiTheme="minorEastAsia" w:hAnsiTheme="minorEastAsia"/>
          <w:szCs w:val="21"/>
        </w:rPr>
        <w:t>网络流量和接入速率要求：主控端光纤接入速率≥100Mbps；分控端网络接入速率≥10Mbps；仅含开关控制的节点分控端网络接入速率≥2Mbps。</w:t>
      </w:r>
    </w:p>
    <w:p>
      <w:pPr>
        <w:numPr>
          <w:ilvl w:val="1"/>
          <w:numId w:val="20"/>
        </w:numPr>
        <w:spacing w:line="360" w:lineRule="auto"/>
        <w:rPr>
          <w:rFonts w:cs="仿宋_GB2312" w:asciiTheme="minorEastAsia" w:hAnsiTheme="minorEastAsia"/>
          <w:szCs w:val="21"/>
        </w:rPr>
      </w:pPr>
      <w:r>
        <w:rPr>
          <w:rFonts w:hint="eastAsia" w:cs="仿宋_GB2312" w:asciiTheme="minorEastAsia" w:hAnsiTheme="minorEastAsia"/>
          <w:szCs w:val="21"/>
        </w:rPr>
        <w:t>采用4G时，参考值：RSRP值优于-80dbm，SINR值优于10。</w:t>
      </w:r>
    </w:p>
    <w:p>
      <w:pPr>
        <w:pStyle w:val="4"/>
        <w:numPr>
          <w:ilvl w:val="0"/>
          <w:numId w:val="19"/>
        </w:numPr>
        <w:spacing w:line="360" w:lineRule="auto"/>
        <w:ind w:leftChars="0" w:hanging="5" w:firstLineChars="0"/>
        <w:rPr>
          <w:rFonts w:cs="仿宋_GB2312" w:asciiTheme="minorEastAsia" w:hAnsiTheme="minorEastAsia" w:eastAsiaTheme="minorEastAsia"/>
          <w:sz w:val="21"/>
          <w:szCs w:val="21"/>
        </w:rPr>
      </w:pPr>
      <w:bookmarkStart w:id="22" w:name="_Toc237"/>
      <w:r>
        <w:rPr>
          <w:rFonts w:hint="eastAsia" w:cs="仿宋_GB2312" w:asciiTheme="minorEastAsia" w:hAnsiTheme="minorEastAsia" w:eastAsiaTheme="minorEastAsia"/>
          <w:sz w:val="21"/>
          <w:szCs w:val="21"/>
        </w:rPr>
        <w:t>基本要求</w:t>
      </w:r>
      <w:bookmarkEnd w:id="22"/>
    </w:p>
    <w:p>
      <w:pPr>
        <w:numPr>
          <w:ilvl w:val="0"/>
          <w:numId w:val="22"/>
        </w:numPr>
        <w:spacing w:line="360" w:lineRule="auto"/>
        <w:rPr>
          <w:rFonts w:cs="仿宋_GB2312" w:asciiTheme="minorEastAsia" w:hAnsiTheme="minorEastAsia"/>
          <w:szCs w:val="21"/>
        </w:rPr>
      </w:pPr>
      <w:r>
        <w:rPr>
          <w:rFonts w:hint="eastAsia" w:cs="仿宋_GB2312" w:asciiTheme="minorEastAsia" w:hAnsiTheme="minorEastAsia"/>
          <w:szCs w:val="21"/>
        </w:rPr>
        <w:t>效果相关功能要求：</w:t>
      </w:r>
    </w:p>
    <w:p>
      <w:pPr>
        <w:numPr>
          <w:ilvl w:val="0"/>
          <w:numId w:val="2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统一开关：通过网络连接，实现统一开关灯，统一动画播放的开启；</w:t>
      </w:r>
    </w:p>
    <w:p>
      <w:pPr>
        <w:numPr>
          <w:ilvl w:val="0"/>
          <w:numId w:val="2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场景模式调整：根据设计场景需求调换各种模式；</w:t>
      </w:r>
    </w:p>
    <w:p>
      <w:pPr>
        <w:numPr>
          <w:ilvl w:val="0"/>
          <w:numId w:val="2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日程设置：根据不同季节时令，调整开启时间和流程；</w:t>
      </w:r>
    </w:p>
    <w:p>
      <w:pPr>
        <w:numPr>
          <w:ilvl w:val="0"/>
          <w:numId w:val="2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节目动画内容更改：节目动画片源的自动切分与下发，储存多套节目，根据需求调用节目；</w:t>
      </w:r>
    </w:p>
    <w:p>
      <w:pPr>
        <w:numPr>
          <w:ilvl w:val="0"/>
          <w:numId w:val="2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远程控制：应急需求时，可一键式关停；</w:t>
      </w:r>
    </w:p>
    <w:p>
      <w:pPr>
        <w:numPr>
          <w:ilvl w:val="0"/>
          <w:numId w:val="2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开放性和多元集成：总控制系统具备一定开放性，可集成舞台灯光设备、投影设备、水雾系统、互动系统等各子系统，在总控端具备对各子系统节目的更改、调用、配置等功能。</w:t>
      </w:r>
    </w:p>
    <w:p>
      <w:pPr>
        <w:numPr>
          <w:ilvl w:val="0"/>
          <w:numId w:val="23"/>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与各品牌灯具的兼容性：项目中涉及多类型、多品牌的灯具，控制系统应具备与各家灯具产品的兼容性。</w:t>
      </w:r>
    </w:p>
    <w:p>
      <w:pPr>
        <w:numPr>
          <w:ilvl w:val="0"/>
          <w:numId w:val="22"/>
        </w:numPr>
        <w:spacing w:line="360" w:lineRule="auto"/>
        <w:rPr>
          <w:rFonts w:cs="仿宋_GB2312" w:asciiTheme="minorEastAsia" w:hAnsiTheme="minorEastAsia"/>
          <w:szCs w:val="21"/>
        </w:rPr>
      </w:pPr>
      <w:r>
        <w:rPr>
          <w:rFonts w:hint="eastAsia" w:cs="仿宋_GB2312" w:asciiTheme="minorEastAsia" w:hAnsiTheme="minorEastAsia"/>
          <w:szCs w:val="21"/>
        </w:rPr>
        <w:t>管理相关功能要求：</w:t>
      </w:r>
    </w:p>
    <w:p>
      <w:pPr>
        <w:numPr>
          <w:ilvl w:val="0"/>
          <w:numId w:val="24"/>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权限管理：登录账户的管理，分配使用权限的管理功能；</w:t>
      </w:r>
    </w:p>
    <w:p>
      <w:pPr>
        <w:numPr>
          <w:ilvl w:val="0"/>
          <w:numId w:val="24"/>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数据管理：运行、检测等数据储存、统计、报表生成；</w:t>
      </w:r>
    </w:p>
    <w:p>
      <w:pPr>
        <w:numPr>
          <w:ilvl w:val="0"/>
          <w:numId w:val="24"/>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检测管理（建议项）：实时数据采集（电压、电流等）、设备状态采集、网络信息、传感器、摄像头视频采集、报警管理（报警记录、通知）等。</w:t>
      </w:r>
    </w:p>
    <w:p>
      <w:pPr>
        <w:pStyle w:val="4"/>
        <w:numPr>
          <w:ilvl w:val="0"/>
          <w:numId w:val="19"/>
        </w:numPr>
        <w:spacing w:line="360" w:lineRule="auto"/>
        <w:ind w:leftChars="0" w:hanging="5" w:firstLineChars="0"/>
        <w:rPr>
          <w:rFonts w:cs="仿宋_GB2312" w:asciiTheme="minorEastAsia" w:hAnsiTheme="minorEastAsia" w:eastAsiaTheme="minorEastAsia"/>
          <w:sz w:val="21"/>
          <w:szCs w:val="21"/>
        </w:rPr>
      </w:pPr>
      <w:bookmarkStart w:id="23" w:name="_Toc31641"/>
      <w:r>
        <w:rPr>
          <w:rFonts w:hint="eastAsia" w:cs="仿宋_GB2312" w:asciiTheme="minorEastAsia" w:hAnsiTheme="minorEastAsia" w:eastAsiaTheme="minorEastAsia"/>
          <w:sz w:val="21"/>
          <w:szCs w:val="21"/>
        </w:rPr>
        <w:t>系统运行基本要求</w:t>
      </w:r>
      <w:bookmarkEnd w:id="23"/>
    </w:p>
    <w:p>
      <w:pPr>
        <w:spacing w:line="360" w:lineRule="auto"/>
        <w:ind w:left="424" w:hanging="4"/>
        <w:rPr>
          <w:rFonts w:cs="仿宋_GB2312" w:asciiTheme="minorEastAsia" w:hAnsiTheme="minorEastAsia"/>
          <w:szCs w:val="21"/>
        </w:rPr>
      </w:pPr>
      <w:r>
        <w:rPr>
          <w:rFonts w:hint="eastAsia" w:cs="仿宋_GB2312" w:asciiTheme="minorEastAsia" w:hAnsiTheme="minorEastAsia"/>
          <w:szCs w:val="21"/>
        </w:rPr>
        <w:t>1标准化</w:t>
      </w:r>
    </w:p>
    <w:p>
      <w:pPr>
        <w:pStyle w:val="12"/>
        <w:numPr>
          <w:ilvl w:val="0"/>
          <w:numId w:val="25"/>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数据模型设计遵循业主管理中心统一标准；</w:t>
      </w:r>
    </w:p>
    <w:p>
      <w:pPr>
        <w:pStyle w:val="12"/>
        <w:numPr>
          <w:ilvl w:val="0"/>
          <w:numId w:val="25"/>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系统间接口遵循业主管理中心制定的统一接口标准。</w:t>
      </w:r>
    </w:p>
    <w:p>
      <w:pPr>
        <w:spacing w:line="360" w:lineRule="auto"/>
        <w:ind w:left="424" w:hanging="4"/>
        <w:rPr>
          <w:rFonts w:cs="仿宋_GB2312" w:asciiTheme="minorEastAsia" w:hAnsiTheme="minorEastAsia"/>
          <w:szCs w:val="21"/>
        </w:rPr>
      </w:pPr>
      <w:r>
        <w:rPr>
          <w:rFonts w:hint="eastAsia" w:cs="仿宋_GB2312" w:asciiTheme="minorEastAsia" w:hAnsiTheme="minorEastAsia"/>
          <w:szCs w:val="21"/>
        </w:rPr>
        <w:t>2可靠性</w:t>
      </w:r>
    </w:p>
    <w:p>
      <w:pPr>
        <w:pStyle w:val="12"/>
        <w:numPr>
          <w:ilvl w:val="0"/>
          <w:numId w:val="26"/>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总控系统的关键节点应采用合适的冗余策略，在运行过程中不应出现操作失效、数据丢失或数据不一致的情况；</w:t>
      </w:r>
    </w:p>
    <w:p>
      <w:pPr>
        <w:pStyle w:val="12"/>
        <w:numPr>
          <w:ilvl w:val="0"/>
          <w:numId w:val="26"/>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对于配置了集群的系统具备集群失效时正常运行的能力；</w:t>
      </w:r>
    </w:p>
    <w:p>
      <w:pPr>
        <w:pStyle w:val="12"/>
        <w:numPr>
          <w:ilvl w:val="0"/>
          <w:numId w:val="26"/>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系统不得因商用数据库的失效而中断运行。</w:t>
      </w:r>
    </w:p>
    <w:p>
      <w:pPr>
        <w:spacing w:line="360" w:lineRule="auto"/>
        <w:ind w:left="424" w:hanging="4"/>
        <w:rPr>
          <w:rFonts w:cs="仿宋_GB2312" w:asciiTheme="minorEastAsia" w:hAnsiTheme="minorEastAsia"/>
          <w:szCs w:val="21"/>
        </w:rPr>
      </w:pPr>
      <w:r>
        <w:rPr>
          <w:rFonts w:hint="eastAsia" w:cs="仿宋_GB2312" w:asciiTheme="minorEastAsia" w:hAnsiTheme="minorEastAsia"/>
          <w:szCs w:val="21"/>
        </w:rPr>
        <w:t>3安全性要求</w:t>
      </w:r>
    </w:p>
    <w:p>
      <w:pPr>
        <w:pStyle w:val="12"/>
        <w:numPr>
          <w:ilvl w:val="0"/>
          <w:numId w:val="27"/>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系统应采取严格的措施来确保各项操作的安全性，具有完善的权限管理机制，防止未授权用户非法访问系统、非法获取信息或进行非法操作，确保数据信息的安全。</w:t>
      </w:r>
    </w:p>
    <w:p>
      <w:pPr>
        <w:pStyle w:val="12"/>
        <w:numPr>
          <w:ilvl w:val="0"/>
          <w:numId w:val="27"/>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数据通信采取加密方式，防止数据被截获、破解。</w:t>
      </w:r>
    </w:p>
    <w:p>
      <w:pPr>
        <w:spacing w:line="360" w:lineRule="auto"/>
        <w:ind w:left="4" w:firstLine="416"/>
        <w:rPr>
          <w:rFonts w:cs="仿宋_GB2312" w:asciiTheme="minorEastAsia" w:hAnsiTheme="minorEastAsia"/>
          <w:szCs w:val="21"/>
        </w:rPr>
      </w:pPr>
      <w:r>
        <w:rPr>
          <w:rFonts w:hint="eastAsia" w:cs="仿宋_GB2312" w:asciiTheme="minorEastAsia" w:hAnsiTheme="minorEastAsia"/>
          <w:szCs w:val="21"/>
        </w:rPr>
        <w:t>4实时性要求：系统必须保证数据采集、处理、传输、显示，报警、执行控制命令的实时性，满足景观照明运营要求。</w:t>
      </w:r>
    </w:p>
    <w:p>
      <w:pPr>
        <w:spacing w:line="360" w:lineRule="auto"/>
        <w:ind w:left="424" w:hanging="4"/>
        <w:rPr>
          <w:rFonts w:cs="仿宋_GB2312" w:asciiTheme="minorEastAsia" w:hAnsiTheme="minorEastAsia"/>
          <w:szCs w:val="21"/>
        </w:rPr>
      </w:pPr>
      <w:r>
        <w:rPr>
          <w:rFonts w:hint="eastAsia" w:cs="仿宋_GB2312" w:asciiTheme="minorEastAsia" w:hAnsiTheme="minorEastAsia"/>
          <w:szCs w:val="21"/>
        </w:rPr>
        <w:t>5实用性要求</w:t>
      </w:r>
    </w:p>
    <w:p>
      <w:pPr>
        <w:pStyle w:val="12"/>
        <w:numPr>
          <w:ilvl w:val="0"/>
          <w:numId w:val="28"/>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应具备正常运行模式和紧急运行模式；</w:t>
      </w:r>
    </w:p>
    <w:p>
      <w:pPr>
        <w:pStyle w:val="12"/>
        <w:numPr>
          <w:ilvl w:val="0"/>
          <w:numId w:val="28"/>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应具备完善、实用的各集成互连系统联动功能；</w:t>
      </w:r>
    </w:p>
    <w:p>
      <w:pPr>
        <w:pStyle w:val="12"/>
        <w:numPr>
          <w:ilvl w:val="0"/>
          <w:numId w:val="28"/>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应具有报警管理功能，报警可分级配置、可过滤；</w:t>
      </w:r>
    </w:p>
    <w:p>
      <w:pPr>
        <w:pStyle w:val="12"/>
        <w:numPr>
          <w:ilvl w:val="0"/>
          <w:numId w:val="28"/>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应具有完善的历史数据记录、分类、查询、转储、显示、统计分析等管理功能；</w:t>
      </w:r>
    </w:p>
    <w:p>
      <w:pPr>
        <w:pStyle w:val="12"/>
        <w:numPr>
          <w:ilvl w:val="0"/>
          <w:numId w:val="28"/>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应便于组态、调试；</w:t>
      </w:r>
    </w:p>
    <w:p>
      <w:pPr>
        <w:pStyle w:val="12"/>
        <w:numPr>
          <w:ilvl w:val="0"/>
          <w:numId w:val="28"/>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应有利于制定合理的运营管理模式，提高景观照明的运营管理水平。</w:t>
      </w:r>
    </w:p>
    <w:p>
      <w:pPr>
        <w:spacing w:line="360" w:lineRule="auto"/>
        <w:ind w:left="424" w:hanging="4"/>
        <w:rPr>
          <w:rFonts w:cs="仿宋_GB2312" w:asciiTheme="minorEastAsia" w:hAnsiTheme="minorEastAsia"/>
          <w:szCs w:val="21"/>
        </w:rPr>
      </w:pPr>
      <w:r>
        <w:rPr>
          <w:rFonts w:hint="eastAsia" w:cs="仿宋_GB2312" w:asciiTheme="minorEastAsia" w:hAnsiTheme="minorEastAsia"/>
          <w:szCs w:val="21"/>
        </w:rPr>
        <w:t>6可维护性要求</w:t>
      </w:r>
    </w:p>
    <w:p>
      <w:pPr>
        <w:pStyle w:val="12"/>
        <w:numPr>
          <w:ilvl w:val="0"/>
          <w:numId w:val="29"/>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系统设计应包括有适当的测点及诊断措施，具有自身设备（如计算机、网络设备等）的监视管理系统；</w:t>
      </w:r>
    </w:p>
    <w:p>
      <w:pPr>
        <w:pStyle w:val="12"/>
        <w:numPr>
          <w:ilvl w:val="0"/>
          <w:numId w:val="29"/>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应选用统一的、优化的硬件平台，设备标准化，降低维护、维修成本。</w:t>
      </w:r>
    </w:p>
    <w:p>
      <w:pPr>
        <w:spacing w:line="360" w:lineRule="auto"/>
        <w:ind w:left="424" w:hanging="4"/>
        <w:rPr>
          <w:rFonts w:cs="仿宋_GB2312" w:asciiTheme="minorEastAsia" w:hAnsiTheme="minorEastAsia"/>
          <w:szCs w:val="21"/>
        </w:rPr>
      </w:pPr>
      <w:r>
        <w:rPr>
          <w:rFonts w:hint="eastAsia" w:cs="仿宋_GB2312" w:asciiTheme="minorEastAsia" w:hAnsiTheme="minorEastAsia"/>
          <w:szCs w:val="21"/>
        </w:rPr>
        <w:t>7开放性要求</w:t>
      </w:r>
    </w:p>
    <w:p>
      <w:pPr>
        <w:pStyle w:val="12"/>
        <w:numPr>
          <w:ilvl w:val="0"/>
          <w:numId w:val="30"/>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系统应提供统一标准接口，支持第三方应用集成；</w:t>
      </w:r>
    </w:p>
    <w:p>
      <w:pPr>
        <w:pStyle w:val="12"/>
        <w:numPr>
          <w:ilvl w:val="0"/>
          <w:numId w:val="30"/>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系统应具有良好的软件和硬件在线可扩展性；</w:t>
      </w:r>
    </w:p>
    <w:p>
      <w:pPr>
        <w:pStyle w:val="12"/>
        <w:numPr>
          <w:ilvl w:val="0"/>
          <w:numId w:val="30"/>
        </w:numPr>
        <w:spacing w:line="360" w:lineRule="auto"/>
        <w:ind w:firstLine="420"/>
        <w:rPr>
          <w:rFonts w:cs="仿宋_GB2312" w:asciiTheme="minorEastAsia" w:hAnsiTheme="minorEastAsia" w:eastAsiaTheme="minorEastAsia"/>
          <w:szCs w:val="21"/>
        </w:rPr>
      </w:pPr>
      <w:r>
        <w:rPr>
          <w:rFonts w:hint="eastAsia" w:cs="仿宋_GB2312" w:asciiTheme="minorEastAsia" w:hAnsiTheme="minorEastAsia" w:eastAsiaTheme="minorEastAsia"/>
          <w:szCs w:val="21"/>
        </w:rPr>
        <w:t>系统容量可扩充。</w:t>
      </w:r>
    </w:p>
    <w:p>
      <w:pPr>
        <w:pStyle w:val="4"/>
        <w:numPr>
          <w:ilvl w:val="0"/>
          <w:numId w:val="19"/>
        </w:numPr>
        <w:spacing w:line="360" w:lineRule="auto"/>
        <w:ind w:leftChars="0" w:hanging="5" w:firstLineChars="0"/>
        <w:rPr>
          <w:rFonts w:cs="仿宋_GB2312" w:asciiTheme="minorEastAsia" w:hAnsiTheme="minorEastAsia" w:eastAsiaTheme="minorEastAsia"/>
          <w:sz w:val="21"/>
          <w:szCs w:val="21"/>
        </w:rPr>
      </w:pPr>
      <w:bookmarkStart w:id="24" w:name="_Toc7776"/>
      <w:r>
        <w:rPr>
          <w:rFonts w:hint="eastAsia" w:cs="仿宋_GB2312" w:asciiTheme="minorEastAsia" w:hAnsiTheme="minorEastAsia" w:eastAsiaTheme="minorEastAsia"/>
          <w:sz w:val="21"/>
          <w:szCs w:val="21"/>
        </w:rPr>
        <w:t>弱电变化控制系统</w:t>
      </w:r>
      <w:bookmarkEnd w:id="24"/>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控制系统网络通信协议使用TCP/IP或UDP数据传输方式。</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控制系统采用标准DMX512及DMX512-A控制协议。</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主控系统支持双机备份功能。</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 xml:space="preserve">主控制器具备≥200万个像素（RGB）控制能力。 </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软硬件设备具备连接其他设备的相应接口。</w:t>
      </w:r>
    </w:p>
    <w:p>
      <w:pPr>
        <w:numPr>
          <w:ilvl w:val="0"/>
          <w:numId w:val="32"/>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控制强电系统的接口；</w:t>
      </w:r>
    </w:p>
    <w:p>
      <w:pPr>
        <w:numPr>
          <w:ilvl w:val="0"/>
          <w:numId w:val="32"/>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控制投影秀、光束灯等第三方设备的接口；</w:t>
      </w:r>
    </w:p>
    <w:p>
      <w:pPr>
        <w:numPr>
          <w:ilvl w:val="0"/>
          <w:numId w:val="32"/>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与实现灯光互动功能相关设备对接的接口。</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预留标准TCP/IP、DMX512-A、RS485扩展接口至少2个，可连接其他扩展设备。</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所有动态变化方式可以在总控进行编辑，可在非开灯时间进行下载传输。</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软件界面操作简单，可通过无线终端如iPad/iPhone、专用手机等操作；能够依据需求进行定制，包括文字、图片、Logo、按钮、状态信息等。</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软件系统具有自动更新下载的功能，新的场景或播放列表可以远程更新。</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软件系统可进行定时设置，实现任意时刻的场景自动播放。</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软件系统储存并随时调用＞32套节目，支持短时间内便捷更换节目内容。</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软件系统具备布灯文件，将计算机屏幕上显示的画面通过该文件在LED灯具上显示出来，后期升级软件后，不必重新制作布灯文件。</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软件系统可以实现实时视频文件或图形效果文件的自动切割和分发。</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软件系统具有断网工作能力，在无网络信号的情况下可脱机工作。</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硬件设备就近放置于照明配电箱附近，专用控制箱或者置于配电箱内。</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硬件设备控制端口到第一套灯具的通信距离不小于100米。</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硬件设备要求工作温度温度-20～60℃，相对湿度0％～80％且无人值守的环境下长期稳定工作。</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硬件设备支持防雷及POE，光电隔离浪涌抑制保护的功能。</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硬件设备具备通讯保护功能：控制设备必须具备浪涌抑制保护的功能，静电抑制保护功能，过压、短路、过温保护功能和斜率、空闲保护功能。</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硬件设备与灯具质保期限一致。</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硬件设备应符合国家CCC、EMC/EMI等相应标准。</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主控制器设置密码锁，防止随意篡改程序。</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分控设备具有识别主控功能，不接受其他设备控制。</w:t>
      </w:r>
    </w:p>
    <w:p>
      <w:pPr>
        <w:numPr>
          <w:ilvl w:val="0"/>
          <w:numId w:val="31"/>
        </w:numPr>
        <w:spacing w:line="360" w:lineRule="auto"/>
        <w:rPr>
          <w:rFonts w:cs="仿宋_GB2312" w:asciiTheme="minorEastAsia" w:hAnsiTheme="minorEastAsia"/>
          <w:szCs w:val="21"/>
        </w:rPr>
      </w:pPr>
      <w:r>
        <w:rPr>
          <w:rFonts w:hint="eastAsia" w:cs="仿宋_GB2312" w:asciiTheme="minorEastAsia" w:hAnsiTheme="minorEastAsia"/>
          <w:szCs w:val="21"/>
        </w:rPr>
        <w:t>电气负荷为三级负荷，硬件设备具有上电后运行状态自恢复功能，保证在上电后装置能立即恢复到正常的工作状态。</w:t>
      </w:r>
      <w:bookmarkEnd w:id="17"/>
      <w:r>
        <w:rPr>
          <w:rFonts w:hint="eastAsia" w:cs="仿宋_GB2312" w:asciiTheme="minorEastAsia" w:hAnsiTheme="minorEastAsia"/>
          <w:szCs w:val="21"/>
        </w:rPr>
        <w:t xml:space="preserve"> </w:t>
      </w:r>
      <w:bookmarkStart w:id="25" w:name="_Toc13459"/>
    </w:p>
    <w:p>
      <w:pPr>
        <w:pStyle w:val="3"/>
        <w:spacing w:line="360" w:lineRule="auto"/>
        <w:ind w:left="42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（六）景观灯具检测要求</w:t>
      </w:r>
      <w:bookmarkEnd w:id="25"/>
    </w:p>
    <w:p>
      <w:pPr>
        <w:pStyle w:val="4"/>
        <w:numPr>
          <w:ilvl w:val="0"/>
          <w:numId w:val="33"/>
        </w:numPr>
        <w:spacing w:line="360" w:lineRule="auto"/>
        <w:ind w:leftChars="0" w:hanging="5" w:firstLineChars="0"/>
        <w:rPr>
          <w:rFonts w:cs="仿宋_GB2312" w:asciiTheme="minorEastAsia" w:hAnsiTheme="minorEastAsia" w:eastAsiaTheme="minorEastAsia"/>
          <w:sz w:val="21"/>
          <w:szCs w:val="21"/>
        </w:rPr>
      </w:pPr>
      <w:bookmarkStart w:id="26" w:name="_Toc30365"/>
      <w:r>
        <w:rPr>
          <w:rFonts w:hint="eastAsia" w:cs="仿宋_GB2312" w:asciiTheme="minorEastAsia" w:hAnsiTheme="minorEastAsia" w:eastAsiaTheme="minorEastAsia"/>
          <w:sz w:val="21"/>
          <w:szCs w:val="21"/>
        </w:rPr>
        <w:t>说明</w:t>
      </w:r>
      <w:bookmarkEnd w:id="26"/>
    </w:p>
    <w:p>
      <w:pPr>
        <w:spacing w:line="360" w:lineRule="auto"/>
        <w:ind w:firstLine="276" w:firstLineChars="131"/>
        <w:rPr>
          <w:rFonts w:cs="仿宋_GB2312" w:asciiTheme="minorEastAsia" w:hAnsiTheme="minorEastAsia"/>
          <w:b/>
          <w:bCs/>
          <w:szCs w:val="21"/>
        </w:rPr>
      </w:pPr>
      <w:r>
        <w:rPr>
          <w:rFonts w:hint="eastAsia" w:cs="仿宋_GB2312" w:asciiTheme="minorEastAsia" w:hAnsiTheme="minorEastAsia"/>
          <w:b/>
          <w:bCs/>
          <w:szCs w:val="21"/>
        </w:rPr>
        <w:t>所有检测机构均必须为“国家级权威检测机构”。</w:t>
      </w:r>
    </w:p>
    <w:p>
      <w:pPr>
        <w:pStyle w:val="4"/>
        <w:numPr>
          <w:ilvl w:val="0"/>
          <w:numId w:val="33"/>
        </w:numPr>
        <w:spacing w:line="360" w:lineRule="auto"/>
        <w:ind w:leftChars="0" w:hanging="5" w:firstLineChars="0"/>
        <w:rPr>
          <w:rFonts w:cs="仿宋_GB2312" w:asciiTheme="minorEastAsia" w:hAnsiTheme="minorEastAsia" w:eastAsiaTheme="minorEastAsia"/>
          <w:sz w:val="21"/>
          <w:szCs w:val="21"/>
        </w:rPr>
      </w:pPr>
      <w:bookmarkStart w:id="27" w:name="_Toc6588"/>
      <w:r>
        <w:rPr>
          <w:rFonts w:hint="eastAsia" w:cs="仿宋_GB2312" w:asciiTheme="minorEastAsia" w:hAnsiTheme="minorEastAsia" w:eastAsiaTheme="minorEastAsia"/>
          <w:sz w:val="21"/>
          <w:szCs w:val="21"/>
        </w:rPr>
        <w:t>灯具不同阶段检测项目</w:t>
      </w:r>
      <w:bookmarkEnd w:id="27"/>
    </w:p>
    <w:tbl>
      <w:tblPr>
        <w:tblStyle w:val="8"/>
        <w:tblW w:w="8314" w:type="dxa"/>
        <w:jc w:val="center"/>
        <w:tblLayout w:type="fixed"/>
        <w:tblCellMar>
          <w:top w:w="0" w:type="dxa"/>
          <w:left w:w="0" w:type="dxa"/>
          <w:bottom w:w="0" w:type="dxa"/>
          <w:right w:w="0" w:type="dxa"/>
        </w:tblCellMar>
      </w:tblPr>
      <w:tblGrid>
        <w:gridCol w:w="807"/>
        <w:gridCol w:w="5995"/>
        <w:gridCol w:w="1512"/>
      </w:tblGrid>
      <w:tr>
        <w:tblPrEx>
          <w:tblCellMar>
            <w:top w:w="0" w:type="dxa"/>
            <w:left w:w="0" w:type="dxa"/>
            <w:bottom w:w="0" w:type="dxa"/>
            <w:right w:w="0" w:type="dxa"/>
          </w:tblCellMar>
        </w:tblPrEx>
        <w:trPr>
          <w:trHeight w:val="91" w:hRule="atLeast"/>
          <w:tblHeader/>
          <w:jc w:val="center"/>
        </w:trPr>
        <w:tc>
          <w:tcPr>
            <w:tcW w:w="807" w:type="dxa"/>
            <w:tcBorders>
              <w:top w:val="single" w:color="000000" w:sz="4" w:space="0"/>
              <w:left w:val="single" w:color="000000" w:sz="4" w:space="0"/>
              <w:right w:val="single" w:color="000000" w:sz="4" w:space="0"/>
            </w:tcBorders>
            <w:shd w:val="clear" w:color="auto" w:fill="D7D7D7" w:themeFill="background1" w:themeFillShade="D8"/>
            <w:tcMar>
              <w:top w:w="4" w:type="dxa"/>
              <w:left w:w="4" w:type="dxa"/>
              <w:bottom w:w="0" w:type="dxa"/>
              <w:right w:w="4" w:type="dxa"/>
            </w:tcMar>
            <w:vAlign w:val="center"/>
          </w:tcPr>
          <w:p>
            <w:pPr>
              <w:spacing w:line="360" w:lineRule="auto"/>
              <w:jc w:val="center"/>
              <w:rPr>
                <w:rFonts w:cs="仿宋_GB2312" w:asciiTheme="minorEastAsia" w:hAnsiTheme="minorEastAsia"/>
                <w:b/>
                <w:bCs/>
                <w:szCs w:val="21"/>
              </w:rPr>
            </w:pPr>
            <w:r>
              <w:rPr>
                <w:rFonts w:hint="eastAsia" w:cs="仿宋_GB2312" w:asciiTheme="minorEastAsia" w:hAnsiTheme="minorEastAsia"/>
                <w:b/>
                <w:bCs/>
                <w:szCs w:val="21"/>
              </w:rPr>
              <w:t>序号</w:t>
            </w:r>
          </w:p>
        </w:tc>
        <w:tc>
          <w:tcPr>
            <w:tcW w:w="5995" w:type="dxa"/>
            <w:tcBorders>
              <w:top w:val="single" w:color="000000" w:sz="4" w:space="0"/>
              <w:left w:val="nil"/>
              <w:bottom w:val="single" w:color="auto" w:sz="4" w:space="0"/>
              <w:right w:val="single" w:color="000000" w:sz="4" w:space="0"/>
            </w:tcBorders>
            <w:shd w:val="clear" w:color="auto" w:fill="D7D7D7" w:themeFill="background1" w:themeFillShade="D8"/>
            <w:tcMar>
              <w:top w:w="4" w:type="dxa"/>
              <w:left w:w="4" w:type="dxa"/>
              <w:bottom w:w="0" w:type="dxa"/>
              <w:right w:w="4" w:type="dxa"/>
            </w:tcMar>
            <w:vAlign w:val="center"/>
          </w:tcPr>
          <w:p>
            <w:pPr>
              <w:spacing w:line="360" w:lineRule="auto"/>
              <w:jc w:val="center"/>
              <w:rPr>
                <w:rFonts w:cs="仿宋_GB2312" w:asciiTheme="minorEastAsia" w:hAnsiTheme="minorEastAsia"/>
                <w:b/>
                <w:bCs/>
                <w:szCs w:val="21"/>
              </w:rPr>
            </w:pPr>
            <w:r>
              <w:rPr>
                <w:rFonts w:hint="eastAsia" w:cs="仿宋_GB2312" w:asciiTheme="minorEastAsia" w:hAnsiTheme="minorEastAsia"/>
                <w:b/>
                <w:bCs/>
                <w:szCs w:val="21"/>
              </w:rPr>
              <w:t>检测项目</w:t>
            </w:r>
          </w:p>
        </w:tc>
        <w:tc>
          <w:tcPr>
            <w:tcW w:w="1512" w:type="dxa"/>
            <w:tcBorders>
              <w:top w:val="single" w:color="000000" w:sz="4" w:space="0"/>
              <w:left w:val="nil"/>
              <w:bottom w:val="single" w:color="auto" w:sz="4" w:space="0"/>
              <w:right w:val="single" w:color="000000" w:sz="4" w:space="0"/>
            </w:tcBorders>
            <w:shd w:val="clear" w:color="auto" w:fill="D7D7D7" w:themeFill="background1" w:themeFillShade="D8"/>
            <w:tcMar>
              <w:top w:w="4" w:type="dxa"/>
              <w:left w:w="4" w:type="dxa"/>
              <w:bottom w:w="0" w:type="dxa"/>
              <w:right w:w="4" w:type="dxa"/>
            </w:tcMar>
            <w:vAlign w:val="center"/>
          </w:tcPr>
          <w:p>
            <w:pPr>
              <w:jc w:val="center"/>
              <w:rPr>
                <w:rFonts w:cs="仿宋_GB2312" w:asciiTheme="minorEastAsia" w:hAnsiTheme="minorEastAsia"/>
                <w:b/>
                <w:bCs/>
                <w:szCs w:val="21"/>
              </w:rPr>
            </w:pPr>
            <w:r>
              <w:rPr>
                <w:rFonts w:hint="eastAsia" w:cs="仿宋_GB2312" w:asciiTheme="minorEastAsia" w:hAnsiTheme="minorEastAsia"/>
                <w:b/>
                <w:bCs/>
                <w:szCs w:val="21"/>
              </w:rPr>
              <w:t>质保期期间</w:t>
            </w:r>
          </w:p>
          <w:p>
            <w:pPr>
              <w:jc w:val="center"/>
              <w:rPr>
                <w:rFonts w:cs="仿宋_GB2312" w:asciiTheme="minorEastAsia" w:hAnsiTheme="minorEastAsia"/>
                <w:b/>
                <w:bCs/>
                <w:szCs w:val="21"/>
              </w:rPr>
            </w:pPr>
            <w:r>
              <w:rPr>
                <w:rFonts w:hint="eastAsia" w:cs="仿宋_GB2312" w:asciiTheme="minorEastAsia" w:hAnsiTheme="minorEastAsia"/>
                <w:b/>
                <w:bCs/>
                <w:szCs w:val="21"/>
              </w:rPr>
              <w:t>全部灯具</w:t>
            </w:r>
          </w:p>
          <w:p>
            <w:pPr>
              <w:jc w:val="center"/>
              <w:rPr>
                <w:rFonts w:cs="仿宋_GB2312" w:asciiTheme="minorEastAsia" w:hAnsiTheme="minorEastAsia"/>
                <w:b/>
                <w:bCs/>
                <w:szCs w:val="21"/>
              </w:rPr>
            </w:pPr>
            <w:r>
              <w:rPr>
                <w:rFonts w:hint="eastAsia" w:cs="仿宋_GB2312" w:asciiTheme="minorEastAsia" w:hAnsiTheme="minorEastAsia"/>
                <w:b/>
                <w:bCs/>
                <w:szCs w:val="21"/>
              </w:rPr>
              <w:t>抽检项目</w:t>
            </w:r>
          </w:p>
        </w:tc>
      </w:tr>
      <w:tr>
        <w:tblPrEx>
          <w:tblCellMar>
            <w:top w:w="0" w:type="dxa"/>
            <w:left w:w="0" w:type="dxa"/>
            <w:bottom w:w="0" w:type="dxa"/>
            <w:right w:w="0"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1</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spacing w:line="360" w:lineRule="auto"/>
              <w:jc w:val="left"/>
              <w:rPr>
                <w:rFonts w:cs="仿宋_GB2312" w:asciiTheme="minorEastAsia" w:hAnsiTheme="minorEastAsia"/>
                <w:szCs w:val="21"/>
              </w:rPr>
            </w:pPr>
            <w:r>
              <w:rPr>
                <w:rFonts w:hint="eastAsia" w:cs="仿宋_GB2312" w:asciiTheme="minorEastAsia" w:hAnsiTheme="minorEastAsia"/>
                <w:szCs w:val="21"/>
              </w:rPr>
              <w:t>色度参数：相关色温、波长、色容差（仅2700K-6500K）。</w:t>
            </w:r>
          </w:p>
        </w:tc>
        <w:tc>
          <w:tcPr>
            <w:tcW w:w="1512" w:type="dxa"/>
            <w:tcBorders>
              <w:top w:val="single" w:color="000000" w:sz="4" w:space="0"/>
              <w:left w:val="single" w:color="auto" w:sz="4" w:space="0"/>
              <w:bottom w:val="single" w:color="auto" w:sz="4" w:space="0"/>
              <w:right w:val="single" w:color="000000" w:sz="4" w:space="0"/>
            </w:tcBorders>
            <w:shd w:val="clear" w:color="auto" w:fill="FFFFFF"/>
            <w:tcMar>
              <w:top w:w="4" w:type="dxa"/>
              <w:left w:w="4" w:type="dxa"/>
              <w:bottom w:w="0" w:type="dxa"/>
              <w:right w:w="4" w:type="dxa"/>
            </w:tcMar>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w:t>
            </w:r>
          </w:p>
        </w:tc>
      </w:tr>
      <w:tr>
        <w:tblPrEx>
          <w:tblCellMar>
            <w:top w:w="0" w:type="dxa"/>
            <w:left w:w="0" w:type="dxa"/>
            <w:bottom w:w="0" w:type="dxa"/>
            <w:right w:w="0"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2</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spacing w:line="360" w:lineRule="auto"/>
              <w:jc w:val="left"/>
              <w:rPr>
                <w:rFonts w:cs="仿宋_GB2312" w:asciiTheme="minorEastAsia" w:hAnsiTheme="minorEastAsia"/>
                <w:szCs w:val="21"/>
              </w:rPr>
            </w:pPr>
            <w:r>
              <w:rPr>
                <w:rFonts w:hint="eastAsia" w:cs="仿宋_GB2312" w:asciiTheme="minorEastAsia" w:hAnsiTheme="minorEastAsia"/>
                <w:szCs w:val="21"/>
              </w:rPr>
              <w:t>电参数： 电压、电流、功率、功率因数（如果为交流供电）</w:t>
            </w:r>
          </w:p>
        </w:tc>
        <w:tc>
          <w:tcPr>
            <w:tcW w:w="1512"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w:t>
            </w:r>
          </w:p>
        </w:tc>
      </w:tr>
      <w:tr>
        <w:tblPrEx>
          <w:tblCellMar>
            <w:top w:w="0" w:type="dxa"/>
            <w:left w:w="0" w:type="dxa"/>
            <w:bottom w:w="0" w:type="dxa"/>
            <w:right w:w="0" w:type="dxa"/>
          </w:tblCellMar>
        </w:tblPrEx>
        <w:trPr>
          <w:trHeight w:val="468"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3</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spacing w:line="360" w:lineRule="auto"/>
              <w:jc w:val="left"/>
              <w:rPr>
                <w:rFonts w:cs="仿宋_GB2312" w:asciiTheme="minorEastAsia" w:hAnsiTheme="minorEastAsia"/>
                <w:szCs w:val="21"/>
              </w:rPr>
            </w:pPr>
            <w:r>
              <w:rPr>
                <w:rFonts w:hint="eastAsia" w:cs="仿宋_GB2312" w:asciiTheme="minorEastAsia" w:hAnsiTheme="minorEastAsia"/>
                <w:szCs w:val="21"/>
              </w:rPr>
              <w:t>光度参数：配光曲线、光强、光束角/半峰发散角、光通量、整灯光效</w:t>
            </w:r>
          </w:p>
        </w:tc>
        <w:tc>
          <w:tcPr>
            <w:tcW w:w="1512"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w:t>
            </w:r>
          </w:p>
        </w:tc>
      </w:tr>
      <w:tr>
        <w:tblPrEx>
          <w:tblCellMar>
            <w:top w:w="0" w:type="dxa"/>
            <w:left w:w="0" w:type="dxa"/>
            <w:bottom w:w="0" w:type="dxa"/>
            <w:right w:w="0"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4</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spacing w:line="360" w:lineRule="auto"/>
              <w:jc w:val="left"/>
              <w:rPr>
                <w:rFonts w:cs="仿宋_GB2312" w:asciiTheme="minorEastAsia" w:hAnsiTheme="minorEastAsia"/>
                <w:szCs w:val="21"/>
              </w:rPr>
            </w:pPr>
            <w:r>
              <w:rPr>
                <w:rFonts w:hint="eastAsia" w:cs="仿宋_GB2312" w:asciiTheme="minorEastAsia" w:hAnsiTheme="minorEastAsia"/>
                <w:szCs w:val="21"/>
              </w:rPr>
              <w:t>外部接线和内部接线</w:t>
            </w:r>
          </w:p>
        </w:tc>
        <w:tc>
          <w:tcPr>
            <w:tcW w:w="1512"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w:t>
            </w:r>
          </w:p>
        </w:tc>
      </w:tr>
      <w:tr>
        <w:tblPrEx>
          <w:tblCellMar>
            <w:top w:w="0" w:type="dxa"/>
            <w:left w:w="0" w:type="dxa"/>
            <w:bottom w:w="0" w:type="dxa"/>
            <w:right w:w="0"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5</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spacing w:line="360" w:lineRule="auto"/>
              <w:jc w:val="left"/>
              <w:rPr>
                <w:rFonts w:cs="仿宋_GB2312" w:asciiTheme="minorEastAsia" w:hAnsiTheme="minorEastAsia"/>
                <w:b/>
                <w:bCs/>
                <w:szCs w:val="21"/>
                <w:u w:val="single"/>
              </w:rPr>
            </w:pPr>
            <w:r>
              <w:rPr>
                <w:rFonts w:hint="eastAsia" w:cs="仿宋_GB2312" w:asciiTheme="minorEastAsia" w:hAnsiTheme="minorEastAsia"/>
                <w:b/>
                <w:bCs/>
                <w:szCs w:val="21"/>
                <w:u w:val="single"/>
              </w:rPr>
              <w:t>接地规定：</w:t>
            </w:r>
          </w:p>
          <w:p>
            <w:pPr>
              <w:spacing w:line="360" w:lineRule="auto"/>
              <w:rPr>
                <w:rFonts w:cs="仿宋_GB2312" w:asciiTheme="minorEastAsia" w:hAnsiTheme="minorEastAsia"/>
                <w:b/>
                <w:bCs/>
                <w:szCs w:val="21"/>
                <w:u w:val="single"/>
              </w:rPr>
            </w:pPr>
            <w:r>
              <w:rPr>
                <w:rFonts w:hint="eastAsia" w:cs="仿宋_GB2312" w:asciiTheme="minorEastAsia" w:hAnsiTheme="minorEastAsia"/>
                <w:b/>
                <w:bCs/>
                <w:szCs w:val="21"/>
                <w:u w:val="single"/>
              </w:rPr>
              <w:t>220V的灯具需检测，24V等安全电压灯具无需检测。</w:t>
            </w:r>
          </w:p>
        </w:tc>
        <w:tc>
          <w:tcPr>
            <w:tcW w:w="1512" w:type="dxa"/>
            <w:tcBorders>
              <w:top w:val="single" w:color="000000" w:sz="4" w:space="0"/>
              <w:left w:val="single" w:color="auto" w:sz="4" w:space="0"/>
              <w:bottom w:val="single" w:color="000000" w:sz="4" w:space="0"/>
              <w:right w:val="single" w:color="000000" w:sz="4" w:space="0"/>
            </w:tcBorders>
            <w:shd w:val="clear" w:color="auto" w:fill="auto"/>
            <w:tcMar>
              <w:top w:w="4" w:type="dxa"/>
              <w:left w:w="4" w:type="dxa"/>
              <w:bottom w:w="0" w:type="dxa"/>
              <w:right w:w="4" w:type="dxa"/>
            </w:tcMar>
            <w:vAlign w:val="center"/>
          </w:tcPr>
          <w:p>
            <w:pPr>
              <w:widowControl/>
              <w:spacing w:line="360" w:lineRule="auto"/>
              <w:jc w:val="center"/>
              <w:textAlignment w:val="center"/>
              <w:rPr>
                <w:rFonts w:cs="仿宋_GB2312" w:asciiTheme="minorEastAsia" w:hAnsiTheme="minorEastAsia"/>
                <w:szCs w:val="21"/>
              </w:rPr>
            </w:pPr>
            <w:r>
              <w:rPr>
                <w:rFonts w:hint="eastAsia" w:cs="仿宋_GB2312" w:asciiTheme="minorEastAsia" w:hAnsiTheme="minorEastAsia"/>
                <w:szCs w:val="21"/>
              </w:rPr>
              <w:t>√</w:t>
            </w:r>
          </w:p>
        </w:tc>
      </w:tr>
      <w:tr>
        <w:tblPrEx>
          <w:tblCellMar>
            <w:top w:w="0" w:type="dxa"/>
            <w:left w:w="0" w:type="dxa"/>
            <w:bottom w:w="0" w:type="dxa"/>
            <w:right w:w="0" w:type="dxa"/>
          </w:tblCellMar>
        </w:tblPrEx>
        <w:trPr>
          <w:trHeight w:val="494"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6</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spacing w:line="360" w:lineRule="auto"/>
              <w:rPr>
                <w:rFonts w:cs="仿宋_GB2312" w:asciiTheme="minorEastAsia" w:hAnsiTheme="minorEastAsia"/>
                <w:b/>
                <w:bCs/>
                <w:szCs w:val="21"/>
                <w:u w:val="single"/>
              </w:rPr>
            </w:pPr>
            <w:r>
              <w:rPr>
                <w:rFonts w:hint="eastAsia" w:cs="仿宋_GB2312" w:asciiTheme="minorEastAsia" w:hAnsiTheme="minorEastAsia"/>
                <w:b/>
                <w:bCs/>
                <w:szCs w:val="21"/>
                <w:u w:val="single"/>
              </w:rPr>
              <w:t>防尘、防固体异物和防水：</w:t>
            </w:r>
          </w:p>
          <w:p>
            <w:pPr>
              <w:spacing w:line="360" w:lineRule="auto"/>
              <w:rPr>
                <w:rFonts w:hint="eastAsia" w:cs="仿宋_GB2312" w:asciiTheme="minorEastAsia" w:hAnsiTheme="minorEastAsia" w:eastAsiaTheme="minorEastAsia"/>
                <w:szCs w:val="21"/>
                <w:lang w:val="en-US" w:eastAsia="zh-CN"/>
              </w:rPr>
            </w:pPr>
            <w:r>
              <w:rPr>
                <w:rFonts w:hint="eastAsia" w:cs="仿宋_GB2312" w:asciiTheme="minorEastAsia" w:hAnsiTheme="minorEastAsia"/>
                <w:b/>
                <w:bCs/>
                <w:szCs w:val="21"/>
                <w:u w:val="single"/>
              </w:rPr>
              <w:t>一般灯具≥IP65。</w:t>
            </w:r>
            <w:r>
              <w:rPr>
                <w:rFonts w:hint="eastAsia" w:cs="仿宋_GB2312" w:asciiTheme="minorEastAsia" w:hAnsiTheme="minorEastAsia"/>
                <w:b/>
                <w:bCs/>
                <w:szCs w:val="21"/>
                <w:u w:val="single"/>
                <w:lang w:val="en-US" w:eastAsia="zh-CN"/>
              </w:rPr>
              <w:t>地埋灯具</w:t>
            </w:r>
            <w:r>
              <w:rPr>
                <w:rFonts w:hint="eastAsia" w:cs="仿宋_GB2312" w:asciiTheme="minorEastAsia" w:hAnsiTheme="minorEastAsia"/>
                <w:b/>
                <w:bCs/>
                <w:szCs w:val="21"/>
                <w:u w:val="single"/>
              </w:rPr>
              <w:t>≥IP6</w:t>
            </w:r>
            <w:r>
              <w:rPr>
                <w:rFonts w:hint="eastAsia" w:cs="仿宋_GB2312" w:asciiTheme="minorEastAsia" w:hAnsiTheme="minorEastAsia"/>
                <w:b/>
                <w:bCs/>
                <w:szCs w:val="21"/>
                <w:u w:val="single"/>
                <w:lang w:val="en-US" w:eastAsia="zh-CN"/>
              </w:rPr>
              <w:t>7</w:t>
            </w:r>
          </w:p>
        </w:tc>
        <w:tc>
          <w:tcPr>
            <w:tcW w:w="1512" w:type="dxa"/>
            <w:tcBorders>
              <w:top w:val="single" w:color="000000" w:sz="4" w:space="0"/>
              <w:left w:val="single" w:color="auto" w:sz="4" w:space="0"/>
              <w:bottom w:val="single" w:color="000000" w:sz="4" w:space="0"/>
              <w:right w:val="single" w:color="000000" w:sz="4" w:space="0"/>
            </w:tcBorders>
            <w:shd w:val="clear" w:color="auto" w:fill="auto"/>
            <w:tcMar>
              <w:top w:w="4" w:type="dxa"/>
              <w:left w:w="4" w:type="dxa"/>
              <w:bottom w:w="0" w:type="dxa"/>
              <w:right w:w="4" w:type="dxa"/>
            </w:tcMar>
            <w:vAlign w:val="center"/>
          </w:tcPr>
          <w:p>
            <w:pPr>
              <w:widowControl/>
              <w:spacing w:line="360" w:lineRule="auto"/>
              <w:jc w:val="center"/>
              <w:textAlignment w:val="center"/>
              <w:rPr>
                <w:rFonts w:cs="仿宋_GB2312" w:asciiTheme="minorEastAsia" w:hAnsiTheme="minorEastAsia"/>
                <w:szCs w:val="21"/>
              </w:rPr>
            </w:pPr>
            <w:r>
              <w:rPr>
                <w:rFonts w:hint="eastAsia" w:cs="仿宋_GB2312" w:asciiTheme="minorEastAsia" w:hAnsiTheme="minorEastAsia"/>
                <w:szCs w:val="21"/>
              </w:rPr>
              <w:t>√</w:t>
            </w:r>
          </w:p>
        </w:tc>
      </w:tr>
      <w:tr>
        <w:tblPrEx>
          <w:tblCellMar>
            <w:top w:w="0" w:type="dxa"/>
            <w:left w:w="0" w:type="dxa"/>
            <w:bottom w:w="0" w:type="dxa"/>
            <w:right w:w="0" w:type="dxa"/>
          </w:tblCellMar>
        </w:tblPrEx>
        <w:trPr>
          <w:trHeight w:val="267"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7</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spacing w:line="360" w:lineRule="auto"/>
              <w:jc w:val="left"/>
              <w:rPr>
                <w:rFonts w:cs="仿宋_GB2312" w:asciiTheme="minorEastAsia" w:hAnsiTheme="minorEastAsia"/>
                <w:szCs w:val="21"/>
              </w:rPr>
            </w:pPr>
            <w:r>
              <w:rPr>
                <w:rFonts w:hint="eastAsia" w:cs="仿宋_GB2312" w:asciiTheme="minorEastAsia" w:hAnsiTheme="minorEastAsia"/>
                <w:szCs w:val="21"/>
              </w:rPr>
              <w:t>潮湿后的绝缘电阻和电气强度</w:t>
            </w:r>
          </w:p>
        </w:tc>
        <w:tc>
          <w:tcPr>
            <w:tcW w:w="1512"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spacing w:line="360" w:lineRule="auto"/>
              <w:jc w:val="center"/>
              <w:rPr>
                <w:rFonts w:cs="仿宋_GB2312" w:asciiTheme="minorEastAsia" w:hAnsiTheme="minorEastAsia"/>
                <w:szCs w:val="21"/>
              </w:rPr>
            </w:pPr>
            <w:r>
              <w:rPr>
                <w:rFonts w:hint="eastAsia" w:cs="仿宋_GB2312" w:asciiTheme="minorEastAsia" w:hAnsiTheme="minorEastAsia"/>
                <w:szCs w:val="21"/>
              </w:rPr>
              <w:t>√</w:t>
            </w:r>
          </w:p>
        </w:tc>
      </w:tr>
    </w:tbl>
    <w:p>
      <w:pPr>
        <w:pStyle w:val="4"/>
        <w:numPr>
          <w:ilvl w:val="0"/>
          <w:numId w:val="33"/>
        </w:numPr>
        <w:spacing w:line="360" w:lineRule="auto"/>
        <w:ind w:leftChars="0" w:hanging="5" w:firstLineChars="0"/>
        <w:rPr>
          <w:rFonts w:cs="仿宋_GB2312" w:asciiTheme="minorEastAsia" w:hAnsiTheme="minorEastAsia" w:eastAsiaTheme="minorEastAsia"/>
          <w:sz w:val="21"/>
          <w:szCs w:val="21"/>
        </w:rPr>
      </w:pPr>
      <w:bookmarkStart w:id="28" w:name="_Toc12436"/>
      <w:r>
        <w:rPr>
          <w:rFonts w:hint="eastAsia" w:cs="仿宋_GB2312" w:asciiTheme="minorEastAsia" w:hAnsiTheme="minorEastAsia" w:eastAsiaTheme="minorEastAsia"/>
          <w:sz w:val="21"/>
          <w:szCs w:val="21"/>
        </w:rPr>
        <w:t>质保期期间灯具其他抽检项目</w:t>
      </w:r>
      <w:bookmarkEnd w:id="28"/>
    </w:p>
    <w:tbl>
      <w:tblPr>
        <w:tblStyle w:val="8"/>
        <w:tblW w:w="8298" w:type="dxa"/>
        <w:jc w:val="center"/>
        <w:tblLayout w:type="fixed"/>
        <w:tblCellMar>
          <w:top w:w="15" w:type="dxa"/>
          <w:left w:w="15" w:type="dxa"/>
          <w:bottom w:w="15" w:type="dxa"/>
          <w:right w:w="15" w:type="dxa"/>
        </w:tblCellMar>
      </w:tblPr>
      <w:tblGrid>
        <w:gridCol w:w="488"/>
        <w:gridCol w:w="1861"/>
        <w:gridCol w:w="5949"/>
      </w:tblGrid>
      <w:tr>
        <w:tblPrEx>
          <w:tblCellMar>
            <w:top w:w="15" w:type="dxa"/>
            <w:left w:w="15" w:type="dxa"/>
            <w:bottom w:w="15" w:type="dxa"/>
            <w:right w:w="15" w:type="dxa"/>
          </w:tblCellMar>
        </w:tblPrEx>
        <w:trPr>
          <w:trHeight w:val="681" w:hRule="atLeast"/>
          <w:tblHeader/>
          <w:jc w:val="center"/>
        </w:trPr>
        <w:tc>
          <w:tcPr>
            <w:tcW w:w="48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spacing w:line="360" w:lineRule="auto"/>
              <w:jc w:val="center"/>
              <w:rPr>
                <w:rFonts w:cs="仿宋_GB2312" w:asciiTheme="minorEastAsia" w:hAnsiTheme="minorEastAsia"/>
                <w:b/>
                <w:szCs w:val="21"/>
              </w:rPr>
            </w:pPr>
            <w:r>
              <w:rPr>
                <w:rFonts w:hint="eastAsia" w:cs="仿宋_GB2312" w:asciiTheme="minorEastAsia" w:hAnsiTheme="minorEastAsia"/>
                <w:b/>
                <w:bCs/>
                <w:szCs w:val="21"/>
              </w:rPr>
              <w:t>序号</w:t>
            </w:r>
          </w:p>
        </w:tc>
        <w:tc>
          <w:tcPr>
            <w:tcW w:w="1861"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spacing w:line="360" w:lineRule="auto"/>
              <w:jc w:val="center"/>
              <w:rPr>
                <w:rFonts w:cs="仿宋_GB2312" w:asciiTheme="minorEastAsia" w:hAnsiTheme="minorEastAsia"/>
                <w:b/>
                <w:szCs w:val="21"/>
              </w:rPr>
            </w:pPr>
            <w:r>
              <w:rPr>
                <w:rFonts w:hint="eastAsia" w:cs="仿宋_GB2312" w:asciiTheme="minorEastAsia" w:hAnsiTheme="minorEastAsia"/>
                <w:b/>
                <w:bCs/>
                <w:szCs w:val="21"/>
              </w:rPr>
              <w:t>检测对象</w:t>
            </w:r>
          </w:p>
        </w:tc>
        <w:tc>
          <w:tcPr>
            <w:tcW w:w="594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widowControl/>
              <w:spacing w:line="360" w:lineRule="auto"/>
              <w:jc w:val="center"/>
              <w:textAlignment w:val="center"/>
              <w:rPr>
                <w:rFonts w:cs="仿宋_GB2312" w:asciiTheme="minorEastAsia" w:hAnsiTheme="minorEastAsia"/>
                <w:b/>
                <w:szCs w:val="21"/>
              </w:rPr>
            </w:pPr>
            <w:r>
              <w:rPr>
                <w:rFonts w:hint="eastAsia" w:cs="仿宋_GB2312" w:asciiTheme="minorEastAsia" w:hAnsiTheme="minorEastAsia"/>
                <w:b/>
                <w:bCs/>
                <w:szCs w:val="21"/>
              </w:rPr>
              <w:t>检测项目</w:t>
            </w:r>
          </w:p>
        </w:tc>
      </w:tr>
      <w:tr>
        <w:tblPrEx>
          <w:tblCellMar>
            <w:top w:w="15" w:type="dxa"/>
            <w:left w:w="15" w:type="dxa"/>
            <w:bottom w:w="15" w:type="dxa"/>
            <w:right w:w="15" w:type="dxa"/>
          </w:tblCellMar>
        </w:tblPrEx>
        <w:trPr>
          <w:trHeight w:val="539" w:hRule="atLeast"/>
          <w:jc w:val="center"/>
        </w:trPr>
        <w:tc>
          <w:tcPr>
            <w:tcW w:w="488" w:type="dxa"/>
            <w:tcBorders>
              <w:top w:val="single" w:color="000000" w:sz="4" w:space="0"/>
              <w:left w:val="single" w:color="000000" w:sz="4" w:space="0"/>
              <w:right w:val="single" w:color="000000" w:sz="4" w:space="0"/>
            </w:tcBorders>
            <w:shd w:val="clear" w:color="auto" w:fill="auto"/>
            <w:vAlign w:val="center"/>
          </w:tcPr>
          <w:p>
            <w:pPr>
              <w:widowControl/>
              <w:spacing w:line="360" w:lineRule="auto"/>
              <w:jc w:val="center"/>
              <w:textAlignment w:val="center"/>
              <w:rPr>
                <w:rFonts w:cs="仿宋_GB2312" w:asciiTheme="minorEastAsia" w:hAnsiTheme="minorEastAsia"/>
                <w:szCs w:val="21"/>
              </w:rPr>
            </w:pPr>
            <w:r>
              <w:rPr>
                <w:rFonts w:hint="eastAsia" w:cs="仿宋_GB2312" w:asciiTheme="minorEastAsia" w:hAnsiTheme="minorEastAsia"/>
                <w:kern w:val="0"/>
                <w:szCs w:val="21"/>
              </w:rPr>
              <w:t>1</w:t>
            </w:r>
          </w:p>
        </w:tc>
        <w:tc>
          <w:tcPr>
            <w:tcW w:w="1861" w:type="dxa"/>
            <w:tcBorders>
              <w:top w:val="single" w:color="000000" w:sz="4" w:space="0"/>
              <w:left w:val="single" w:color="000000" w:sz="4" w:space="0"/>
              <w:right w:val="single" w:color="000000" w:sz="4" w:space="0"/>
            </w:tcBorders>
            <w:shd w:val="clear" w:color="auto" w:fill="auto"/>
            <w:vAlign w:val="center"/>
          </w:tcPr>
          <w:p>
            <w:pPr>
              <w:widowControl/>
              <w:spacing w:line="360" w:lineRule="auto"/>
              <w:jc w:val="center"/>
              <w:textAlignment w:val="center"/>
              <w:rPr>
                <w:rFonts w:cs="仿宋_GB2312" w:asciiTheme="minorEastAsia" w:hAnsiTheme="minorEastAsia"/>
                <w:szCs w:val="21"/>
              </w:rPr>
            </w:pPr>
            <w:r>
              <w:rPr>
                <w:rFonts w:hint="eastAsia" w:cs="仿宋_GB2312" w:asciiTheme="minorEastAsia" w:hAnsiTheme="minorEastAsia"/>
                <w:kern w:val="0"/>
                <w:szCs w:val="21"/>
              </w:rPr>
              <w:t>外壳、外露安装支架、螺丝螺帽等附件</w:t>
            </w:r>
          </w:p>
        </w:tc>
        <w:tc>
          <w:tcPr>
            <w:tcW w:w="5949"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60" w:lineRule="auto"/>
              <w:jc w:val="left"/>
              <w:textAlignment w:val="center"/>
              <w:rPr>
                <w:rFonts w:cs="仿宋_GB2312" w:asciiTheme="minorEastAsia" w:hAnsiTheme="minorEastAsia"/>
                <w:szCs w:val="21"/>
              </w:rPr>
            </w:pPr>
            <w:r>
              <w:rPr>
                <w:rFonts w:hint="eastAsia" w:cs="仿宋_GB2312" w:asciiTheme="minorEastAsia" w:hAnsiTheme="minorEastAsia"/>
                <w:kern w:val="0"/>
                <w:szCs w:val="21"/>
              </w:rPr>
              <w:t>1、必须采用高压铸铝合金、拉伸铝合金、以及304不锈钢等材质。</w:t>
            </w:r>
          </w:p>
        </w:tc>
      </w:tr>
      <w:tr>
        <w:tblPrEx>
          <w:tblCellMar>
            <w:top w:w="15" w:type="dxa"/>
            <w:left w:w="15" w:type="dxa"/>
            <w:bottom w:w="15" w:type="dxa"/>
            <w:right w:w="15" w:type="dxa"/>
          </w:tblCellMar>
        </w:tblPrEx>
        <w:trPr>
          <w:trHeight w:val="445" w:hRule="atLeast"/>
          <w:jc w:val="center"/>
        </w:trPr>
        <w:tc>
          <w:tcPr>
            <w:tcW w:w="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eastAsia" w:cs="仿宋_GB2312" w:asciiTheme="minorEastAsia" w:hAnsiTheme="minorEastAsia" w:eastAsiaTheme="minorEastAsia"/>
                <w:szCs w:val="21"/>
                <w:lang w:eastAsia="zh-CN"/>
              </w:rPr>
            </w:pPr>
            <w:r>
              <w:rPr>
                <w:rFonts w:hint="eastAsia" w:cs="仿宋_GB2312" w:asciiTheme="minorEastAsia" w:hAnsiTheme="minorEastAsia"/>
                <w:kern w:val="0"/>
                <w:szCs w:val="21"/>
                <w:lang w:val="en-US" w:eastAsia="zh-CN"/>
              </w:rPr>
              <w:t>2</w:t>
            </w: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cs="仿宋_GB2312" w:asciiTheme="minorEastAsia" w:hAnsiTheme="minorEastAsia"/>
                <w:szCs w:val="21"/>
              </w:rPr>
            </w:pPr>
            <w:r>
              <w:rPr>
                <w:rFonts w:hint="eastAsia" w:cs="仿宋_GB2312" w:asciiTheme="minorEastAsia" w:hAnsiTheme="minorEastAsia"/>
                <w:kern w:val="0"/>
                <w:szCs w:val="21"/>
              </w:rPr>
              <w:t>电气安全</w:t>
            </w: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cs="仿宋_GB2312" w:asciiTheme="minorEastAsia" w:hAnsiTheme="minorEastAsia"/>
                <w:szCs w:val="21"/>
              </w:rPr>
            </w:pPr>
            <w:r>
              <w:rPr>
                <w:rFonts w:hint="eastAsia" w:cs="仿宋_GB2312" w:asciiTheme="minorEastAsia" w:hAnsiTheme="minorEastAsia"/>
                <w:kern w:val="0"/>
                <w:szCs w:val="21"/>
              </w:rPr>
              <w:t>1、外部接线和内部接线</w:t>
            </w:r>
          </w:p>
        </w:tc>
      </w:tr>
      <w:tr>
        <w:tblPrEx>
          <w:tblCellMar>
            <w:top w:w="15" w:type="dxa"/>
            <w:left w:w="15" w:type="dxa"/>
            <w:bottom w:w="15" w:type="dxa"/>
            <w:right w:w="15" w:type="dxa"/>
          </w:tblCellMar>
        </w:tblPrEx>
        <w:trPr>
          <w:trHeight w:val="445" w:hRule="atLeast"/>
          <w:jc w:val="center"/>
        </w:trPr>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cs="仿宋_GB2312" w:asciiTheme="minorEastAsia" w:hAnsiTheme="minorEastAsia"/>
                <w:szCs w:val="21"/>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cs="仿宋_GB2312" w:asciiTheme="minorEastAsia" w:hAnsiTheme="minorEastAsia"/>
                <w:szCs w:val="21"/>
              </w:rPr>
            </w:pP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cs="仿宋_GB2312" w:asciiTheme="minorEastAsia" w:hAnsiTheme="minorEastAsia"/>
                <w:szCs w:val="21"/>
              </w:rPr>
            </w:pPr>
            <w:r>
              <w:rPr>
                <w:rFonts w:hint="eastAsia" w:cs="仿宋_GB2312" w:asciiTheme="minorEastAsia" w:hAnsiTheme="minorEastAsia"/>
                <w:kern w:val="0"/>
                <w:szCs w:val="21"/>
              </w:rPr>
              <w:t>2、接地规定：220V的灯具需检测，24V等安全电压灯具无需检测</w:t>
            </w:r>
          </w:p>
        </w:tc>
      </w:tr>
      <w:tr>
        <w:tblPrEx>
          <w:tblCellMar>
            <w:top w:w="15" w:type="dxa"/>
            <w:left w:w="15" w:type="dxa"/>
            <w:bottom w:w="15" w:type="dxa"/>
            <w:right w:w="15" w:type="dxa"/>
          </w:tblCellMar>
        </w:tblPrEx>
        <w:trPr>
          <w:trHeight w:val="357" w:hRule="atLeast"/>
          <w:jc w:val="center"/>
        </w:trPr>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cs="仿宋_GB2312" w:asciiTheme="minorEastAsia" w:hAnsiTheme="minorEastAsia"/>
                <w:szCs w:val="21"/>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cs="仿宋_GB2312" w:asciiTheme="minorEastAsia" w:hAnsiTheme="minorEastAsia"/>
                <w:szCs w:val="21"/>
              </w:rPr>
            </w:pPr>
          </w:p>
        </w:tc>
        <w:tc>
          <w:tcPr>
            <w:tcW w:w="5949"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60" w:lineRule="auto"/>
              <w:jc w:val="left"/>
              <w:textAlignment w:val="center"/>
              <w:rPr>
                <w:rFonts w:cs="仿宋_GB2312" w:asciiTheme="minorEastAsia" w:hAnsiTheme="minorEastAsia"/>
                <w:szCs w:val="21"/>
              </w:rPr>
            </w:pPr>
            <w:r>
              <w:rPr>
                <w:rFonts w:hint="eastAsia" w:cs="仿宋_GB2312" w:asciiTheme="minorEastAsia" w:hAnsiTheme="minorEastAsia"/>
                <w:kern w:val="0"/>
                <w:szCs w:val="21"/>
              </w:rPr>
              <w:t>3、潮湿后的绝缘电阻和电气强度</w:t>
            </w:r>
          </w:p>
        </w:tc>
      </w:tr>
      <w:tr>
        <w:tblPrEx>
          <w:tblCellMar>
            <w:top w:w="15" w:type="dxa"/>
            <w:left w:w="15" w:type="dxa"/>
            <w:bottom w:w="15" w:type="dxa"/>
            <w:right w:w="15" w:type="dxa"/>
          </w:tblCellMar>
        </w:tblPrEx>
        <w:trPr>
          <w:trHeight w:val="357" w:hRule="atLeast"/>
          <w:jc w:val="center"/>
        </w:trPr>
        <w:tc>
          <w:tcPr>
            <w:tcW w:w="488" w:type="dxa"/>
            <w:vMerge w:val="continue"/>
            <w:tcBorders>
              <w:left w:val="single" w:color="000000" w:sz="4" w:space="0"/>
              <w:bottom w:val="single" w:color="000000" w:sz="4" w:space="0"/>
              <w:right w:val="single" w:color="000000" w:sz="4" w:space="0"/>
            </w:tcBorders>
            <w:shd w:val="clear" w:color="auto" w:fill="auto"/>
            <w:vAlign w:val="center"/>
          </w:tcPr>
          <w:p>
            <w:pPr>
              <w:spacing w:line="360" w:lineRule="auto"/>
              <w:jc w:val="center"/>
              <w:rPr>
                <w:rFonts w:cs="仿宋_GB2312" w:asciiTheme="minorEastAsia" w:hAnsiTheme="minorEastAsia"/>
                <w:szCs w:val="21"/>
              </w:rPr>
            </w:pPr>
          </w:p>
        </w:tc>
        <w:tc>
          <w:tcPr>
            <w:tcW w:w="1861" w:type="dxa"/>
            <w:vMerge w:val="continue"/>
            <w:tcBorders>
              <w:left w:val="single" w:color="000000" w:sz="4" w:space="0"/>
              <w:bottom w:val="single" w:color="000000" w:sz="4" w:space="0"/>
              <w:right w:val="single" w:color="000000" w:sz="4" w:space="0"/>
            </w:tcBorders>
            <w:shd w:val="clear" w:color="auto" w:fill="auto"/>
            <w:vAlign w:val="center"/>
          </w:tcPr>
          <w:p>
            <w:pPr>
              <w:spacing w:line="360" w:lineRule="auto"/>
              <w:jc w:val="center"/>
              <w:rPr>
                <w:rFonts w:cs="仿宋_GB2312" w:asciiTheme="minorEastAsia" w:hAnsiTheme="minorEastAsia"/>
                <w:szCs w:val="21"/>
              </w:rPr>
            </w:pPr>
          </w:p>
        </w:tc>
        <w:tc>
          <w:tcPr>
            <w:tcW w:w="5949"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cs="仿宋_GB2312" w:asciiTheme="minorEastAsia" w:hAnsiTheme="minorEastAsia"/>
                <w:kern w:val="0"/>
                <w:szCs w:val="21"/>
              </w:rPr>
            </w:pPr>
            <w:r>
              <w:rPr>
                <w:rFonts w:hint="eastAsia" w:cs="仿宋_GB2312" w:asciiTheme="minorEastAsia" w:hAnsiTheme="minorEastAsia"/>
                <w:kern w:val="0"/>
                <w:szCs w:val="21"/>
              </w:rPr>
              <w:t>4、其他：防雷击、防静电能力、电磁干扰、灯具外壳温升等</w:t>
            </w:r>
          </w:p>
        </w:tc>
      </w:tr>
      <w:tr>
        <w:tblPrEx>
          <w:tblCellMar>
            <w:top w:w="15" w:type="dxa"/>
            <w:left w:w="15" w:type="dxa"/>
            <w:bottom w:w="15" w:type="dxa"/>
            <w:right w:w="15" w:type="dxa"/>
          </w:tblCellMar>
        </w:tblPrEx>
        <w:trPr>
          <w:trHeight w:val="362" w:hRule="atLeast"/>
          <w:jc w:val="center"/>
        </w:trPr>
        <w:tc>
          <w:tcPr>
            <w:tcW w:w="488" w:type="dxa"/>
            <w:tcBorders>
              <w:top w:val="single" w:color="000000" w:sz="4" w:space="0"/>
              <w:left w:val="single" w:color="000000" w:sz="4" w:space="0"/>
              <w:right w:val="single" w:color="000000" w:sz="4" w:space="0"/>
            </w:tcBorders>
            <w:shd w:val="clear" w:color="auto" w:fill="auto"/>
            <w:vAlign w:val="center"/>
          </w:tcPr>
          <w:p>
            <w:pPr>
              <w:widowControl/>
              <w:spacing w:line="360" w:lineRule="auto"/>
              <w:jc w:val="center"/>
              <w:textAlignment w:val="center"/>
              <w:rPr>
                <w:rFonts w:hint="eastAsia" w:cs="仿宋_GB2312" w:asciiTheme="minorEastAsia" w:hAnsiTheme="minorEastAsia" w:eastAsiaTheme="minorEastAsia"/>
                <w:szCs w:val="21"/>
                <w:lang w:eastAsia="zh-CN"/>
              </w:rPr>
            </w:pPr>
            <w:r>
              <w:rPr>
                <w:rFonts w:hint="eastAsia" w:cs="仿宋_GB2312" w:asciiTheme="minorEastAsia" w:hAnsiTheme="minorEastAsia"/>
                <w:kern w:val="0"/>
                <w:szCs w:val="21"/>
                <w:lang w:val="en-US" w:eastAsia="zh-CN"/>
              </w:rPr>
              <w:t>3</w:t>
            </w:r>
          </w:p>
        </w:tc>
        <w:tc>
          <w:tcPr>
            <w:tcW w:w="1861" w:type="dxa"/>
            <w:tcBorders>
              <w:top w:val="single" w:color="000000" w:sz="4" w:space="0"/>
              <w:left w:val="single" w:color="000000" w:sz="4" w:space="0"/>
              <w:right w:val="single" w:color="000000" w:sz="4" w:space="0"/>
            </w:tcBorders>
            <w:shd w:val="clear" w:color="auto" w:fill="auto"/>
            <w:vAlign w:val="center"/>
          </w:tcPr>
          <w:p>
            <w:pPr>
              <w:widowControl/>
              <w:spacing w:line="360" w:lineRule="auto"/>
              <w:jc w:val="center"/>
              <w:textAlignment w:val="center"/>
              <w:rPr>
                <w:rFonts w:cs="仿宋_GB2312" w:asciiTheme="minorEastAsia" w:hAnsiTheme="minorEastAsia"/>
                <w:szCs w:val="21"/>
              </w:rPr>
            </w:pPr>
            <w:r>
              <w:rPr>
                <w:rFonts w:hint="eastAsia" w:cs="仿宋_GB2312" w:asciiTheme="minorEastAsia" w:hAnsiTheme="minorEastAsia"/>
                <w:kern w:val="0"/>
                <w:szCs w:val="21"/>
              </w:rPr>
              <w:t>防护等级</w:t>
            </w: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34"/>
              </w:numPr>
              <w:spacing w:line="360" w:lineRule="auto"/>
              <w:jc w:val="left"/>
              <w:textAlignment w:val="center"/>
              <w:rPr>
                <w:rFonts w:cs="仿宋_GB2312" w:asciiTheme="minorEastAsia" w:hAnsiTheme="minorEastAsia"/>
                <w:szCs w:val="21"/>
              </w:rPr>
            </w:pPr>
            <w:r>
              <w:rPr>
                <w:rFonts w:hint="eastAsia" w:cs="仿宋_GB2312" w:asciiTheme="minorEastAsia" w:hAnsiTheme="minorEastAsia"/>
                <w:kern w:val="0"/>
                <w:szCs w:val="21"/>
              </w:rPr>
              <w:t>一般灯具防护等级不小于IP65。</w:t>
            </w:r>
            <w:r>
              <w:rPr>
                <w:rFonts w:hint="eastAsia" w:cs="仿宋_GB2312" w:asciiTheme="minorEastAsia" w:hAnsiTheme="minorEastAsia"/>
                <w:kern w:val="0"/>
                <w:szCs w:val="21"/>
                <w:lang w:val="en-US" w:eastAsia="zh-CN"/>
              </w:rPr>
              <w:t>地埋灯具</w:t>
            </w:r>
            <w:r>
              <w:rPr>
                <w:rFonts w:hint="eastAsia" w:cs="仿宋_GB2312" w:asciiTheme="minorEastAsia" w:hAnsiTheme="minorEastAsia"/>
                <w:kern w:val="0"/>
                <w:szCs w:val="21"/>
              </w:rPr>
              <w:t>防护等级不小于IP6</w:t>
            </w:r>
            <w:r>
              <w:rPr>
                <w:rFonts w:hint="eastAsia" w:cs="仿宋_GB2312" w:asciiTheme="minorEastAsia" w:hAnsiTheme="minorEastAsia"/>
                <w:kern w:val="0"/>
                <w:szCs w:val="21"/>
                <w:lang w:val="en-US" w:eastAsia="zh-CN"/>
              </w:rPr>
              <w:t>7.</w:t>
            </w:r>
          </w:p>
        </w:tc>
      </w:tr>
      <w:tr>
        <w:tblPrEx>
          <w:tblCellMar>
            <w:top w:w="15" w:type="dxa"/>
            <w:left w:w="15" w:type="dxa"/>
            <w:bottom w:w="15" w:type="dxa"/>
            <w:right w:w="15" w:type="dxa"/>
          </w:tblCellMar>
        </w:tblPrEx>
        <w:trPr>
          <w:trHeight w:val="357" w:hRule="atLeast"/>
          <w:jc w:val="center"/>
        </w:trPr>
        <w:tc>
          <w:tcPr>
            <w:tcW w:w="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eastAsia" w:cs="仿宋_GB2312" w:asciiTheme="minorEastAsia" w:hAnsiTheme="minorEastAsia" w:eastAsiaTheme="minorEastAsia"/>
                <w:szCs w:val="21"/>
                <w:lang w:eastAsia="zh-CN"/>
              </w:rPr>
            </w:pPr>
            <w:r>
              <w:rPr>
                <w:rFonts w:hint="eastAsia" w:cs="仿宋_GB2312" w:asciiTheme="minorEastAsia" w:hAnsiTheme="minorEastAsia"/>
                <w:kern w:val="0"/>
                <w:szCs w:val="21"/>
                <w:lang w:val="en-US" w:eastAsia="zh-CN"/>
              </w:rPr>
              <w:t>4</w:t>
            </w:r>
          </w:p>
        </w:tc>
        <w:tc>
          <w:tcPr>
            <w:tcW w:w="1861" w:type="dxa"/>
            <w:vMerge w:val="restart"/>
            <w:tcBorders>
              <w:top w:val="single" w:color="000000" w:sz="4" w:space="0"/>
              <w:left w:val="single" w:color="000000" w:sz="4" w:space="0"/>
              <w:right w:val="single" w:color="000000" w:sz="4" w:space="0"/>
            </w:tcBorders>
            <w:shd w:val="clear" w:color="auto" w:fill="auto"/>
            <w:vAlign w:val="center"/>
          </w:tcPr>
          <w:p>
            <w:pPr>
              <w:widowControl/>
              <w:spacing w:line="360" w:lineRule="auto"/>
              <w:jc w:val="center"/>
              <w:textAlignment w:val="center"/>
              <w:rPr>
                <w:rFonts w:cs="仿宋_GB2312" w:asciiTheme="minorEastAsia" w:hAnsiTheme="minorEastAsia"/>
                <w:szCs w:val="21"/>
              </w:rPr>
            </w:pPr>
            <w:r>
              <w:rPr>
                <w:rFonts w:hint="eastAsia" w:cs="仿宋_GB2312" w:asciiTheme="minorEastAsia" w:hAnsiTheme="minorEastAsia"/>
                <w:kern w:val="0"/>
                <w:szCs w:val="21"/>
              </w:rPr>
              <w:t>灯具寿命及光衰</w:t>
            </w: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cs="仿宋_GB2312" w:asciiTheme="minorEastAsia" w:hAnsiTheme="minorEastAsia"/>
                <w:szCs w:val="21"/>
              </w:rPr>
            </w:pPr>
            <w:r>
              <w:rPr>
                <w:rFonts w:hint="eastAsia" w:cs="仿宋_GB2312" w:asciiTheme="minorEastAsia" w:hAnsiTheme="minorEastAsia"/>
                <w:kern w:val="0"/>
                <w:szCs w:val="21"/>
              </w:rPr>
              <w:t>1、颗粒寿命不低于5万小时；</w:t>
            </w:r>
          </w:p>
        </w:tc>
      </w:tr>
      <w:tr>
        <w:tblPrEx>
          <w:tblCellMar>
            <w:top w:w="15" w:type="dxa"/>
            <w:left w:w="15" w:type="dxa"/>
            <w:bottom w:w="15" w:type="dxa"/>
            <w:right w:w="15" w:type="dxa"/>
          </w:tblCellMar>
        </w:tblPrEx>
        <w:trPr>
          <w:trHeight w:val="357" w:hRule="atLeast"/>
          <w:jc w:val="center"/>
        </w:trPr>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cs="仿宋_GB2312" w:asciiTheme="minorEastAsia" w:hAnsiTheme="minorEastAsia"/>
                <w:szCs w:val="21"/>
              </w:rPr>
            </w:pPr>
          </w:p>
        </w:tc>
        <w:tc>
          <w:tcPr>
            <w:tcW w:w="1861" w:type="dxa"/>
            <w:vMerge w:val="continue"/>
            <w:tcBorders>
              <w:left w:val="single" w:color="000000" w:sz="4" w:space="0"/>
              <w:right w:val="single" w:color="000000" w:sz="4" w:space="0"/>
            </w:tcBorders>
            <w:shd w:val="clear" w:color="auto" w:fill="auto"/>
            <w:vAlign w:val="center"/>
          </w:tcPr>
          <w:p>
            <w:pPr>
              <w:widowControl/>
              <w:spacing w:line="360" w:lineRule="auto"/>
              <w:jc w:val="center"/>
              <w:textAlignment w:val="center"/>
              <w:rPr>
                <w:rFonts w:cs="仿宋_GB2312" w:asciiTheme="minorEastAsia" w:hAnsiTheme="minorEastAsia"/>
                <w:szCs w:val="21"/>
              </w:rPr>
            </w:pP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cs="仿宋_GB2312" w:asciiTheme="minorEastAsia" w:hAnsiTheme="minorEastAsia"/>
                <w:szCs w:val="21"/>
              </w:rPr>
            </w:pPr>
            <w:r>
              <w:rPr>
                <w:rFonts w:hint="eastAsia" w:cs="仿宋_GB2312" w:asciiTheme="minorEastAsia" w:hAnsiTheme="minorEastAsia"/>
                <w:kern w:val="0"/>
                <w:szCs w:val="21"/>
              </w:rPr>
              <w:t>2、灯具寿命不低于3万小时。</w:t>
            </w:r>
          </w:p>
        </w:tc>
      </w:tr>
      <w:tr>
        <w:tblPrEx>
          <w:tblCellMar>
            <w:top w:w="15" w:type="dxa"/>
            <w:left w:w="15" w:type="dxa"/>
            <w:bottom w:w="15" w:type="dxa"/>
            <w:right w:w="15" w:type="dxa"/>
          </w:tblCellMar>
        </w:tblPrEx>
        <w:trPr>
          <w:trHeight w:val="357" w:hRule="atLeast"/>
          <w:jc w:val="center"/>
        </w:trPr>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cs="仿宋_GB2312" w:asciiTheme="minorEastAsia" w:hAnsiTheme="minorEastAsia"/>
                <w:szCs w:val="21"/>
              </w:rPr>
            </w:pPr>
          </w:p>
        </w:tc>
        <w:tc>
          <w:tcPr>
            <w:tcW w:w="1861" w:type="dxa"/>
            <w:vMerge w:val="continue"/>
            <w:tcBorders>
              <w:left w:val="single" w:color="000000" w:sz="4" w:space="0"/>
              <w:bottom w:val="single" w:color="000000" w:sz="4" w:space="0"/>
              <w:right w:val="single" w:color="000000" w:sz="4" w:space="0"/>
            </w:tcBorders>
            <w:shd w:val="clear" w:color="auto" w:fill="auto"/>
            <w:vAlign w:val="center"/>
          </w:tcPr>
          <w:p>
            <w:pPr>
              <w:spacing w:line="360" w:lineRule="auto"/>
              <w:jc w:val="center"/>
              <w:rPr>
                <w:rFonts w:cs="仿宋_GB2312" w:asciiTheme="minorEastAsia" w:hAnsiTheme="minorEastAsia"/>
                <w:szCs w:val="21"/>
              </w:rPr>
            </w:pP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cs="仿宋_GB2312" w:asciiTheme="minorEastAsia" w:hAnsiTheme="minorEastAsia"/>
                <w:szCs w:val="21"/>
              </w:rPr>
            </w:pPr>
            <w:r>
              <w:rPr>
                <w:rFonts w:hint="eastAsia" w:cs="仿宋_GB2312" w:asciiTheme="minorEastAsia" w:hAnsiTheme="minorEastAsia"/>
                <w:kern w:val="0"/>
                <w:szCs w:val="21"/>
              </w:rPr>
              <w:t>3、灯具光衰符合国标要求。</w:t>
            </w:r>
          </w:p>
        </w:tc>
      </w:tr>
      <w:tr>
        <w:tblPrEx>
          <w:tblCellMar>
            <w:top w:w="15" w:type="dxa"/>
            <w:left w:w="15" w:type="dxa"/>
            <w:bottom w:w="15" w:type="dxa"/>
            <w:right w:w="15" w:type="dxa"/>
          </w:tblCellMar>
        </w:tblPrEx>
        <w:trPr>
          <w:trHeight w:val="468" w:hRule="atLeast"/>
          <w:jc w:val="center"/>
        </w:trPr>
        <w:tc>
          <w:tcPr>
            <w:tcW w:w="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eastAsia" w:cs="仿宋_GB2312" w:asciiTheme="minorEastAsia" w:hAnsiTheme="minorEastAsia" w:eastAsiaTheme="minorEastAsia"/>
                <w:szCs w:val="21"/>
                <w:lang w:eastAsia="zh-CN"/>
              </w:rPr>
            </w:pPr>
            <w:r>
              <w:rPr>
                <w:rFonts w:hint="eastAsia" w:cs="仿宋_GB2312" w:asciiTheme="minorEastAsia" w:hAnsiTheme="minorEastAsia"/>
                <w:kern w:val="0"/>
                <w:szCs w:val="21"/>
                <w:lang w:val="en-US" w:eastAsia="zh-CN"/>
              </w:rPr>
              <w:t>5</w:t>
            </w: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cs="仿宋_GB2312" w:asciiTheme="minorEastAsia" w:hAnsiTheme="minorEastAsia"/>
                <w:szCs w:val="21"/>
              </w:rPr>
            </w:pPr>
            <w:r>
              <w:rPr>
                <w:rFonts w:hint="eastAsia" w:cs="仿宋_GB2312" w:asciiTheme="minorEastAsia" w:hAnsiTheme="minorEastAsia"/>
                <w:kern w:val="0"/>
                <w:szCs w:val="21"/>
              </w:rPr>
              <w:t>驱动电源</w:t>
            </w:r>
          </w:p>
        </w:tc>
        <w:tc>
          <w:tcPr>
            <w:tcW w:w="59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cs="仿宋_GB2312" w:asciiTheme="minorEastAsia" w:hAnsiTheme="minorEastAsia"/>
                <w:kern w:val="0"/>
                <w:szCs w:val="21"/>
              </w:rPr>
            </w:pPr>
            <w:r>
              <w:rPr>
                <w:rFonts w:hint="eastAsia" w:cs="仿宋_GB2312" w:asciiTheme="minorEastAsia" w:hAnsiTheme="minorEastAsia"/>
                <w:kern w:val="0"/>
                <w:szCs w:val="21"/>
              </w:rPr>
              <w:t>品牌推荐使用“台湾明纬(MEAN WELL)”、“茂硕”、“英飞特”、“欧司朗（OSRAM）”、“飞利浦（PHILIPS）”；</w:t>
            </w:r>
          </w:p>
        </w:tc>
      </w:tr>
      <w:tr>
        <w:tblPrEx>
          <w:tblCellMar>
            <w:top w:w="15" w:type="dxa"/>
            <w:left w:w="15" w:type="dxa"/>
            <w:bottom w:w="15" w:type="dxa"/>
            <w:right w:w="15" w:type="dxa"/>
          </w:tblCellMar>
        </w:tblPrEx>
        <w:trPr>
          <w:trHeight w:val="468" w:hRule="atLeast"/>
          <w:jc w:val="center"/>
        </w:trPr>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cs="仿宋_GB2312" w:asciiTheme="minorEastAsia" w:hAnsiTheme="minorEastAsia"/>
                <w:szCs w:val="21"/>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cs="仿宋_GB2312" w:asciiTheme="minorEastAsia" w:hAnsiTheme="minorEastAsia"/>
                <w:szCs w:val="21"/>
              </w:rPr>
            </w:pPr>
          </w:p>
        </w:tc>
        <w:tc>
          <w:tcPr>
            <w:tcW w:w="5949"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spacing w:line="360" w:lineRule="auto"/>
              <w:jc w:val="left"/>
              <w:rPr>
                <w:rFonts w:cs="仿宋_GB2312" w:asciiTheme="minorEastAsia" w:hAnsiTheme="minorEastAsia"/>
                <w:szCs w:val="21"/>
              </w:rPr>
            </w:pPr>
          </w:p>
        </w:tc>
      </w:tr>
      <w:tr>
        <w:tblPrEx>
          <w:tblCellMar>
            <w:top w:w="15" w:type="dxa"/>
            <w:left w:w="15" w:type="dxa"/>
            <w:bottom w:w="15" w:type="dxa"/>
            <w:right w:w="15" w:type="dxa"/>
          </w:tblCellMar>
        </w:tblPrEx>
        <w:trPr>
          <w:trHeight w:val="485" w:hRule="atLeast"/>
          <w:jc w:val="center"/>
        </w:trPr>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eastAsia" w:cs="仿宋_GB2312" w:asciiTheme="minorEastAsia" w:hAnsiTheme="minorEastAsia" w:eastAsiaTheme="minorEastAsia"/>
                <w:szCs w:val="21"/>
                <w:lang w:eastAsia="zh-CN"/>
              </w:rPr>
            </w:pPr>
            <w:r>
              <w:rPr>
                <w:rFonts w:hint="eastAsia" w:cs="仿宋_GB2312" w:asciiTheme="minorEastAsia" w:hAnsiTheme="minorEastAsia"/>
                <w:kern w:val="0"/>
                <w:szCs w:val="21"/>
                <w:lang w:val="en-US" w:eastAsia="zh-CN"/>
              </w:rPr>
              <w:t>6</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cs="仿宋_GB2312" w:asciiTheme="minorEastAsia" w:hAnsiTheme="minorEastAsia"/>
                <w:szCs w:val="21"/>
              </w:rPr>
            </w:pPr>
            <w:r>
              <w:rPr>
                <w:rFonts w:hint="eastAsia" w:cs="仿宋_GB2312" w:asciiTheme="minorEastAsia" w:hAnsiTheme="minorEastAsia"/>
                <w:kern w:val="0"/>
                <w:szCs w:val="21"/>
              </w:rPr>
              <w:t>配光曲线</w:t>
            </w: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cs="仿宋_GB2312" w:asciiTheme="minorEastAsia" w:hAnsiTheme="minorEastAsia"/>
                <w:szCs w:val="21"/>
              </w:rPr>
            </w:pPr>
            <w:r>
              <w:rPr>
                <w:rFonts w:hint="eastAsia" w:cs="仿宋_GB2312" w:asciiTheme="minorEastAsia" w:hAnsiTheme="minorEastAsia"/>
                <w:kern w:val="0"/>
                <w:szCs w:val="21"/>
              </w:rPr>
              <w:t>光强、光通量、出光角度、色漂移、色容差、色一致性</w:t>
            </w:r>
          </w:p>
        </w:tc>
      </w:tr>
    </w:tbl>
    <w:p>
      <w:pPr>
        <w:pStyle w:val="3"/>
        <w:spacing w:line="360" w:lineRule="auto"/>
        <w:ind w:left="420"/>
        <w:rPr>
          <w:rFonts w:cs="仿宋_GB2312" w:asciiTheme="minorEastAsia" w:hAnsiTheme="minorEastAsia" w:eastAsiaTheme="minorEastAsia"/>
          <w:sz w:val="28"/>
          <w:szCs w:val="28"/>
        </w:rPr>
      </w:pPr>
      <w:bookmarkStart w:id="29" w:name="_Toc23670"/>
      <w:r>
        <w:rPr>
          <w:rFonts w:hint="eastAsia" w:cs="仿宋_GB2312" w:asciiTheme="minorEastAsia" w:hAnsiTheme="minorEastAsia" w:eastAsiaTheme="minorEastAsia"/>
          <w:sz w:val="28"/>
          <w:szCs w:val="28"/>
        </w:rPr>
        <w:t>（七）室外防水UTP超五类网络电缆及水晶头</w:t>
      </w:r>
    </w:p>
    <w:bookmarkEnd w:id="29"/>
    <w:p>
      <w:pPr>
        <w:numPr>
          <w:ilvl w:val="0"/>
          <w:numId w:val="35"/>
        </w:numPr>
        <w:tabs>
          <w:tab w:val="left" w:pos="360"/>
        </w:tabs>
        <w:outlineLvl w:val="2"/>
        <w:rPr>
          <w:rFonts w:cs="仿宋_GB2312" w:asciiTheme="minorEastAsia" w:hAnsiTheme="minorEastAsia"/>
          <w:szCs w:val="21"/>
        </w:rPr>
      </w:pPr>
      <w:bookmarkStart w:id="30" w:name="_Toc16098"/>
      <w:bookmarkStart w:id="31" w:name="_Toc17164"/>
      <w:r>
        <w:rPr>
          <w:rFonts w:hint="eastAsia" w:cs="仿宋_GB2312" w:asciiTheme="minorEastAsia" w:hAnsiTheme="minorEastAsia"/>
          <w:szCs w:val="21"/>
        </w:rPr>
        <w:t>室外防水UTP超五类网络电缆（非屏蔽双绞线UTP）</w:t>
      </w:r>
      <w:bookmarkEnd w:id="30"/>
      <w:bookmarkEnd w:id="31"/>
    </w:p>
    <w:p>
      <w:pPr>
        <w:rPr>
          <w:rFonts w:cs="仿宋_GB2312" w:asciiTheme="minorEastAsia" w:hAnsiTheme="minorEastAsia"/>
          <w:szCs w:val="21"/>
        </w:rPr>
      </w:pPr>
      <w:r>
        <w:rPr>
          <w:rFonts w:hint="eastAsia" w:cs="仿宋_GB2312" w:asciiTheme="minorEastAsia" w:hAnsiTheme="minorEastAsia"/>
          <w:szCs w:val="21"/>
        </w:rPr>
        <w:drawing>
          <wp:inline distT="0" distB="0" distL="114300" distR="114300">
            <wp:extent cx="2364105" cy="1669415"/>
            <wp:effectExtent l="0" t="0" r="10795" b="6985"/>
            <wp:docPr id="199" name="图片 199" descr="5aa8ee39N387e94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descr="5aa8ee39N387e941e"/>
                    <pic:cNvPicPr>
                      <a:picLocks noChangeAspect="1"/>
                    </pic:cNvPicPr>
                  </pic:nvPicPr>
                  <pic:blipFill>
                    <a:blip r:embed="rId4"/>
                    <a:srcRect b="5532"/>
                    <a:stretch>
                      <a:fillRect/>
                    </a:stretch>
                  </pic:blipFill>
                  <pic:spPr>
                    <a:xfrm>
                      <a:off x="0" y="0"/>
                      <a:ext cx="2364105" cy="1669415"/>
                    </a:xfrm>
                    <a:prstGeom prst="rect">
                      <a:avLst/>
                    </a:prstGeom>
                  </pic:spPr>
                </pic:pic>
              </a:graphicData>
            </a:graphic>
          </wp:inline>
        </w:drawing>
      </w:r>
      <w:r>
        <w:rPr>
          <w:rFonts w:hint="eastAsia" w:cs="仿宋_GB2312" w:asciiTheme="minorEastAsia" w:hAnsiTheme="minorEastAsia"/>
          <w:szCs w:val="21"/>
        </w:rPr>
        <w:t xml:space="preserve">      </w:t>
      </w:r>
      <w:r>
        <w:rPr>
          <w:rFonts w:hint="eastAsia" w:cs="仿宋_GB2312" w:asciiTheme="minorEastAsia" w:hAnsiTheme="minorEastAsia"/>
          <w:szCs w:val="21"/>
        </w:rPr>
        <w:drawing>
          <wp:inline distT="0" distB="0" distL="114300" distR="114300">
            <wp:extent cx="2151380" cy="1673225"/>
            <wp:effectExtent l="0" t="0" r="7620" b="3175"/>
            <wp:docPr id="200" name="图片 200" descr="670-141203135240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670-141203135240595"/>
                    <pic:cNvPicPr>
                      <a:picLocks noChangeAspect="1"/>
                    </pic:cNvPicPr>
                  </pic:nvPicPr>
                  <pic:blipFill>
                    <a:blip r:embed="rId5"/>
                    <a:srcRect r="24293" b="16071"/>
                    <a:stretch>
                      <a:fillRect/>
                    </a:stretch>
                  </pic:blipFill>
                  <pic:spPr>
                    <a:xfrm>
                      <a:off x="0" y="0"/>
                      <a:ext cx="2151380" cy="1673225"/>
                    </a:xfrm>
                    <a:prstGeom prst="rect">
                      <a:avLst/>
                    </a:prstGeom>
                  </pic:spPr>
                </pic:pic>
              </a:graphicData>
            </a:graphic>
          </wp:inline>
        </w:drawing>
      </w:r>
    </w:p>
    <w:p>
      <w:pPr>
        <w:rPr>
          <w:rFonts w:cs="仿宋_GB2312" w:asciiTheme="minorEastAsia" w:hAnsiTheme="minorEastAsia"/>
          <w:szCs w:val="21"/>
        </w:rPr>
      </w:pPr>
      <w:r>
        <w:rPr>
          <w:rFonts w:hint="eastAsia" w:cs="仿宋_GB2312" w:asciiTheme="minorEastAsia" w:hAnsiTheme="minorEastAsia"/>
          <w:szCs w:val="21"/>
        </w:rPr>
        <w:drawing>
          <wp:inline distT="0" distB="0" distL="114300" distR="114300">
            <wp:extent cx="1896745" cy="669290"/>
            <wp:effectExtent l="0" t="0" r="8255" b="3810"/>
            <wp:docPr id="201" name="图片 201" descr="7437561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74375611_2"/>
                    <pic:cNvPicPr>
                      <a:picLocks noChangeAspect="1"/>
                    </pic:cNvPicPr>
                  </pic:nvPicPr>
                  <pic:blipFill>
                    <a:blip r:embed="rId6"/>
                    <a:srcRect r="43345" b="45064"/>
                    <a:stretch>
                      <a:fillRect/>
                    </a:stretch>
                  </pic:blipFill>
                  <pic:spPr>
                    <a:xfrm>
                      <a:off x="0" y="0"/>
                      <a:ext cx="1896745" cy="669290"/>
                    </a:xfrm>
                    <a:prstGeom prst="rect">
                      <a:avLst/>
                    </a:prstGeom>
                  </pic:spPr>
                </pic:pic>
              </a:graphicData>
            </a:graphic>
          </wp:inline>
        </w:drawing>
      </w:r>
      <w:r>
        <w:rPr>
          <w:rFonts w:hint="eastAsia" w:cs="仿宋_GB2312" w:asciiTheme="minorEastAsia" w:hAnsiTheme="minorEastAsia"/>
          <w:szCs w:val="21"/>
        </w:rPr>
        <w:drawing>
          <wp:inline distT="0" distB="0" distL="114300" distR="114300">
            <wp:extent cx="2183765" cy="1000125"/>
            <wp:effectExtent l="0" t="0" r="635" b="3175"/>
            <wp:docPr id="207" name="图片 207" descr="59b0f65eNbf52e5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59b0f65eNbf52e50e"/>
                    <pic:cNvPicPr>
                      <a:picLocks noChangeAspect="1"/>
                    </pic:cNvPicPr>
                  </pic:nvPicPr>
                  <pic:blipFill>
                    <a:blip r:embed="rId7"/>
                    <a:srcRect b="24028"/>
                    <a:stretch>
                      <a:fillRect/>
                    </a:stretch>
                  </pic:blipFill>
                  <pic:spPr>
                    <a:xfrm>
                      <a:off x="0" y="0"/>
                      <a:ext cx="2183765" cy="1000125"/>
                    </a:xfrm>
                    <a:prstGeom prst="rect">
                      <a:avLst/>
                    </a:prstGeom>
                  </pic:spPr>
                </pic:pic>
              </a:graphicData>
            </a:graphic>
          </wp:inline>
        </w:drawing>
      </w:r>
    </w:p>
    <w:p>
      <w:pPr>
        <w:rPr>
          <w:rFonts w:cs="仿宋_GB2312" w:asciiTheme="minorEastAsia" w:hAnsiTheme="minorEastAsia"/>
          <w:szCs w:val="21"/>
        </w:rPr>
      </w:pP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由4对双绞线、1条抗拉线和一个塑料外皮构成。有一层绝缘胶皮包裹，组网灵活。具有防水、防冻、防鼠疫、防晒、抗紫外线的特性。</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1.标准。符合100Base-T4标准要求使用全部的4对线进行信号传输。衰减小，串扰少，并且具有更高的衰减与串扰的比值（ACR）和信噪比（Structural Return Loss）、更小的时延误差。标识是“CAT5E”，带宽155M，主要用于千兆位以太网（1000Mbps）。</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2.外观特征。①双绞线应弯曲自然，以方便布线;②电缆中的铜芯具有较好的韧性。为了使双绞线在移动中不至于断线，除外皮保护层外，内部的铜芯还要具有一定的韧性。同时为便于接头的制作和连接可靠，铜芯既不能太软，也不能太硬，太软不易接头的制作，太硬则容易产生接头处断裂;③具有阻燃性。为了避免受高温或起火而引起的线缆损坏，双绞线最外面的一层包皮除应具有很好的抗拉特性外，还应具有阻燃性(可以用火来烧一下测试:如果是正品，胶皮会受热松软，不会起火;如果是假货，一点就着)。④最大单段长度100米。标准长度305米一箱，连包装重量不低于13.5公斤。</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3.制造工艺。为了降低信号的干扰，双绞线电缆中的每一线对都是由两根绝缘的铜导线相互扭绕而成，而且同一电缆中的不同线对具有不同的扭绕度(就是扭绕线圈的数量多少)。同时，双绞线电缆中的线对按逆时针方向进行扭绕。严禁出现以下问题:①为了简化制造工艺，电缆中所有线对的扭绕密度相同;②线对中两根绝缘导线的扭绕密度不符合技术要求;③线对的扭绕方向不符合要求。如果存在以上问题，将会引起双绞线的近端串扰(指UTP中两线对之间的信号干扰程度)，从而使传输距离达不到要求。线对的扭绕度超五类要比五类密。除组成双绞线线对的两条绝缘铜导线要按要求进行扭绕外，标准双绞线电缆中的线对之间也要按逆时针方向进行扭绕。否则将会引起电缆电阻的不匹配，限制了传输距离。应符合TIA/EIA568A中的具体规定。</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4.传输速率：1000Mbps。需满足的测试方式：用一条双绞线连接两台100Mbps的设备(网卡到网卡或网卡到HUB)，通信时用Windows 95/98自带的monitor检测工具对其数据传输率进行监测。检验方法为:①选择"开始→程序→附件→系统工具→系统监视器"，将出现"系统监视器"窗口。如果在"系统工具"中没有"系统监视器"工具时，可通过"我的电脑→添加/删除程序→Windows安装程序→系统工具→系统监视器"建立。②在"系统监视器"窗口中设置监视对象。选择"编辑"菜单中的"添加项目"选项，在出现的对话框的"类别"列表中选择"Microsoft网络服务器"或"Microsoft网络客户"(注意:在保证网络连接正常的情况下)，在下一个对话框中选择"写入的字节数/秒"或"读取的字节数/秒"。至于选择"Microsoft网络服务器"或"Microsoft网络客户"，还是"写入的字节数/秒"或"读取的字节数/秒"，读者可任意选择，因为在网络中一个节点发送出的数据应该等于另一个节点接收到的数据。③设置测试数据的输出方式。系统提供了折线图、条形图和数字图三种输出方式，可通过窗口工具栏内的按钮来选择。④进行测试。最有效的办法是从服务器向你进行测试的工作站上拷贝大量的文件(为了测试的准确性，所拷贝的内容一定要足够多)。显示的峰值数值在4M/s以上，就基本可以肯定是五类网络电缆了(3类线所能达到的峰值数值大约为2.5M/s)。</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5.线缆对数。超五类室外防水网络电缆也是采用4个绕对和1条抗拉线。线对的颜色分别为白橙、橙、白绿、绿、白蓝、蓝、白棕和棕。裸铜线径为0.51mm（线规为24AWG），绝缘线径为0.92mm，UTP电缆直径为6.3mm。</w:t>
      </w:r>
    </w:p>
    <w:p>
      <w:pPr>
        <w:jc w:val="left"/>
        <w:rPr>
          <w:rFonts w:cs="仿宋_GB2312" w:asciiTheme="minorEastAsia" w:hAnsiTheme="minorEastAsia"/>
          <w:szCs w:val="21"/>
        </w:rPr>
      </w:pPr>
      <w:r>
        <w:rPr>
          <w:rFonts w:hint="eastAsia" w:cs="仿宋_GB2312" w:asciiTheme="minorEastAsia" w:hAnsiTheme="minorEastAsia"/>
          <w:szCs w:val="21"/>
        </w:rPr>
        <w:drawing>
          <wp:inline distT="0" distB="0" distL="114300" distR="114300">
            <wp:extent cx="1790065" cy="2149475"/>
            <wp:effectExtent l="0" t="0" r="635" b="9525"/>
            <wp:docPr id="208" name="图片 208" descr="微信图片_201901291333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微信图片_20190129133331-1"/>
                    <pic:cNvPicPr>
                      <a:picLocks noChangeAspect="1"/>
                    </pic:cNvPicPr>
                  </pic:nvPicPr>
                  <pic:blipFill>
                    <a:blip r:embed="rId8"/>
                    <a:stretch>
                      <a:fillRect/>
                    </a:stretch>
                  </pic:blipFill>
                  <pic:spPr>
                    <a:xfrm>
                      <a:off x="0" y="0"/>
                      <a:ext cx="1790065" cy="2149475"/>
                    </a:xfrm>
                    <a:prstGeom prst="rect">
                      <a:avLst/>
                    </a:prstGeom>
                  </pic:spPr>
                </pic:pic>
              </a:graphicData>
            </a:graphic>
          </wp:inline>
        </w:drawing>
      </w:r>
      <w:r>
        <w:rPr>
          <w:rFonts w:hint="eastAsia" w:cs="仿宋_GB2312" w:asciiTheme="minorEastAsia" w:hAnsiTheme="minorEastAsia"/>
          <w:szCs w:val="21"/>
        </w:rPr>
        <w:drawing>
          <wp:inline distT="0" distB="0" distL="114300" distR="114300">
            <wp:extent cx="1597660" cy="2108200"/>
            <wp:effectExtent l="0" t="0" r="2540" b="0"/>
            <wp:docPr id="209" name="图片 209" descr="微信图片_201901291333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微信图片_20190129133347-1"/>
                    <pic:cNvPicPr>
                      <a:picLocks noChangeAspect="1"/>
                    </pic:cNvPicPr>
                  </pic:nvPicPr>
                  <pic:blipFill>
                    <a:blip r:embed="rId9"/>
                    <a:srcRect t="4267"/>
                    <a:stretch>
                      <a:fillRect/>
                    </a:stretch>
                  </pic:blipFill>
                  <pic:spPr>
                    <a:xfrm>
                      <a:off x="0" y="0"/>
                      <a:ext cx="1597660" cy="2108200"/>
                    </a:xfrm>
                    <a:prstGeom prst="rect">
                      <a:avLst/>
                    </a:prstGeom>
                  </pic:spPr>
                </pic:pic>
              </a:graphicData>
            </a:graphic>
          </wp:inline>
        </w:drawing>
      </w:r>
      <w:r>
        <w:rPr>
          <w:rFonts w:hint="eastAsia" w:cs="仿宋_GB2312" w:asciiTheme="minorEastAsia" w:hAnsiTheme="minorEastAsia"/>
          <w:szCs w:val="21"/>
        </w:rPr>
        <w:drawing>
          <wp:inline distT="0" distB="0" distL="114300" distR="114300">
            <wp:extent cx="1406525" cy="2089785"/>
            <wp:effectExtent l="0" t="0" r="3175" b="5715"/>
            <wp:docPr id="210" name="图片 210" descr="微信图片_20190129133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微信图片_20190129133350-1"/>
                    <pic:cNvPicPr>
                      <a:picLocks noChangeAspect="1"/>
                    </pic:cNvPicPr>
                  </pic:nvPicPr>
                  <pic:blipFill>
                    <a:blip r:embed="rId10"/>
                    <a:srcRect t="4276"/>
                    <a:stretch>
                      <a:fillRect/>
                    </a:stretch>
                  </pic:blipFill>
                  <pic:spPr>
                    <a:xfrm>
                      <a:off x="0" y="0"/>
                      <a:ext cx="1406525" cy="2089785"/>
                    </a:xfrm>
                    <a:prstGeom prst="rect">
                      <a:avLst/>
                    </a:prstGeom>
                  </pic:spPr>
                </pic:pic>
              </a:graphicData>
            </a:graphic>
          </wp:inline>
        </w:drawing>
      </w:r>
      <w:r>
        <w:rPr>
          <w:rFonts w:hint="eastAsia" w:cs="仿宋_GB2312" w:asciiTheme="minorEastAsia" w:hAnsiTheme="minorEastAsia"/>
          <w:szCs w:val="21"/>
        </w:rPr>
        <w:drawing>
          <wp:inline distT="0" distB="0" distL="114300" distR="114300">
            <wp:extent cx="1683385" cy="2436495"/>
            <wp:effectExtent l="0" t="0" r="5715" b="1905"/>
            <wp:docPr id="211" name="图片 211" descr="微信图片_20190221112537副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微信图片_20190221112537副本-1"/>
                    <pic:cNvPicPr>
                      <a:picLocks noChangeAspect="1"/>
                    </pic:cNvPicPr>
                  </pic:nvPicPr>
                  <pic:blipFill>
                    <a:blip r:embed="rId11"/>
                    <a:srcRect t="2352"/>
                    <a:stretch>
                      <a:fillRect/>
                    </a:stretch>
                  </pic:blipFill>
                  <pic:spPr>
                    <a:xfrm>
                      <a:off x="0" y="0"/>
                      <a:ext cx="1683385" cy="2436495"/>
                    </a:xfrm>
                    <a:prstGeom prst="rect">
                      <a:avLst/>
                    </a:prstGeom>
                  </pic:spPr>
                </pic:pic>
              </a:graphicData>
            </a:graphic>
          </wp:inline>
        </w:drawing>
      </w:r>
      <w:r>
        <w:rPr>
          <w:rFonts w:hint="eastAsia" w:cs="仿宋_GB2312" w:asciiTheme="minorEastAsia" w:hAnsiTheme="minorEastAsia"/>
          <w:szCs w:val="21"/>
        </w:rPr>
        <w:drawing>
          <wp:inline distT="0" distB="0" distL="114300" distR="114300">
            <wp:extent cx="1722755" cy="2690495"/>
            <wp:effectExtent l="0" t="0" r="4445" b="1905"/>
            <wp:docPr id="212" name="图片 212" descr="微信图片_20190129133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descr="微信图片_20190129133354-1"/>
                    <pic:cNvPicPr>
                      <a:picLocks noChangeAspect="1"/>
                    </pic:cNvPicPr>
                  </pic:nvPicPr>
                  <pic:blipFill>
                    <a:blip r:embed="rId12"/>
                    <a:stretch>
                      <a:fillRect/>
                    </a:stretch>
                  </pic:blipFill>
                  <pic:spPr>
                    <a:xfrm>
                      <a:off x="0" y="0"/>
                      <a:ext cx="1722755" cy="2690495"/>
                    </a:xfrm>
                    <a:prstGeom prst="rect">
                      <a:avLst/>
                    </a:prstGeom>
                  </pic:spPr>
                </pic:pic>
              </a:graphicData>
            </a:graphic>
          </wp:inline>
        </w:drawing>
      </w:r>
    </w:p>
    <w:p>
      <w:pPr>
        <w:numPr>
          <w:ilvl w:val="0"/>
          <w:numId w:val="35"/>
        </w:numPr>
        <w:tabs>
          <w:tab w:val="left" w:pos="360"/>
        </w:tabs>
        <w:outlineLvl w:val="2"/>
        <w:rPr>
          <w:rStyle w:val="29"/>
          <w:rFonts w:cs="仿宋_GB2312" w:asciiTheme="minorEastAsia" w:hAnsiTheme="minorEastAsia" w:eastAsiaTheme="minorEastAsia"/>
          <w:sz w:val="21"/>
          <w:szCs w:val="21"/>
        </w:rPr>
      </w:pPr>
      <w:bookmarkStart w:id="32" w:name="_Toc7320"/>
      <w:r>
        <w:rPr>
          <w:rStyle w:val="29"/>
          <w:rFonts w:hint="eastAsia" w:cs="仿宋_GB2312" w:asciiTheme="minorEastAsia" w:hAnsiTheme="minorEastAsia" w:eastAsiaTheme="minorEastAsia"/>
          <w:sz w:val="21"/>
          <w:szCs w:val="21"/>
        </w:rPr>
        <w:t>水晶头</w:t>
      </w:r>
      <w:bookmarkEnd w:id="32"/>
    </w:p>
    <w:p>
      <w:pPr>
        <w:ind w:firstLine="420" w:firstLineChars="200"/>
        <w:rPr>
          <w:rFonts w:cs="仿宋_GB2312" w:asciiTheme="minorEastAsia" w:hAnsiTheme="minorEastAsia"/>
          <w:szCs w:val="21"/>
        </w:rPr>
      </w:pPr>
      <w:r>
        <w:rPr>
          <w:rFonts w:hint="eastAsia" w:cs="仿宋_GB2312" w:asciiTheme="minorEastAsia" w:hAnsiTheme="minorEastAsia"/>
          <w:szCs w:val="21"/>
        </w:rPr>
        <w:drawing>
          <wp:inline distT="0" distB="0" distL="114300" distR="114300">
            <wp:extent cx="1092200" cy="1468755"/>
            <wp:effectExtent l="0" t="0" r="0" b="4445"/>
            <wp:docPr id="205" name="图片 205" descr="53b4f50eNfbadee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53b4f50eNfbadeea0"/>
                    <pic:cNvPicPr>
                      <a:picLocks noChangeAspect="1"/>
                    </pic:cNvPicPr>
                  </pic:nvPicPr>
                  <pic:blipFill>
                    <a:blip r:embed="rId13"/>
                    <a:srcRect l="11334" r="14267"/>
                    <a:stretch>
                      <a:fillRect/>
                    </a:stretch>
                  </pic:blipFill>
                  <pic:spPr>
                    <a:xfrm>
                      <a:off x="0" y="0"/>
                      <a:ext cx="1092200" cy="1468755"/>
                    </a:xfrm>
                    <a:prstGeom prst="rect">
                      <a:avLst/>
                    </a:prstGeom>
                  </pic:spPr>
                </pic:pic>
              </a:graphicData>
            </a:graphic>
          </wp:inline>
        </w:drawing>
      </w:r>
      <w:r>
        <w:rPr>
          <w:rFonts w:hint="eastAsia" w:cs="仿宋_GB2312" w:asciiTheme="minorEastAsia" w:hAnsiTheme="minorEastAsia"/>
          <w:szCs w:val="21"/>
        </w:rPr>
        <w:drawing>
          <wp:inline distT="0" distB="0" distL="114300" distR="114300">
            <wp:extent cx="3435985" cy="1503045"/>
            <wp:effectExtent l="0" t="0" r="5715" b="8255"/>
            <wp:docPr id="206" name="图片 206" descr="t013e3ab382272a02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t013e3ab382272a02d8"/>
                    <pic:cNvPicPr>
                      <a:picLocks noChangeAspect="1"/>
                    </pic:cNvPicPr>
                  </pic:nvPicPr>
                  <pic:blipFill>
                    <a:blip r:embed="rId14"/>
                    <a:stretch>
                      <a:fillRect/>
                    </a:stretch>
                  </pic:blipFill>
                  <pic:spPr>
                    <a:xfrm>
                      <a:off x="0" y="0"/>
                      <a:ext cx="3435985" cy="1503045"/>
                    </a:xfrm>
                    <a:prstGeom prst="rect">
                      <a:avLst/>
                    </a:prstGeom>
                  </pic:spPr>
                </pic:pic>
              </a:graphicData>
            </a:graphic>
          </wp:inline>
        </w:drawing>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 xml:space="preserve">应符合的技术标准：1、YD/T 577-19294《室内电话机插头座》；2、YD/T926；3.《大楼通信综合布线系统第3部分：连接硬件和接插软线技术要求》 </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技术详参：</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1、外观：水晶头外观应为无色透明、色泽均匀且不含杂质、无气泡，塑料弹性良好。水晶头与通信线咬合紧密，不易脱落；</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2、结构尺寸：RJ45应符合TIA／EIA568A和TIA／E1A568AB线序，8个位置（8针）的模块化插孔，应符合规范要求长X宽X高，即21.34×11.68×8.00；</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3、材料要求：外壳材料为环保PC材料，水晶头金片果用0.35m磷青铜或高强度黄（≥65％含铜量），结构三叉，表面经整体锞后镀金，厚度0.0254至1.27；</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4、导线拉脱力：应≥70N；</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5、直流电阻：常态≤20mΩ；温热试验后：增值≤5mΩ；</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6、绝缘电阻：常态＞1000mΩ；湿热试验后：＞1000mΩ；</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7、耐压试验：湿热试验前后，簧片与簧片间：直流1000V或交流700V不击穿：所有簧片与安装板或地间：直流1500V或交流1000V不击穿；</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8、插技试验：50次机械寿命合格；</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9、塑料扣寿命：塑料锁扣90度弯折试验10次，仍具有弹性；</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10、高温试验：试验时间：48h，试验温度：（85+2）℃，塑壳无熔化、变形现象，试验后须做电气特性试验并满足相关要求；</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11、温热试验：40℃，92%，8h，插针表面无发绿、氧化现象；试验后须做电气特性试验并满足相关要求；</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12、阻燃性能：应达到V0等级；</w:t>
      </w:r>
    </w:p>
    <w:p>
      <w:pPr>
        <w:pStyle w:val="3"/>
        <w:spacing w:line="360" w:lineRule="auto"/>
        <w:ind w:left="420"/>
        <w:rPr>
          <w:rFonts w:cs="仿宋_GB2312" w:asciiTheme="minorEastAsia" w:hAnsiTheme="minorEastAsia" w:eastAsiaTheme="minorEastAsia"/>
          <w:sz w:val="28"/>
          <w:szCs w:val="28"/>
        </w:rPr>
      </w:pPr>
      <w:bookmarkStart w:id="33" w:name="_Toc694"/>
      <w:r>
        <w:rPr>
          <w:rFonts w:hint="eastAsia" w:cs="仿宋_GB2312" w:asciiTheme="minorEastAsia" w:hAnsiTheme="minorEastAsia" w:eastAsiaTheme="minorEastAsia"/>
          <w:sz w:val="28"/>
          <w:szCs w:val="28"/>
        </w:rPr>
        <w:t>（八）所有设施运输要求</w:t>
      </w:r>
      <w:bookmarkEnd w:id="33"/>
    </w:p>
    <w:p>
      <w:pPr>
        <w:pStyle w:val="4"/>
        <w:numPr>
          <w:ilvl w:val="0"/>
          <w:numId w:val="36"/>
        </w:numPr>
        <w:spacing w:line="360" w:lineRule="auto"/>
        <w:ind w:leftChars="0" w:hanging="5" w:firstLineChars="0"/>
        <w:rPr>
          <w:rFonts w:cs="仿宋_GB2312" w:asciiTheme="minorEastAsia" w:hAnsiTheme="minorEastAsia" w:eastAsiaTheme="minorEastAsia"/>
          <w:sz w:val="21"/>
          <w:szCs w:val="21"/>
        </w:rPr>
      </w:pPr>
      <w:bookmarkStart w:id="34" w:name="_Toc28100"/>
      <w:r>
        <w:rPr>
          <w:rFonts w:hint="eastAsia" w:cs="仿宋_GB2312" w:asciiTheme="minorEastAsia" w:hAnsiTheme="minorEastAsia" w:eastAsiaTheme="minorEastAsia"/>
          <w:sz w:val="21"/>
          <w:szCs w:val="21"/>
        </w:rPr>
        <w:t>说明</w:t>
      </w:r>
      <w:bookmarkEnd w:id="34"/>
    </w:p>
    <w:p>
      <w:pPr>
        <w:pStyle w:val="13"/>
        <w:snapToGrid w:val="0"/>
        <w:spacing w:line="360" w:lineRule="auto"/>
        <w:rPr>
          <w:rFonts w:cs="仿宋_GB2312" w:asciiTheme="minorEastAsia" w:hAnsiTheme="minorEastAsia" w:eastAsiaTheme="minorEastAsia"/>
          <w:szCs w:val="21"/>
        </w:rPr>
      </w:pPr>
      <w:r>
        <w:rPr>
          <w:rFonts w:hint="eastAsia" w:cs="仿宋_GB2312" w:asciiTheme="minorEastAsia" w:hAnsiTheme="minorEastAsia" w:eastAsiaTheme="minorEastAsia"/>
          <w:szCs w:val="21"/>
        </w:rPr>
        <w:t>技术文件详参有规定的，按详参规定执行，没有详参规定的，按照本通则执行。</w:t>
      </w:r>
    </w:p>
    <w:p>
      <w:pPr>
        <w:pStyle w:val="13"/>
        <w:snapToGrid w:val="0"/>
        <w:spacing w:line="360" w:lineRule="auto"/>
        <w:rPr>
          <w:rFonts w:cs="仿宋_GB2312" w:asciiTheme="minorEastAsia" w:hAnsiTheme="minorEastAsia" w:eastAsiaTheme="minorEastAsia"/>
          <w:szCs w:val="21"/>
        </w:rPr>
      </w:pPr>
      <w:r>
        <w:rPr>
          <w:rFonts w:hint="eastAsia" w:cs="仿宋_GB2312" w:asciiTheme="minorEastAsia" w:hAnsiTheme="minorEastAsia" w:eastAsiaTheme="minorEastAsia"/>
          <w:szCs w:val="21"/>
        </w:rPr>
        <w:t>包装应牢固，保证在运输过程中包捆不松动，避免构件之间、构件与包装物之间相互磨擦，损坏表面处理层。钢管管体的突出部分，如法兰、节点板等，采用有弹性、牢固的包装物包装。包装应采用合理的包装材料（草包、垫木、晴纶带、支架、打包带、打包扣、胶带等），采用合理的包装方式保证钢杆镀锌层/喷塑层/黑杆在储存、运输过程中不会因为颠簸、碰撞而表面划伤和变形。</w:t>
      </w:r>
    </w:p>
    <w:p>
      <w:pPr>
        <w:pStyle w:val="4"/>
        <w:numPr>
          <w:ilvl w:val="0"/>
          <w:numId w:val="36"/>
        </w:numPr>
        <w:spacing w:line="360" w:lineRule="auto"/>
        <w:ind w:leftChars="0" w:hanging="5" w:firstLineChars="0"/>
        <w:rPr>
          <w:rFonts w:cs="仿宋_GB2312" w:asciiTheme="minorEastAsia" w:hAnsiTheme="minorEastAsia" w:eastAsiaTheme="minorEastAsia"/>
          <w:sz w:val="21"/>
          <w:szCs w:val="21"/>
        </w:rPr>
      </w:pPr>
      <w:bookmarkStart w:id="35" w:name="_Toc5657"/>
      <w:r>
        <w:rPr>
          <w:rFonts w:hint="eastAsia" w:cs="仿宋_GB2312" w:asciiTheme="minorEastAsia" w:hAnsiTheme="minorEastAsia" w:eastAsiaTheme="minorEastAsia"/>
          <w:sz w:val="21"/>
          <w:szCs w:val="21"/>
        </w:rPr>
        <w:t>运输用基本设备及常用材料</w:t>
      </w:r>
      <w:bookmarkEnd w:id="35"/>
    </w:p>
    <w:p>
      <w:pPr>
        <w:numPr>
          <w:ilvl w:val="0"/>
          <w:numId w:val="37"/>
        </w:num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行车；b.叉车；c.各种规格的胶合板垫木；d.带塑料保护套的钢丝绳、紧固拉钩套件、花兰螺丝、捆绑器、钢钉；e.晴纶卷、橡胶板、稻草绳；f.钢制打包带；g.发泡塑料（喷塑杆专用）；h.尼龙绳（用于替代目前喷塑杆包装中使用的草绳）；i.胶合板配件箱；j.木料切割机；k.镀锌螺丝及螺母（用于小部件固定）。</w:t>
      </w:r>
    </w:p>
    <w:p>
      <w:pPr>
        <w:spacing w:line="360" w:lineRule="auto"/>
        <w:ind w:firstLine="420" w:firstLineChars="200"/>
        <w:rPr>
          <w:rFonts w:cs="仿宋_GB2312" w:asciiTheme="minorEastAsia" w:hAnsiTheme="minorEastAsia"/>
          <w:szCs w:val="21"/>
        </w:rPr>
      </w:pPr>
      <w:r>
        <w:rPr>
          <w:rFonts w:hint="eastAsia" w:cs="仿宋_GB2312" w:asciiTheme="minorEastAsia" w:hAnsiTheme="minorEastAsia"/>
          <w:szCs w:val="21"/>
        </w:rPr>
        <w:t>在运输、装卸等环节，必须做好成品保护，确保货物完好无损。所有措施费用含在投标报价中。</w:t>
      </w:r>
    </w:p>
    <w:p>
      <w:pPr>
        <w:pStyle w:val="3"/>
        <w:numPr>
          <w:ilvl w:val="0"/>
          <w:numId w:val="0"/>
        </w:numPr>
        <w:spacing w:line="360" w:lineRule="auto"/>
        <w:ind w:left="420" w:leftChars="0"/>
        <w:jc w:val="center"/>
        <w:rPr>
          <w:rFonts w:hint="eastAsia" w:ascii="仿宋_GB2312" w:hAnsi="仿宋_GB2312" w:eastAsia="仿宋_GB2312" w:cs="仿宋_GB2312"/>
          <w:sz w:val="28"/>
          <w:szCs w:val="28"/>
          <w:lang w:val="en-US" w:eastAsia="zh-CN"/>
        </w:rPr>
      </w:pPr>
      <w:bookmarkStart w:id="36" w:name="_Toc10166"/>
      <w:r>
        <w:rPr>
          <w:rFonts w:hint="eastAsia" w:ascii="仿宋_GB2312" w:hAnsi="仿宋_GB2312" w:eastAsia="仿宋_GB2312" w:cs="仿宋_GB2312"/>
          <w:sz w:val="28"/>
          <w:szCs w:val="28"/>
          <w:lang w:val="en-US" w:eastAsia="zh-CN"/>
        </w:rPr>
        <w:t>（九）草坪灯通则要求</w:t>
      </w:r>
      <w:bookmarkEnd w:id="36"/>
    </w:p>
    <w:p>
      <w:pPr>
        <w:pStyle w:val="4"/>
        <w:numPr>
          <w:ilvl w:val="0"/>
          <w:numId w:val="0"/>
        </w:numPr>
        <w:spacing w:line="360" w:lineRule="auto"/>
        <w:ind w:left="420" w:leftChars="0"/>
        <w:rPr>
          <w:rFonts w:hint="eastAsia"/>
          <w:lang w:val="en-US" w:eastAsia="zh-CN"/>
        </w:rPr>
      </w:pPr>
      <w:bookmarkStart w:id="37" w:name="_Toc6486"/>
      <w:r>
        <w:rPr>
          <w:rFonts w:hint="eastAsia" w:ascii="仿宋_GB2312" w:hAnsi="仿宋_GB2312" w:eastAsia="仿宋_GB2312" w:cs="仿宋_GB2312"/>
          <w:b/>
          <w:kern w:val="0"/>
          <w:sz w:val="21"/>
          <w:szCs w:val="21"/>
          <w:lang w:val="en-US" w:eastAsia="zh-CN" w:bidi="ar-SA"/>
        </w:rPr>
        <w:t>1）说明</w:t>
      </w:r>
      <w:bookmarkEnd w:id="37"/>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技术文件详参有规定的，按详参规定执行，没有详参规定的，按照本通则执行。</w:t>
      </w:r>
    </w:p>
    <w:p>
      <w:pPr>
        <w:pStyle w:val="4"/>
        <w:numPr>
          <w:ilvl w:val="0"/>
          <w:numId w:val="0"/>
        </w:numPr>
        <w:spacing w:line="360" w:lineRule="auto"/>
        <w:ind w:left="420" w:leftChars="0"/>
        <w:rPr>
          <w:rFonts w:hint="eastAsia" w:ascii="仿宋_GB2312" w:hAnsi="仿宋_GB2312" w:eastAsia="仿宋_GB2312" w:cs="仿宋_GB2312"/>
          <w:b/>
          <w:kern w:val="0"/>
          <w:sz w:val="21"/>
          <w:szCs w:val="21"/>
          <w:lang w:val="en-US" w:eastAsia="zh-CN" w:bidi="ar-SA"/>
        </w:rPr>
      </w:pPr>
      <w:bookmarkStart w:id="38" w:name="_Toc2963"/>
      <w:r>
        <w:rPr>
          <w:rFonts w:hint="eastAsia" w:ascii="仿宋_GB2312" w:hAnsi="仿宋_GB2312" w:eastAsia="仿宋_GB2312" w:cs="仿宋_GB2312"/>
          <w:b/>
          <w:kern w:val="0"/>
          <w:sz w:val="21"/>
          <w:szCs w:val="21"/>
          <w:lang w:val="en-US" w:eastAsia="zh-CN" w:bidi="ar-SA"/>
        </w:rPr>
        <w:t>2）光学要求</w:t>
      </w:r>
      <w:bookmarkEnd w:id="38"/>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I、模拟安装条件(如下表）</w:t>
      </w:r>
    </w:p>
    <w:tbl>
      <w:tblPr>
        <w:tblStyle w:val="8"/>
        <w:tblW w:w="7911" w:type="dxa"/>
        <w:jc w:val="center"/>
        <w:tblLayout w:type="fixed"/>
        <w:tblCellMar>
          <w:top w:w="0" w:type="dxa"/>
          <w:left w:w="108" w:type="dxa"/>
          <w:bottom w:w="0" w:type="dxa"/>
          <w:right w:w="108" w:type="dxa"/>
        </w:tblCellMar>
      </w:tblPr>
      <w:tblGrid>
        <w:gridCol w:w="679"/>
        <w:gridCol w:w="5030"/>
        <w:gridCol w:w="2202"/>
      </w:tblGrid>
      <w:tr>
        <w:tblPrEx>
          <w:tblCellMar>
            <w:top w:w="0" w:type="dxa"/>
            <w:left w:w="108" w:type="dxa"/>
            <w:bottom w:w="0" w:type="dxa"/>
            <w:right w:w="108" w:type="dxa"/>
          </w:tblCellMar>
        </w:tblPrEx>
        <w:trPr>
          <w:trHeight w:val="442" w:hRule="atLeast"/>
          <w:jc w:val="center"/>
        </w:trPr>
        <w:tc>
          <w:tcPr>
            <w:tcW w:w="679" w:type="dxa"/>
            <w:vMerge w:val="restart"/>
            <w:tcBorders>
              <w:top w:val="single" w:color="auto" w:sz="8" w:space="0"/>
              <w:left w:val="single" w:color="auto" w:sz="8" w:space="0"/>
              <w:right w:val="single" w:color="auto" w:sz="4" w:space="0"/>
            </w:tcBorders>
            <w:shd w:val="clear" w:color="auto" w:fill="FFFFFF"/>
            <w:noWrap w:val="0"/>
            <w:vAlign w:val="center"/>
          </w:tcPr>
          <w:p>
            <w:pPr>
              <w:spacing w:line="360" w:lineRule="auto"/>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 xml:space="preserve"> 灯</w:t>
            </w:r>
            <w:r>
              <w:rPr>
                <w:rFonts w:hint="eastAsia" w:ascii="仿宋_GB2312" w:hAnsi="仿宋_GB2312" w:eastAsia="仿宋_GB2312" w:cs="仿宋_GB2312"/>
                <w:kern w:val="2"/>
                <w:sz w:val="21"/>
                <w:szCs w:val="21"/>
                <w:lang w:val="en-US" w:eastAsia="zh-CN" w:bidi="ar-SA"/>
              </w:rPr>
              <w:br w:type="textWrapping"/>
            </w:r>
            <w:r>
              <w:rPr>
                <w:rFonts w:hint="eastAsia" w:ascii="仿宋_GB2312" w:hAnsi="仿宋_GB2312" w:eastAsia="仿宋_GB2312" w:cs="仿宋_GB2312"/>
                <w:kern w:val="2"/>
                <w:sz w:val="21"/>
                <w:szCs w:val="21"/>
                <w:lang w:val="en-US" w:eastAsia="zh-CN" w:bidi="ar-SA"/>
              </w:rPr>
              <w:t xml:space="preserve"> 具</w:t>
            </w:r>
            <w:r>
              <w:rPr>
                <w:rFonts w:hint="eastAsia" w:ascii="仿宋_GB2312" w:hAnsi="仿宋_GB2312" w:eastAsia="仿宋_GB2312" w:cs="仿宋_GB2312"/>
                <w:kern w:val="2"/>
                <w:sz w:val="21"/>
                <w:szCs w:val="21"/>
                <w:lang w:val="en-US" w:eastAsia="zh-CN" w:bidi="ar-SA"/>
              </w:rPr>
              <w:br w:type="textWrapping"/>
            </w:r>
            <w:r>
              <w:rPr>
                <w:rFonts w:hint="eastAsia" w:ascii="仿宋_GB2312" w:hAnsi="仿宋_GB2312" w:eastAsia="仿宋_GB2312" w:cs="仿宋_GB2312"/>
                <w:kern w:val="2"/>
                <w:sz w:val="21"/>
                <w:szCs w:val="21"/>
                <w:lang w:val="en-US" w:eastAsia="zh-CN" w:bidi="ar-SA"/>
              </w:rPr>
              <w:t xml:space="preserve"> 系</w:t>
            </w:r>
            <w:r>
              <w:rPr>
                <w:rFonts w:hint="eastAsia" w:ascii="仿宋_GB2312" w:hAnsi="仿宋_GB2312" w:eastAsia="仿宋_GB2312" w:cs="仿宋_GB2312"/>
                <w:kern w:val="2"/>
                <w:sz w:val="21"/>
                <w:szCs w:val="21"/>
                <w:lang w:val="en-US" w:eastAsia="zh-CN" w:bidi="ar-SA"/>
              </w:rPr>
              <w:br w:type="textWrapping"/>
            </w:r>
            <w:r>
              <w:rPr>
                <w:rFonts w:hint="eastAsia" w:ascii="仿宋_GB2312" w:hAnsi="仿宋_GB2312" w:eastAsia="仿宋_GB2312" w:cs="仿宋_GB2312"/>
                <w:kern w:val="2"/>
                <w:sz w:val="21"/>
                <w:szCs w:val="21"/>
                <w:lang w:val="en-US" w:eastAsia="zh-CN" w:bidi="ar-SA"/>
              </w:rPr>
              <w:t xml:space="preserve"> 统</w:t>
            </w:r>
            <w:r>
              <w:rPr>
                <w:rFonts w:hint="eastAsia" w:ascii="仿宋_GB2312" w:hAnsi="仿宋_GB2312" w:eastAsia="仿宋_GB2312" w:cs="仿宋_GB2312"/>
                <w:kern w:val="2"/>
                <w:sz w:val="21"/>
                <w:szCs w:val="21"/>
                <w:lang w:val="en-US" w:eastAsia="zh-CN" w:bidi="ar-SA"/>
              </w:rPr>
              <w:br w:type="textWrapping"/>
            </w:r>
            <w:r>
              <w:rPr>
                <w:rFonts w:hint="eastAsia" w:ascii="仿宋_GB2312" w:hAnsi="仿宋_GB2312" w:eastAsia="仿宋_GB2312" w:cs="仿宋_GB2312"/>
                <w:kern w:val="2"/>
                <w:sz w:val="21"/>
                <w:szCs w:val="21"/>
                <w:lang w:val="en-US" w:eastAsia="zh-CN" w:bidi="ar-SA"/>
              </w:rPr>
              <w:t xml:space="preserve"> 安</w:t>
            </w:r>
            <w:r>
              <w:rPr>
                <w:rFonts w:hint="eastAsia" w:ascii="仿宋_GB2312" w:hAnsi="仿宋_GB2312" w:eastAsia="仿宋_GB2312" w:cs="仿宋_GB2312"/>
                <w:kern w:val="2"/>
                <w:sz w:val="21"/>
                <w:szCs w:val="21"/>
                <w:lang w:val="en-US" w:eastAsia="zh-CN" w:bidi="ar-SA"/>
              </w:rPr>
              <w:br w:type="textWrapping"/>
            </w:r>
            <w:r>
              <w:rPr>
                <w:rFonts w:hint="eastAsia" w:ascii="仿宋_GB2312" w:hAnsi="仿宋_GB2312" w:eastAsia="仿宋_GB2312" w:cs="仿宋_GB2312"/>
                <w:kern w:val="2"/>
                <w:sz w:val="21"/>
                <w:szCs w:val="21"/>
                <w:lang w:val="en-US" w:eastAsia="zh-CN" w:bidi="ar-SA"/>
              </w:rPr>
              <w:t xml:space="preserve"> 装</w:t>
            </w:r>
            <w:r>
              <w:rPr>
                <w:rFonts w:hint="eastAsia" w:ascii="仿宋_GB2312" w:hAnsi="仿宋_GB2312" w:eastAsia="仿宋_GB2312" w:cs="仿宋_GB2312"/>
                <w:kern w:val="2"/>
                <w:sz w:val="21"/>
                <w:szCs w:val="21"/>
                <w:lang w:val="en-US" w:eastAsia="zh-CN" w:bidi="ar-SA"/>
              </w:rPr>
              <w:br w:type="textWrapping"/>
            </w:r>
            <w:r>
              <w:rPr>
                <w:rFonts w:hint="eastAsia" w:ascii="仿宋_GB2312" w:hAnsi="仿宋_GB2312" w:eastAsia="仿宋_GB2312" w:cs="仿宋_GB2312"/>
                <w:kern w:val="2"/>
                <w:sz w:val="21"/>
                <w:szCs w:val="21"/>
                <w:lang w:val="en-US" w:eastAsia="zh-CN" w:bidi="ar-SA"/>
              </w:rPr>
              <w:t xml:space="preserve"> 条</w:t>
            </w:r>
            <w:r>
              <w:rPr>
                <w:rFonts w:hint="eastAsia" w:ascii="仿宋_GB2312" w:hAnsi="仿宋_GB2312" w:eastAsia="仿宋_GB2312" w:cs="仿宋_GB2312"/>
                <w:kern w:val="2"/>
                <w:sz w:val="21"/>
                <w:szCs w:val="21"/>
                <w:lang w:val="en-US" w:eastAsia="zh-CN" w:bidi="ar-SA"/>
              </w:rPr>
              <w:br w:type="textWrapping"/>
            </w:r>
            <w:r>
              <w:rPr>
                <w:rFonts w:hint="eastAsia" w:ascii="仿宋_GB2312" w:hAnsi="仿宋_GB2312" w:eastAsia="仿宋_GB2312" w:cs="仿宋_GB2312"/>
                <w:kern w:val="2"/>
                <w:sz w:val="21"/>
                <w:szCs w:val="21"/>
                <w:lang w:val="en-US" w:eastAsia="zh-CN" w:bidi="ar-SA"/>
              </w:rPr>
              <w:t xml:space="preserve"> 件</w:t>
            </w:r>
          </w:p>
        </w:tc>
        <w:tc>
          <w:tcPr>
            <w:tcW w:w="5030" w:type="dxa"/>
            <w:tcBorders>
              <w:top w:val="single" w:color="auto" w:sz="8" w:space="0"/>
              <w:left w:val="nil"/>
              <w:bottom w:val="single" w:color="auto" w:sz="4" w:space="0"/>
              <w:right w:val="single" w:color="auto" w:sz="4"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道路类别：</w:t>
            </w:r>
          </w:p>
        </w:tc>
        <w:tc>
          <w:tcPr>
            <w:tcW w:w="2202" w:type="dxa"/>
            <w:tcBorders>
              <w:top w:val="single" w:color="auto" w:sz="8" w:space="0"/>
              <w:left w:val="nil"/>
              <w:bottom w:val="single" w:color="auto" w:sz="4" w:space="0"/>
              <w:right w:val="single" w:color="auto" w:sz="8"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园路</w:t>
            </w:r>
          </w:p>
        </w:tc>
      </w:tr>
      <w:tr>
        <w:tblPrEx>
          <w:tblCellMar>
            <w:top w:w="0" w:type="dxa"/>
            <w:left w:w="108" w:type="dxa"/>
            <w:bottom w:w="0" w:type="dxa"/>
            <w:right w:w="108" w:type="dxa"/>
          </w:tblCellMar>
        </w:tblPrEx>
        <w:trPr>
          <w:trHeight w:val="412" w:hRule="atLeast"/>
          <w:jc w:val="center"/>
        </w:trPr>
        <w:tc>
          <w:tcPr>
            <w:tcW w:w="679" w:type="dxa"/>
            <w:vMerge w:val="continue"/>
            <w:tcBorders>
              <w:left w:val="single" w:color="auto" w:sz="8" w:space="0"/>
              <w:right w:val="single" w:color="auto" w:sz="4" w:space="0"/>
            </w:tcBorders>
            <w:shd w:val="clear" w:color="auto" w:fill="auto"/>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p>
        </w:tc>
        <w:tc>
          <w:tcPr>
            <w:tcW w:w="5030" w:type="dxa"/>
            <w:tcBorders>
              <w:top w:val="single" w:color="auto" w:sz="4" w:space="0"/>
              <w:left w:val="nil"/>
              <w:bottom w:val="single" w:color="auto" w:sz="4" w:space="0"/>
              <w:right w:val="single" w:color="auto" w:sz="4"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道路宽度 (m)：</w:t>
            </w:r>
          </w:p>
        </w:tc>
        <w:tc>
          <w:tcPr>
            <w:tcW w:w="2202" w:type="dxa"/>
            <w:tcBorders>
              <w:top w:val="single" w:color="auto" w:sz="4" w:space="0"/>
              <w:left w:val="nil"/>
              <w:bottom w:val="single" w:color="auto" w:sz="4" w:space="0"/>
              <w:right w:val="single" w:color="auto" w:sz="4"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1.5</w:t>
            </w:r>
          </w:p>
        </w:tc>
      </w:tr>
      <w:tr>
        <w:tblPrEx>
          <w:tblCellMar>
            <w:top w:w="0" w:type="dxa"/>
            <w:left w:w="108" w:type="dxa"/>
            <w:bottom w:w="0" w:type="dxa"/>
            <w:right w:w="108" w:type="dxa"/>
          </w:tblCellMar>
        </w:tblPrEx>
        <w:trPr>
          <w:trHeight w:val="392" w:hRule="atLeast"/>
          <w:jc w:val="center"/>
        </w:trPr>
        <w:tc>
          <w:tcPr>
            <w:tcW w:w="679" w:type="dxa"/>
            <w:vMerge w:val="continue"/>
            <w:tcBorders>
              <w:left w:val="single" w:color="auto" w:sz="8" w:space="0"/>
              <w:right w:val="single" w:color="auto" w:sz="4" w:space="0"/>
            </w:tcBorders>
            <w:shd w:val="clear" w:color="auto" w:fill="auto"/>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p>
        </w:tc>
        <w:tc>
          <w:tcPr>
            <w:tcW w:w="5030" w:type="dxa"/>
            <w:tcBorders>
              <w:top w:val="single" w:color="auto" w:sz="4" w:space="0"/>
              <w:left w:val="nil"/>
              <w:bottom w:val="single" w:color="auto" w:sz="4" w:space="0"/>
              <w:right w:val="single" w:color="auto" w:sz="4"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道路表面材料</w:t>
            </w:r>
          </w:p>
        </w:tc>
        <w:tc>
          <w:tcPr>
            <w:tcW w:w="2202" w:type="dxa"/>
            <w:tcBorders>
              <w:top w:val="nil"/>
              <w:left w:val="nil"/>
              <w:bottom w:val="single" w:color="auto" w:sz="4" w:space="0"/>
              <w:right w:val="single" w:color="auto" w:sz="8"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沥青/面包砖</w:t>
            </w:r>
          </w:p>
        </w:tc>
      </w:tr>
      <w:tr>
        <w:tblPrEx>
          <w:tblCellMar>
            <w:top w:w="0" w:type="dxa"/>
            <w:left w:w="108" w:type="dxa"/>
            <w:bottom w:w="0" w:type="dxa"/>
            <w:right w:w="108" w:type="dxa"/>
          </w:tblCellMar>
        </w:tblPrEx>
        <w:trPr>
          <w:trHeight w:val="412" w:hRule="atLeast"/>
          <w:jc w:val="center"/>
        </w:trPr>
        <w:tc>
          <w:tcPr>
            <w:tcW w:w="679" w:type="dxa"/>
            <w:vMerge w:val="continue"/>
            <w:tcBorders>
              <w:left w:val="single" w:color="auto" w:sz="8" w:space="0"/>
              <w:right w:val="single" w:color="auto" w:sz="4" w:space="0"/>
            </w:tcBorders>
            <w:shd w:val="clear" w:color="auto" w:fill="auto"/>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p>
        </w:tc>
        <w:tc>
          <w:tcPr>
            <w:tcW w:w="5030" w:type="dxa"/>
            <w:tcBorders>
              <w:top w:val="single" w:color="auto" w:sz="4" w:space="0"/>
              <w:left w:val="nil"/>
              <w:bottom w:val="single" w:color="auto" w:sz="4" w:space="0"/>
              <w:right w:val="single" w:color="auto" w:sz="4"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灯具布置方式</w:t>
            </w:r>
          </w:p>
        </w:tc>
        <w:tc>
          <w:tcPr>
            <w:tcW w:w="2202" w:type="dxa"/>
            <w:tcBorders>
              <w:top w:val="nil"/>
              <w:left w:val="nil"/>
              <w:bottom w:val="single" w:color="auto" w:sz="4" w:space="0"/>
              <w:right w:val="single" w:color="auto" w:sz="8"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单侧</w:t>
            </w:r>
          </w:p>
        </w:tc>
      </w:tr>
      <w:tr>
        <w:tblPrEx>
          <w:tblCellMar>
            <w:top w:w="0" w:type="dxa"/>
            <w:left w:w="108" w:type="dxa"/>
            <w:bottom w:w="0" w:type="dxa"/>
            <w:right w:w="108" w:type="dxa"/>
          </w:tblCellMar>
        </w:tblPrEx>
        <w:trPr>
          <w:trHeight w:val="412" w:hRule="atLeast"/>
          <w:jc w:val="center"/>
        </w:trPr>
        <w:tc>
          <w:tcPr>
            <w:tcW w:w="679" w:type="dxa"/>
            <w:vMerge w:val="continue"/>
            <w:tcBorders>
              <w:left w:val="single" w:color="auto" w:sz="8" w:space="0"/>
              <w:right w:val="single" w:color="auto" w:sz="4" w:space="0"/>
            </w:tcBorders>
            <w:shd w:val="clear" w:color="auto" w:fill="auto"/>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p>
        </w:tc>
        <w:tc>
          <w:tcPr>
            <w:tcW w:w="5030" w:type="dxa"/>
            <w:tcBorders>
              <w:top w:val="single" w:color="auto" w:sz="4" w:space="0"/>
              <w:left w:val="nil"/>
              <w:bottom w:val="single" w:color="auto" w:sz="4" w:space="0"/>
              <w:right w:val="single" w:color="auto" w:sz="4"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灯具安装高度h(m)</w:t>
            </w:r>
          </w:p>
        </w:tc>
        <w:tc>
          <w:tcPr>
            <w:tcW w:w="2202" w:type="dxa"/>
            <w:tcBorders>
              <w:top w:val="nil"/>
              <w:left w:val="nil"/>
              <w:bottom w:val="single" w:color="auto" w:sz="4" w:space="0"/>
              <w:right w:val="single" w:color="auto" w:sz="8"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0.8</w:t>
            </w:r>
          </w:p>
        </w:tc>
      </w:tr>
      <w:tr>
        <w:tblPrEx>
          <w:tblCellMar>
            <w:top w:w="0" w:type="dxa"/>
            <w:left w:w="108" w:type="dxa"/>
            <w:bottom w:w="0" w:type="dxa"/>
            <w:right w:w="108" w:type="dxa"/>
          </w:tblCellMar>
        </w:tblPrEx>
        <w:trPr>
          <w:trHeight w:val="412" w:hRule="atLeast"/>
          <w:jc w:val="center"/>
        </w:trPr>
        <w:tc>
          <w:tcPr>
            <w:tcW w:w="679" w:type="dxa"/>
            <w:vMerge w:val="continue"/>
            <w:tcBorders>
              <w:left w:val="single" w:color="auto" w:sz="8" w:space="0"/>
              <w:right w:val="single" w:color="auto" w:sz="4" w:space="0"/>
            </w:tcBorders>
            <w:shd w:val="clear" w:color="auto" w:fill="auto"/>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p>
        </w:tc>
        <w:tc>
          <w:tcPr>
            <w:tcW w:w="5030" w:type="dxa"/>
            <w:tcBorders>
              <w:top w:val="single" w:color="auto" w:sz="4" w:space="0"/>
              <w:left w:val="nil"/>
              <w:bottom w:val="single" w:color="auto" w:sz="4" w:space="0"/>
              <w:right w:val="single" w:color="auto" w:sz="4"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灯杆的安装间距S(m)</w:t>
            </w:r>
          </w:p>
        </w:tc>
        <w:tc>
          <w:tcPr>
            <w:tcW w:w="2202" w:type="dxa"/>
            <w:tcBorders>
              <w:top w:val="nil"/>
              <w:left w:val="nil"/>
              <w:bottom w:val="single" w:color="auto" w:sz="4" w:space="0"/>
              <w:right w:val="single" w:color="auto" w:sz="8"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6-8</w:t>
            </w:r>
          </w:p>
        </w:tc>
      </w:tr>
      <w:tr>
        <w:tblPrEx>
          <w:tblCellMar>
            <w:top w:w="0" w:type="dxa"/>
            <w:left w:w="108" w:type="dxa"/>
            <w:bottom w:w="0" w:type="dxa"/>
            <w:right w:w="108" w:type="dxa"/>
          </w:tblCellMar>
        </w:tblPrEx>
        <w:trPr>
          <w:trHeight w:val="412" w:hRule="atLeast"/>
          <w:jc w:val="center"/>
        </w:trPr>
        <w:tc>
          <w:tcPr>
            <w:tcW w:w="679" w:type="dxa"/>
            <w:vMerge w:val="continue"/>
            <w:tcBorders>
              <w:left w:val="single" w:color="auto" w:sz="8" w:space="0"/>
              <w:right w:val="single" w:color="auto" w:sz="4" w:space="0"/>
            </w:tcBorders>
            <w:shd w:val="clear" w:color="auto" w:fill="auto"/>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p>
        </w:tc>
        <w:tc>
          <w:tcPr>
            <w:tcW w:w="5030" w:type="dxa"/>
            <w:tcBorders>
              <w:top w:val="single" w:color="auto" w:sz="4" w:space="0"/>
              <w:left w:val="nil"/>
              <w:bottom w:val="single" w:color="auto" w:sz="4" w:space="0"/>
              <w:right w:val="single" w:color="auto" w:sz="4"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灯杆与路沿的距离(m)</w:t>
            </w:r>
          </w:p>
        </w:tc>
        <w:tc>
          <w:tcPr>
            <w:tcW w:w="2202" w:type="dxa"/>
            <w:tcBorders>
              <w:top w:val="nil"/>
              <w:left w:val="nil"/>
              <w:bottom w:val="single" w:color="auto" w:sz="4" w:space="0"/>
              <w:right w:val="single" w:color="auto" w:sz="8"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0.3</w:t>
            </w:r>
          </w:p>
        </w:tc>
      </w:tr>
      <w:tr>
        <w:tblPrEx>
          <w:tblCellMar>
            <w:top w:w="0" w:type="dxa"/>
            <w:left w:w="108" w:type="dxa"/>
            <w:bottom w:w="0" w:type="dxa"/>
            <w:right w:w="108" w:type="dxa"/>
          </w:tblCellMar>
        </w:tblPrEx>
        <w:trPr>
          <w:trHeight w:val="385" w:hRule="atLeast"/>
          <w:jc w:val="center"/>
        </w:trPr>
        <w:tc>
          <w:tcPr>
            <w:tcW w:w="679" w:type="dxa"/>
            <w:vMerge w:val="continue"/>
            <w:tcBorders>
              <w:left w:val="single" w:color="auto" w:sz="8" w:space="0"/>
              <w:bottom w:val="single" w:color="000000" w:sz="8" w:space="0"/>
              <w:right w:val="single" w:color="auto" w:sz="4" w:space="0"/>
            </w:tcBorders>
            <w:shd w:val="clear" w:color="auto" w:fill="auto"/>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p>
        </w:tc>
        <w:tc>
          <w:tcPr>
            <w:tcW w:w="5030" w:type="dxa"/>
            <w:tcBorders>
              <w:top w:val="single" w:color="auto" w:sz="4" w:space="0"/>
              <w:left w:val="nil"/>
              <w:bottom w:val="single" w:color="auto" w:sz="8" w:space="0"/>
              <w:right w:val="single" w:color="auto" w:sz="4"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灯具维护系数</w:t>
            </w:r>
          </w:p>
        </w:tc>
        <w:tc>
          <w:tcPr>
            <w:tcW w:w="2202" w:type="dxa"/>
            <w:tcBorders>
              <w:top w:val="single" w:color="auto" w:sz="4" w:space="0"/>
              <w:left w:val="nil"/>
              <w:bottom w:val="single" w:color="auto" w:sz="4" w:space="0"/>
              <w:right w:val="single" w:color="auto" w:sz="4" w:space="0"/>
            </w:tcBorders>
            <w:shd w:val="clear" w:color="auto" w:fill="FFFFFF"/>
            <w:noWrap w:val="0"/>
            <w:vAlign w:val="center"/>
          </w:tcPr>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0.7</w:t>
            </w:r>
          </w:p>
        </w:tc>
      </w:tr>
    </w:tbl>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Ⅱ、在上述道路模拟安装条件下照明需满足以下要求：</w:t>
      </w:r>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（1）路面平均照度Eav（Lx）维持值不低于5Lx</w:t>
      </w:r>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（2）路面最小照度Emin（Lx）维持值不低于1Lx</w:t>
      </w:r>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灯具批量安装后，将对现场路面照度进行抽检，如测量数据未达标，中标单位需在一个月内整改完毕，并承担整改所需所有费用。</w:t>
      </w:r>
    </w:p>
    <w:p>
      <w:pPr>
        <w:pStyle w:val="4"/>
        <w:numPr>
          <w:ilvl w:val="0"/>
          <w:numId w:val="0"/>
        </w:numPr>
        <w:spacing w:line="360" w:lineRule="auto"/>
        <w:ind w:left="420" w:leftChars="0"/>
        <w:rPr>
          <w:rFonts w:hint="eastAsia" w:ascii="仿宋_GB2312" w:hAnsi="仿宋_GB2312" w:eastAsia="仿宋_GB2312" w:cs="仿宋_GB2312"/>
          <w:b/>
          <w:kern w:val="0"/>
          <w:sz w:val="21"/>
          <w:szCs w:val="21"/>
          <w:lang w:val="en-US" w:eastAsia="zh-CN" w:bidi="ar-SA"/>
        </w:rPr>
      </w:pPr>
      <w:bookmarkStart w:id="39" w:name="_Toc25073"/>
      <w:r>
        <w:rPr>
          <w:rFonts w:hint="eastAsia" w:ascii="仿宋_GB2312" w:hAnsi="仿宋_GB2312" w:eastAsia="仿宋_GB2312" w:cs="仿宋_GB2312"/>
          <w:b/>
          <w:kern w:val="0"/>
          <w:sz w:val="21"/>
          <w:szCs w:val="21"/>
          <w:lang w:val="en-US" w:eastAsia="zh-CN" w:bidi="ar-SA"/>
        </w:rPr>
        <w:t>3）灯杆要求</w:t>
      </w:r>
      <w:bookmarkEnd w:id="39"/>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若技术文件要求灯杆材质为钢杆，钢制品为优质Q235钢材。附钢材生产厂家“产品质量证明书”。必须采用自动埋弧焊接工艺。整个杆体应无任何一处漏焊，焊缝平整，表面光滑，无任何焊接缺陷。焊接工艺符合国家标准。要求提供焊接探伤报告。也可以采用优质钢管。</w:t>
      </w:r>
    </w:p>
    <w:p>
      <w:pPr>
        <w:pStyle w:val="4"/>
        <w:numPr>
          <w:ilvl w:val="0"/>
          <w:numId w:val="0"/>
        </w:numPr>
        <w:spacing w:line="360" w:lineRule="auto"/>
        <w:ind w:left="420" w:leftChars="0"/>
        <w:rPr>
          <w:rFonts w:hint="eastAsia" w:ascii="仿宋_GB2312" w:hAnsi="仿宋_GB2312" w:eastAsia="仿宋_GB2312" w:cs="仿宋_GB2312"/>
          <w:b/>
          <w:kern w:val="0"/>
          <w:sz w:val="21"/>
          <w:szCs w:val="21"/>
          <w:lang w:val="en-US" w:eastAsia="zh-CN" w:bidi="ar-SA"/>
        </w:rPr>
      </w:pPr>
      <w:bookmarkStart w:id="40" w:name="_Toc4165"/>
      <w:r>
        <w:rPr>
          <w:rFonts w:hint="eastAsia" w:ascii="仿宋_GB2312" w:hAnsi="仿宋_GB2312" w:eastAsia="仿宋_GB2312" w:cs="仿宋_GB2312"/>
          <w:b/>
          <w:kern w:val="0"/>
          <w:sz w:val="21"/>
          <w:szCs w:val="21"/>
          <w:lang w:val="en-US" w:eastAsia="zh-CN" w:bidi="ar-SA"/>
        </w:rPr>
        <w:t>4）法兰要求</w:t>
      </w:r>
      <w:bookmarkEnd w:id="40"/>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法兰盘安装孔中心距为140×140mm，如图。法兰盘材质为12毫米Q235优质钢板，附钢材生产厂家“产品质量证明书”。</w:t>
      </w:r>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drawing>
          <wp:inline distT="0" distB="0" distL="114300" distR="114300">
            <wp:extent cx="2212975" cy="1905000"/>
            <wp:effectExtent l="0" t="0" r="15875" b="0"/>
            <wp:docPr id="89" name="图片 1" descr="草坪灯法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 descr="草坪灯法兰2"/>
                    <pic:cNvPicPr>
                      <a:picLocks noChangeAspect="1"/>
                    </pic:cNvPicPr>
                  </pic:nvPicPr>
                  <pic:blipFill>
                    <a:blip r:embed="rId15"/>
                    <a:srcRect l="16924" t="7481" r="9393" b="29302"/>
                    <a:stretch>
                      <a:fillRect/>
                    </a:stretch>
                  </pic:blipFill>
                  <pic:spPr>
                    <a:xfrm>
                      <a:off x="0" y="0"/>
                      <a:ext cx="2212975" cy="1905000"/>
                    </a:xfrm>
                    <a:prstGeom prst="rect">
                      <a:avLst/>
                    </a:prstGeom>
                    <a:noFill/>
                    <a:ln w="9525">
                      <a:noFill/>
                    </a:ln>
                  </pic:spPr>
                </pic:pic>
              </a:graphicData>
            </a:graphic>
          </wp:inline>
        </w:drawing>
      </w:r>
    </w:p>
    <w:p>
      <w:pPr>
        <w:pStyle w:val="4"/>
        <w:numPr>
          <w:ilvl w:val="0"/>
          <w:numId w:val="0"/>
        </w:numPr>
        <w:spacing w:line="360" w:lineRule="auto"/>
        <w:ind w:left="420" w:leftChars="0"/>
        <w:rPr>
          <w:rFonts w:hint="eastAsia" w:ascii="仿宋_GB2312" w:hAnsi="仿宋_GB2312" w:eastAsia="仿宋_GB2312" w:cs="仿宋_GB2312"/>
          <w:b/>
          <w:kern w:val="0"/>
          <w:sz w:val="21"/>
          <w:szCs w:val="21"/>
          <w:lang w:val="en-US" w:eastAsia="zh-CN" w:bidi="ar-SA"/>
        </w:rPr>
      </w:pPr>
      <w:bookmarkStart w:id="41" w:name="_Toc1779"/>
      <w:r>
        <w:rPr>
          <w:rFonts w:hint="eastAsia" w:ascii="仿宋_GB2312" w:hAnsi="仿宋_GB2312" w:eastAsia="仿宋_GB2312" w:cs="仿宋_GB2312"/>
          <w:b/>
          <w:kern w:val="0"/>
          <w:sz w:val="21"/>
          <w:szCs w:val="21"/>
          <w:lang w:val="en-US" w:eastAsia="zh-CN" w:bidi="ar-SA"/>
        </w:rPr>
        <w:t>5）喷涂要求</w:t>
      </w:r>
      <w:bookmarkEnd w:id="41"/>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灯头、灯杆表面热浸锌防腐处理，厚度δ≥70μm。</w:t>
      </w:r>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灯杆表面喷塑处理，不允许做磨砂喷塑，喷塑涂层外观表面光滑,平整,无露铁,桔皮,细小颗粒和缩孔等涂装缺陷。</w:t>
      </w:r>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(1)喷塑表面涂层平均厚度应达到85μm 以上。</w:t>
      </w:r>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(2)喷塑涂层的附着力应达到GB/T 9286 规定的0 级要求。</w:t>
      </w:r>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(3)喷塑涂层的硬度应按GB/T 6739规定，并达到2H要求。</w:t>
      </w:r>
    </w:p>
    <w:p>
      <w:pPr>
        <w:spacing w:line="360" w:lineRule="auto"/>
        <w:ind w:firstLine="420" w:firstLineChars="200"/>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(4)喷塑涂层的冲击强度不小于1kg/50cm，并符合GB/T 1732 的要求。</w:t>
      </w:r>
    </w:p>
    <w:p>
      <w:pPr>
        <w:spacing w:line="360" w:lineRule="auto"/>
        <w:ind w:firstLine="420" w:firstLineChars="200"/>
        <w:rPr>
          <w:rFonts w:cs="仿宋_GB2312" w:asciiTheme="minorEastAsia" w:hAnsiTheme="minorEastAsia"/>
          <w:szCs w:val="21"/>
        </w:rPr>
      </w:pPr>
    </w:p>
    <w:p>
      <w:pPr>
        <w:spacing w:line="360" w:lineRule="auto"/>
        <w:rPr>
          <w:rFonts w:cs="仿宋_GB2312" w:asciiTheme="minorEastAsia" w:hAnsiTheme="minorEastAsia"/>
          <w:szCs w:val="21"/>
        </w:rPr>
      </w:pPr>
    </w:p>
    <w:p>
      <w:pPr>
        <w:pStyle w:val="2"/>
        <w:spacing w:before="156" w:after="468" w:line="360" w:lineRule="auto"/>
        <w:ind w:left="420"/>
        <w:rPr>
          <w:rFonts w:cs="仿宋_GB2312" w:asciiTheme="minorEastAsia" w:hAnsiTheme="minorEastAsia"/>
          <w:kern w:val="0"/>
          <w:szCs w:val="21"/>
        </w:rPr>
      </w:pPr>
      <w:r>
        <w:rPr>
          <w:rFonts w:hint="eastAsia" w:cs="黑体" w:asciiTheme="minorEastAsia" w:hAnsiTheme="minorEastAsia"/>
          <w:sz w:val="40"/>
          <w:szCs w:val="40"/>
        </w:rPr>
        <w:t>四、灯具详细参数</w:t>
      </w:r>
    </w:p>
    <w:p>
      <w:pPr>
        <w:rPr>
          <w:rFonts w:cs="仿宋_GB2312" w:asciiTheme="minorEastAsia" w:hAnsiTheme="minorEastAsia"/>
          <w:b/>
          <w:bCs/>
          <w:kern w:val="0"/>
          <w:szCs w:val="21"/>
        </w:rPr>
      </w:pPr>
      <w:r>
        <w:rPr>
          <w:rFonts w:hint="eastAsia" w:cs="仿宋_GB2312" w:asciiTheme="minorEastAsia" w:hAnsiTheme="minorEastAsia"/>
          <w:b/>
          <w:kern w:val="0"/>
          <w:szCs w:val="21"/>
        </w:rPr>
        <w:t>1）</w:t>
      </w:r>
      <w:r>
        <w:rPr>
          <w:rFonts w:hint="eastAsia" w:cs="仿宋_GB2312" w:asciiTheme="minorEastAsia" w:hAnsiTheme="minorEastAsia"/>
          <w:b/>
          <w:bCs/>
          <w:kern w:val="0"/>
          <w:szCs w:val="21"/>
        </w:rPr>
        <w:t>10W LED立方体草坪灯（3000K）</w:t>
      </w:r>
    </w:p>
    <w:tbl>
      <w:tblPr>
        <w:tblStyle w:val="8"/>
        <w:tblW w:w="8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18"/>
        <w:gridCol w:w="1150"/>
        <w:gridCol w:w="167"/>
        <w:gridCol w:w="1606"/>
        <w:gridCol w:w="1500"/>
        <w:gridCol w:w="1084"/>
        <w:gridCol w:w="2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830" w:hRule="atLeast"/>
          <w:jc w:val="center"/>
        </w:trPr>
        <w:tc>
          <w:tcPr>
            <w:tcW w:w="918" w:type="dxa"/>
            <w:vMerge w:val="restart"/>
            <w:tcBorders>
              <w:tl2br w:val="nil"/>
              <w:tr2bl w:val="nil"/>
            </w:tcBorders>
            <w:shd w:val="clear" w:color="auto" w:fill="auto"/>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灯具</w:t>
            </w:r>
          </w:p>
        </w:tc>
        <w:tc>
          <w:tcPr>
            <w:tcW w:w="2923" w:type="dxa"/>
            <w:gridSpan w:val="3"/>
            <w:tcBorders>
              <w:tl2br w:val="nil"/>
              <w:tr2bl w:val="nil"/>
            </w:tcBorders>
            <w:shd w:val="clear" w:color="auto" w:fill="auto"/>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外形</w:t>
            </w:r>
            <w:r>
              <w:rPr>
                <w:rFonts w:hint="eastAsia" w:cs="仿宋_GB2312" w:asciiTheme="minorEastAsia" w:hAnsiTheme="minorEastAsia"/>
                <w:b/>
                <w:kern w:val="0"/>
                <w:szCs w:val="21"/>
              </w:rPr>
              <w:br w:type="textWrapping"/>
            </w:r>
            <w:r>
              <w:rPr>
                <w:rFonts w:hint="eastAsia" w:cs="仿宋_GB2312" w:asciiTheme="minorEastAsia" w:hAnsiTheme="minorEastAsia"/>
                <w:b/>
                <w:kern w:val="0"/>
                <w:szCs w:val="21"/>
              </w:rPr>
              <w:t>（仅供参考）</w:t>
            </w:r>
          </w:p>
        </w:tc>
        <w:tc>
          <w:tcPr>
            <w:tcW w:w="4927" w:type="dxa"/>
            <w:gridSpan w:val="3"/>
            <w:tcBorders>
              <w:tl2br w:val="nil"/>
              <w:tr2bl w:val="nil"/>
            </w:tcBorders>
            <w:shd w:val="clear" w:color="auto" w:fill="auto"/>
            <w:vAlign w:val="center"/>
          </w:tcPr>
          <w:p>
            <w:pPr>
              <w:widowControl/>
              <w:jc w:val="center"/>
              <w:textAlignment w:val="center"/>
              <w:rPr>
                <w:rFonts w:cs="仿宋_GB2312" w:asciiTheme="minorEastAsia" w:hAnsiTheme="minorEastAsia"/>
                <w:szCs w:val="21"/>
              </w:rPr>
            </w:pPr>
            <w:r>
              <w:rPr>
                <w:rFonts w:cs="仿宋_GB2312" w:asciiTheme="minorEastAsia" w:hAnsiTheme="minorEastAsia"/>
                <w:szCs w:val="21"/>
              </w:rPr>
              <w:drawing>
                <wp:inline distT="0" distB="0" distL="0" distR="0">
                  <wp:extent cx="1045210" cy="2261870"/>
                  <wp:effectExtent l="0" t="0" r="2540" b="5080"/>
                  <wp:docPr id="4" name="图片 4" descr="C:\Users\jiechu\AppData\Local\Temp\WeChat Files\21dbcc54fd2b2f440b334c2e28b6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jiechu\AppData\Local\Temp\WeChat Files\21dbcc54fd2b2f440b334c2e28b649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045210" cy="2261870"/>
                          </a:xfrm>
                          <a:prstGeom prst="rect">
                            <a:avLst/>
                          </a:prstGeom>
                          <a:noFill/>
                          <a:ln>
                            <a:noFill/>
                          </a:ln>
                        </pic:spPr>
                      </pic:pic>
                    </a:graphicData>
                  </a:graphic>
                </wp:inline>
              </w:drawing>
            </w:r>
            <w:r>
              <w:rPr>
                <w:rFonts w:hint="eastAsia"/>
              </w:rPr>
              <w:t xml:space="preserve"> </w:t>
            </w:r>
            <w:r>
              <w:drawing>
                <wp:inline distT="0" distB="0" distL="0" distR="0">
                  <wp:extent cx="1702435" cy="23622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1707078" cy="2368457"/>
                          </a:xfrm>
                          <a:prstGeom prst="rect">
                            <a:avLst/>
                          </a:prstGeom>
                        </pic:spPr>
                      </pic:pic>
                    </a:graphicData>
                  </a:graphic>
                </wp:inline>
              </w:drawing>
            </w:r>
          </w:p>
          <w:p>
            <w:pPr>
              <w:widowControl/>
              <w:jc w:val="center"/>
              <w:textAlignment w:val="center"/>
              <w:rPr>
                <w:rFonts w:cs="仿宋_GB2312" w:asciiTheme="minorEastAsia" w:hAnsiTheme="minorEastAsia"/>
                <w:szCs w:val="21"/>
              </w:rPr>
            </w:pPr>
            <w:r>
              <w:drawing>
                <wp:anchor distT="0" distB="0" distL="114300" distR="114300" simplePos="0" relativeHeight="251662336" behindDoc="0" locked="0" layoutInCell="1" allowOverlap="1">
                  <wp:simplePos x="0" y="0"/>
                  <wp:positionH relativeFrom="column">
                    <wp:posOffset>999490</wp:posOffset>
                  </wp:positionH>
                  <wp:positionV relativeFrom="paragraph">
                    <wp:posOffset>116840</wp:posOffset>
                  </wp:positionV>
                  <wp:extent cx="1036955" cy="1061085"/>
                  <wp:effectExtent l="0" t="0" r="0" b="5715"/>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036955" cy="1061085"/>
                          </a:xfrm>
                          <a:prstGeom prst="rect">
                            <a:avLst/>
                          </a:prstGeom>
                        </pic:spPr>
                      </pic:pic>
                    </a:graphicData>
                  </a:graphic>
                </wp:anchor>
              </w:drawing>
            </w:r>
          </w:p>
          <w:p>
            <w:pPr>
              <w:widowControl/>
              <w:jc w:val="center"/>
              <w:textAlignment w:val="center"/>
              <w:rPr>
                <w:rFonts w:cs="仿宋_GB2312" w:asciiTheme="minorEastAsia" w:hAnsiTheme="minorEastAsia"/>
                <w:szCs w:val="21"/>
              </w:rPr>
            </w:pPr>
          </w:p>
          <w:p>
            <w:pPr>
              <w:widowControl/>
              <w:jc w:val="center"/>
              <w:textAlignment w:val="center"/>
              <w:rPr>
                <w:rFonts w:cs="仿宋_GB2312" w:asciiTheme="minorEastAsia" w:hAnsiTheme="minorEastAsia"/>
                <w:szCs w:val="21"/>
              </w:rPr>
            </w:pPr>
          </w:p>
          <w:p>
            <w:pPr>
              <w:widowControl/>
              <w:jc w:val="center"/>
              <w:textAlignment w:val="center"/>
              <w:rPr>
                <w:rFonts w:cs="仿宋_GB2312" w:asciiTheme="minorEastAsia" w:hAnsiTheme="minorEastAsia"/>
                <w:szCs w:val="21"/>
              </w:rPr>
            </w:pPr>
          </w:p>
          <w:p>
            <w:pPr>
              <w:widowControl/>
              <w:jc w:val="center"/>
              <w:textAlignment w:val="center"/>
              <w:rPr>
                <w:rFonts w:cs="仿宋_GB2312" w:asciiTheme="minorEastAsia" w:hAnsiTheme="minorEastAsia"/>
                <w:szCs w:val="21"/>
              </w:rPr>
            </w:pPr>
          </w:p>
          <w:p>
            <w:pPr>
              <w:widowControl/>
              <w:textAlignment w:val="center"/>
              <w:rPr>
                <w:rFonts w:cs="仿宋_GB2312" w:asciiTheme="minorEastAsia" w:hAnsi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918" w:type="dxa"/>
            <w:vMerge w:val="continue"/>
            <w:tcBorders>
              <w:tl2br w:val="nil"/>
              <w:tr2bl w:val="nil"/>
            </w:tcBorders>
            <w:shd w:val="clear" w:color="auto" w:fill="auto"/>
            <w:vAlign w:val="center"/>
          </w:tcPr>
          <w:p>
            <w:pPr>
              <w:jc w:val="center"/>
              <w:rPr>
                <w:rFonts w:cs="仿宋_GB2312" w:asciiTheme="minorEastAsia" w:hAnsiTheme="minorEastAsia"/>
                <w:b/>
                <w:szCs w:val="21"/>
              </w:rPr>
            </w:pPr>
          </w:p>
        </w:tc>
        <w:tc>
          <w:tcPr>
            <w:tcW w:w="1150" w:type="dxa"/>
            <w:vMerge w:val="restart"/>
            <w:tcBorders>
              <w:tl2br w:val="nil"/>
              <w:tr2bl w:val="nil"/>
            </w:tcBorders>
            <w:shd w:val="clear" w:color="auto" w:fill="auto"/>
            <w:vAlign w:val="center"/>
          </w:tcPr>
          <w:p>
            <w:pPr>
              <w:widowControl/>
              <w:jc w:val="left"/>
              <w:textAlignment w:val="center"/>
              <w:rPr>
                <w:rFonts w:cs="仿宋_GB2312" w:asciiTheme="minorEastAsia" w:hAnsiTheme="minorEastAsia"/>
                <w:b/>
                <w:szCs w:val="21"/>
              </w:rPr>
            </w:pPr>
            <w:r>
              <w:rPr>
                <w:rFonts w:hint="eastAsia" w:cs="仿宋_GB2312" w:asciiTheme="minorEastAsia" w:hAnsiTheme="minorEastAsia"/>
                <w:b/>
                <w:kern w:val="0"/>
                <w:szCs w:val="21"/>
              </w:rPr>
              <w:t>尺寸（不含支架）</w:t>
            </w:r>
          </w:p>
        </w:tc>
        <w:tc>
          <w:tcPr>
            <w:tcW w:w="1773" w:type="dxa"/>
            <w:gridSpan w:val="2"/>
            <w:tcBorders>
              <w:tl2br w:val="nil"/>
              <w:tr2bl w:val="nil"/>
            </w:tcBorders>
            <w:shd w:val="clear" w:color="auto" w:fill="auto"/>
            <w:vAlign w:val="center"/>
          </w:tcPr>
          <w:p>
            <w:pPr>
              <w:widowControl/>
              <w:jc w:val="left"/>
              <w:textAlignment w:val="center"/>
              <w:rPr>
                <w:rFonts w:cs="仿宋_GB2312" w:asciiTheme="minorEastAsia" w:hAnsiTheme="minorEastAsia"/>
                <w:b/>
                <w:szCs w:val="21"/>
              </w:rPr>
            </w:pPr>
            <w:r>
              <w:rPr>
                <w:rFonts w:hint="eastAsia" w:cs="仿宋_GB2312" w:asciiTheme="minorEastAsia" w:hAnsiTheme="minorEastAsia"/>
                <w:b/>
                <w:kern w:val="0"/>
                <w:szCs w:val="21"/>
              </w:rPr>
              <w:t>长度（L）</w:t>
            </w:r>
          </w:p>
        </w:tc>
        <w:tc>
          <w:tcPr>
            <w:tcW w:w="1500" w:type="dxa"/>
            <w:tcBorders>
              <w:tl2br w:val="nil"/>
              <w:tr2bl w:val="nil"/>
            </w:tcBorders>
            <w:shd w:val="clear" w:color="auto" w:fill="auto"/>
            <w:vAlign w:val="center"/>
          </w:tcPr>
          <w:p>
            <w:pPr>
              <w:widowControl/>
              <w:jc w:val="center"/>
              <w:textAlignment w:val="center"/>
              <w:rPr>
                <w:rFonts w:cs="仿宋_GB2312" w:asciiTheme="minorEastAsia" w:hAnsiTheme="minorEastAsia"/>
                <w:szCs w:val="21"/>
              </w:rPr>
            </w:pPr>
            <w:r>
              <w:rPr>
                <w:rFonts w:hint="eastAsia" w:cs="仿宋_GB2312" w:asciiTheme="minorEastAsia" w:hAnsiTheme="minorEastAsia"/>
                <w:kern w:val="0"/>
                <w:szCs w:val="21"/>
              </w:rPr>
              <w:t>600mm</w:t>
            </w:r>
          </w:p>
        </w:tc>
        <w:tc>
          <w:tcPr>
            <w:tcW w:w="1084" w:type="dxa"/>
            <w:tcBorders>
              <w:tl2br w:val="nil"/>
              <w:tr2bl w:val="nil"/>
            </w:tcBorders>
            <w:shd w:val="clear" w:color="auto" w:fill="auto"/>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允许偏差</w:t>
            </w:r>
          </w:p>
        </w:tc>
        <w:tc>
          <w:tcPr>
            <w:tcW w:w="2343" w:type="dxa"/>
            <w:tcBorders>
              <w:tl2br w:val="nil"/>
              <w:tr2bl w:val="nil"/>
            </w:tcBorders>
            <w:shd w:val="clear" w:color="auto" w:fill="auto"/>
            <w:vAlign w:val="center"/>
          </w:tcPr>
          <w:p>
            <w:pPr>
              <w:widowControl/>
              <w:jc w:val="center"/>
              <w:textAlignment w:val="center"/>
              <w:rPr>
                <w:rFonts w:cs="仿宋_GB2312" w:asciiTheme="minorEastAsia" w:hAnsiTheme="minorEastAsia"/>
                <w:szCs w:val="21"/>
              </w:rPr>
            </w:pPr>
            <w:r>
              <w:rPr>
                <w:rFonts w:hint="eastAsia" w:cs="仿宋_GB2312" w:asciiTheme="minorEastAsia" w:hAnsiTheme="minorEastAsia"/>
                <w:kern w:val="0"/>
                <w:szCs w:val="21"/>
              </w:rPr>
              <w:t>±1mm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918" w:type="dxa"/>
            <w:vMerge w:val="continue"/>
            <w:tcBorders>
              <w:tl2br w:val="nil"/>
              <w:tr2bl w:val="nil"/>
            </w:tcBorders>
            <w:shd w:val="clear" w:color="auto" w:fill="auto"/>
            <w:vAlign w:val="center"/>
          </w:tcPr>
          <w:p>
            <w:pPr>
              <w:jc w:val="center"/>
              <w:rPr>
                <w:rFonts w:cs="仿宋_GB2312" w:asciiTheme="minorEastAsia" w:hAnsiTheme="minorEastAsia"/>
                <w:b/>
                <w:szCs w:val="21"/>
              </w:rPr>
            </w:pPr>
          </w:p>
        </w:tc>
        <w:tc>
          <w:tcPr>
            <w:tcW w:w="1150" w:type="dxa"/>
            <w:vMerge w:val="continue"/>
            <w:tcBorders>
              <w:tl2br w:val="nil"/>
              <w:tr2bl w:val="nil"/>
            </w:tcBorders>
            <w:shd w:val="clear" w:color="auto" w:fill="auto"/>
            <w:vAlign w:val="center"/>
          </w:tcPr>
          <w:p>
            <w:pPr>
              <w:jc w:val="left"/>
              <w:rPr>
                <w:rFonts w:cs="仿宋_GB2312" w:asciiTheme="minorEastAsia" w:hAnsiTheme="minorEastAsia"/>
                <w:b/>
                <w:szCs w:val="21"/>
              </w:rPr>
            </w:pPr>
          </w:p>
        </w:tc>
        <w:tc>
          <w:tcPr>
            <w:tcW w:w="1773" w:type="dxa"/>
            <w:gridSpan w:val="2"/>
            <w:tcBorders>
              <w:tl2br w:val="nil"/>
              <w:tr2bl w:val="nil"/>
            </w:tcBorders>
            <w:shd w:val="clear" w:color="auto" w:fill="auto"/>
            <w:vAlign w:val="center"/>
          </w:tcPr>
          <w:p>
            <w:pPr>
              <w:widowControl/>
              <w:jc w:val="left"/>
              <w:textAlignment w:val="center"/>
              <w:rPr>
                <w:rFonts w:cs="仿宋_GB2312" w:asciiTheme="minorEastAsia" w:hAnsiTheme="minorEastAsia"/>
                <w:b/>
                <w:szCs w:val="21"/>
              </w:rPr>
            </w:pPr>
            <w:r>
              <w:rPr>
                <w:rFonts w:hint="eastAsia" w:cs="仿宋_GB2312" w:asciiTheme="minorEastAsia" w:hAnsiTheme="minorEastAsia"/>
                <w:b/>
                <w:kern w:val="0"/>
                <w:szCs w:val="21"/>
              </w:rPr>
              <w:t>宽度（W）</w:t>
            </w:r>
          </w:p>
        </w:tc>
        <w:tc>
          <w:tcPr>
            <w:tcW w:w="1500" w:type="dxa"/>
            <w:tcBorders>
              <w:tl2br w:val="nil"/>
              <w:tr2bl w:val="nil"/>
            </w:tcBorders>
            <w:shd w:val="clear" w:color="auto" w:fill="auto"/>
            <w:vAlign w:val="center"/>
          </w:tcPr>
          <w:p>
            <w:pPr>
              <w:widowControl/>
              <w:jc w:val="center"/>
              <w:textAlignment w:val="center"/>
              <w:rPr>
                <w:rFonts w:cs="仿宋_GB2312" w:asciiTheme="minorEastAsia" w:hAnsiTheme="minorEastAsia"/>
                <w:szCs w:val="21"/>
              </w:rPr>
            </w:pPr>
            <w:r>
              <w:rPr>
                <w:rFonts w:hint="eastAsia" w:cs="仿宋_GB2312" w:asciiTheme="minorEastAsia" w:hAnsiTheme="minorEastAsia"/>
                <w:kern w:val="0"/>
                <w:szCs w:val="21"/>
              </w:rPr>
              <w:t>108mm</w:t>
            </w:r>
          </w:p>
        </w:tc>
        <w:tc>
          <w:tcPr>
            <w:tcW w:w="1084" w:type="dxa"/>
            <w:tcBorders>
              <w:tl2br w:val="nil"/>
              <w:tr2bl w:val="nil"/>
            </w:tcBorders>
            <w:shd w:val="clear" w:color="auto" w:fill="auto"/>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允许偏差</w:t>
            </w:r>
          </w:p>
        </w:tc>
        <w:tc>
          <w:tcPr>
            <w:tcW w:w="2343" w:type="dxa"/>
            <w:tcBorders>
              <w:tl2br w:val="nil"/>
              <w:tr2bl w:val="nil"/>
            </w:tcBorders>
            <w:shd w:val="clear" w:color="auto" w:fill="auto"/>
            <w:vAlign w:val="center"/>
          </w:tcPr>
          <w:p>
            <w:pPr>
              <w:widowControl/>
              <w:jc w:val="center"/>
              <w:textAlignment w:val="center"/>
              <w:rPr>
                <w:rFonts w:cs="仿宋_GB2312" w:asciiTheme="minorEastAsia" w:hAnsiTheme="minorEastAsia"/>
                <w:szCs w:val="21"/>
              </w:rPr>
            </w:pPr>
            <w:r>
              <w:rPr>
                <w:rFonts w:hint="eastAsia" w:cs="仿宋_GB2312" w:asciiTheme="minorEastAsia" w:hAnsiTheme="minorEastAsia"/>
                <w:kern w:val="0"/>
                <w:szCs w:val="21"/>
              </w:rPr>
              <w:t>±1mm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918" w:type="dxa"/>
            <w:vMerge w:val="continue"/>
            <w:tcBorders>
              <w:tl2br w:val="nil"/>
              <w:tr2bl w:val="nil"/>
            </w:tcBorders>
            <w:shd w:val="clear" w:color="auto" w:fill="auto"/>
            <w:vAlign w:val="center"/>
          </w:tcPr>
          <w:p>
            <w:pPr>
              <w:jc w:val="center"/>
              <w:rPr>
                <w:rFonts w:cs="仿宋_GB2312" w:asciiTheme="minorEastAsia" w:hAnsiTheme="minorEastAsia"/>
                <w:b/>
                <w:szCs w:val="21"/>
              </w:rPr>
            </w:pPr>
          </w:p>
        </w:tc>
        <w:tc>
          <w:tcPr>
            <w:tcW w:w="1150" w:type="dxa"/>
            <w:vMerge w:val="continue"/>
            <w:tcBorders>
              <w:tl2br w:val="nil"/>
              <w:tr2bl w:val="nil"/>
            </w:tcBorders>
            <w:shd w:val="clear" w:color="auto" w:fill="auto"/>
            <w:vAlign w:val="center"/>
          </w:tcPr>
          <w:p>
            <w:pPr>
              <w:jc w:val="left"/>
              <w:rPr>
                <w:rFonts w:cs="仿宋_GB2312" w:asciiTheme="minorEastAsia" w:hAnsiTheme="minorEastAsia"/>
                <w:b/>
                <w:szCs w:val="21"/>
              </w:rPr>
            </w:pPr>
          </w:p>
        </w:tc>
        <w:tc>
          <w:tcPr>
            <w:tcW w:w="1773" w:type="dxa"/>
            <w:gridSpan w:val="2"/>
            <w:tcBorders>
              <w:tl2br w:val="nil"/>
              <w:tr2bl w:val="nil"/>
            </w:tcBorders>
            <w:shd w:val="clear" w:color="auto" w:fill="auto"/>
            <w:vAlign w:val="center"/>
          </w:tcPr>
          <w:p>
            <w:pPr>
              <w:widowControl/>
              <w:jc w:val="left"/>
              <w:textAlignment w:val="center"/>
              <w:rPr>
                <w:rFonts w:cs="仿宋_GB2312" w:asciiTheme="minorEastAsia" w:hAnsiTheme="minorEastAsia"/>
                <w:b/>
                <w:szCs w:val="21"/>
              </w:rPr>
            </w:pPr>
            <w:r>
              <w:rPr>
                <w:rFonts w:hint="eastAsia" w:cs="仿宋_GB2312" w:asciiTheme="minorEastAsia" w:hAnsiTheme="minorEastAsia"/>
                <w:b/>
                <w:kern w:val="0"/>
                <w:szCs w:val="21"/>
              </w:rPr>
              <w:t>高度（H）</w:t>
            </w:r>
          </w:p>
        </w:tc>
        <w:tc>
          <w:tcPr>
            <w:tcW w:w="1500" w:type="dxa"/>
            <w:tcBorders>
              <w:tl2br w:val="nil"/>
              <w:tr2bl w:val="nil"/>
            </w:tcBorders>
            <w:shd w:val="clear" w:color="auto" w:fill="auto"/>
            <w:vAlign w:val="center"/>
          </w:tcPr>
          <w:p>
            <w:pPr>
              <w:widowControl/>
              <w:jc w:val="center"/>
              <w:textAlignment w:val="center"/>
              <w:rPr>
                <w:rFonts w:cs="仿宋_GB2312" w:asciiTheme="minorEastAsia" w:hAnsiTheme="minorEastAsia"/>
                <w:szCs w:val="21"/>
              </w:rPr>
            </w:pPr>
            <w:r>
              <w:rPr>
                <w:rFonts w:hint="eastAsia" w:cs="仿宋_GB2312" w:asciiTheme="minorEastAsia" w:hAnsiTheme="minorEastAsia"/>
                <w:kern w:val="0"/>
                <w:szCs w:val="21"/>
              </w:rPr>
              <w:t>108mm</w:t>
            </w:r>
          </w:p>
        </w:tc>
        <w:tc>
          <w:tcPr>
            <w:tcW w:w="1084" w:type="dxa"/>
            <w:tcBorders>
              <w:tl2br w:val="nil"/>
              <w:tr2bl w:val="nil"/>
            </w:tcBorders>
            <w:shd w:val="clear" w:color="auto" w:fill="auto"/>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允许偏差</w:t>
            </w:r>
          </w:p>
        </w:tc>
        <w:tc>
          <w:tcPr>
            <w:tcW w:w="2343" w:type="dxa"/>
            <w:tcBorders>
              <w:tl2br w:val="nil"/>
              <w:tr2bl w:val="nil"/>
            </w:tcBorders>
            <w:shd w:val="clear" w:color="auto" w:fill="auto"/>
            <w:vAlign w:val="center"/>
          </w:tcPr>
          <w:p>
            <w:pPr>
              <w:widowControl/>
              <w:jc w:val="center"/>
              <w:textAlignment w:val="center"/>
              <w:rPr>
                <w:rFonts w:cs="仿宋_GB2312" w:asciiTheme="minorEastAsia" w:hAnsiTheme="minorEastAsia"/>
                <w:szCs w:val="21"/>
              </w:rPr>
            </w:pPr>
            <w:r>
              <w:rPr>
                <w:rFonts w:hint="eastAsia" w:cs="仿宋_GB2312" w:asciiTheme="minorEastAsia" w:hAnsiTheme="minorEastAsia"/>
                <w:kern w:val="0"/>
                <w:szCs w:val="21"/>
              </w:rPr>
              <w:t>±1mm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0" w:hRule="atLeast"/>
          <w:jc w:val="center"/>
        </w:trPr>
        <w:tc>
          <w:tcPr>
            <w:tcW w:w="918" w:type="dxa"/>
            <w:vMerge w:val="continue"/>
            <w:tcBorders>
              <w:tl2br w:val="nil"/>
              <w:tr2bl w:val="nil"/>
            </w:tcBorders>
            <w:shd w:val="clear" w:color="auto" w:fill="auto"/>
            <w:vAlign w:val="center"/>
          </w:tcPr>
          <w:p>
            <w:pPr>
              <w:jc w:val="center"/>
              <w:rPr>
                <w:rFonts w:cs="仿宋_GB2312" w:asciiTheme="minorEastAsia" w:hAnsiTheme="minorEastAsia"/>
                <w:b/>
                <w:szCs w:val="21"/>
              </w:rPr>
            </w:pPr>
          </w:p>
        </w:tc>
        <w:tc>
          <w:tcPr>
            <w:tcW w:w="1150" w:type="dxa"/>
            <w:vMerge w:val="restart"/>
            <w:tcBorders>
              <w:tl2br w:val="nil"/>
              <w:tr2bl w:val="nil"/>
            </w:tcBorders>
            <w:shd w:val="clear" w:color="auto" w:fill="auto"/>
            <w:vAlign w:val="center"/>
          </w:tcPr>
          <w:p>
            <w:pPr>
              <w:widowControl/>
              <w:jc w:val="left"/>
              <w:textAlignment w:val="center"/>
              <w:rPr>
                <w:rFonts w:cs="仿宋_GB2312" w:asciiTheme="minorEastAsia" w:hAnsiTheme="minorEastAsia"/>
                <w:b/>
                <w:szCs w:val="21"/>
              </w:rPr>
            </w:pPr>
            <w:r>
              <w:rPr>
                <w:rFonts w:hint="eastAsia" w:cs="仿宋_GB2312" w:asciiTheme="minorEastAsia" w:hAnsiTheme="minorEastAsia"/>
                <w:b/>
                <w:kern w:val="0"/>
                <w:szCs w:val="21"/>
              </w:rPr>
              <w:t>材质</w:t>
            </w:r>
          </w:p>
        </w:tc>
        <w:tc>
          <w:tcPr>
            <w:tcW w:w="1773" w:type="dxa"/>
            <w:gridSpan w:val="2"/>
            <w:tcBorders>
              <w:tl2br w:val="nil"/>
              <w:tr2bl w:val="nil"/>
            </w:tcBorders>
            <w:shd w:val="clear" w:color="auto" w:fill="auto"/>
            <w:vAlign w:val="center"/>
          </w:tcPr>
          <w:p>
            <w:pPr>
              <w:widowControl/>
              <w:jc w:val="left"/>
              <w:textAlignment w:val="center"/>
              <w:rPr>
                <w:rFonts w:cs="仿宋_GB2312" w:asciiTheme="minorEastAsia" w:hAnsiTheme="minorEastAsia"/>
                <w:b/>
                <w:szCs w:val="21"/>
              </w:rPr>
            </w:pPr>
            <w:r>
              <w:rPr>
                <w:rFonts w:hint="eastAsia" w:cs="仿宋_GB2312" w:asciiTheme="minorEastAsia" w:hAnsiTheme="minorEastAsia"/>
                <w:b/>
                <w:kern w:val="0"/>
                <w:szCs w:val="21"/>
              </w:rPr>
              <w:t>灯具外壳</w:t>
            </w:r>
          </w:p>
        </w:tc>
        <w:tc>
          <w:tcPr>
            <w:tcW w:w="4927" w:type="dxa"/>
            <w:gridSpan w:val="3"/>
            <w:tcBorders>
              <w:tl2br w:val="nil"/>
              <w:tr2bl w:val="nil"/>
            </w:tcBorders>
            <w:shd w:val="clear" w:color="auto" w:fill="auto"/>
            <w:vAlign w:val="center"/>
          </w:tcPr>
          <w:p>
            <w:pPr>
              <w:widowControl/>
              <w:jc w:val="left"/>
              <w:textAlignment w:val="center"/>
              <w:rPr>
                <w:rFonts w:cs="仿宋_GB2312" w:asciiTheme="minorEastAsia" w:hAnsiTheme="minorEastAsia"/>
                <w:szCs w:val="21"/>
              </w:rPr>
            </w:pPr>
            <w:r>
              <w:rPr>
                <w:rFonts w:hint="eastAsia" w:cs="仿宋_GB2312" w:asciiTheme="minorEastAsia" w:hAnsiTheme="minorEastAsia"/>
                <w:kern w:val="0"/>
                <w:szCs w:val="21"/>
              </w:rPr>
              <w:t>灯体采用优质铝合金压铸成型，造型详见附图。产品经高温固化处理具备良好的防腐性能。绝缘阻燃硅胶填充（防水、防火、抗紫外线）一体成形。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918" w:type="dxa"/>
            <w:vMerge w:val="continue"/>
            <w:tcBorders>
              <w:tl2br w:val="nil"/>
              <w:tr2bl w:val="nil"/>
            </w:tcBorders>
            <w:shd w:val="clear" w:color="auto" w:fill="auto"/>
            <w:vAlign w:val="center"/>
          </w:tcPr>
          <w:p>
            <w:pPr>
              <w:jc w:val="center"/>
              <w:rPr>
                <w:rFonts w:cs="仿宋_GB2312" w:asciiTheme="minorEastAsia" w:hAnsiTheme="minorEastAsia"/>
                <w:b/>
                <w:szCs w:val="21"/>
              </w:rPr>
            </w:pPr>
          </w:p>
        </w:tc>
        <w:tc>
          <w:tcPr>
            <w:tcW w:w="1150" w:type="dxa"/>
            <w:vMerge w:val="continue"/>
            <w:tcBorders>
              <w:tl2br w:val="nil"/>
              <w:tr2bl w:val="nil"/>
            </w:tcBorders>
            <w:shd w:val="clear" w:color="auto" w:fill="auto"/>
            <w:vAlign w:val="center"/>
          </w:tcPr>
          <w:p>
            <w:pPr>
              <w:jc w:val="left"/>
              <w:rPr>
                <w:rFonts w:cs="仿宋_GB2312" w:asciiTheme="minorEastAsia" w:hAnsiTheme="minorEastAsia"/>
                <w:b/>
                <w:szCs w:val="21"/>
              </w:rPr>
            </w:pPr>
          </w:p>
        </w:tc>
        <w:tc>
          <w:tcPr>
            <w:tcW w:w="1773" w:type="dxa"/>
            <w:gridSpan w:val="2"/>
            <w:tcBorders>
              <w:tl2br w:val="nil"/>
              <w:tr2bl w:val="nil"/>
            </w:tcBorders>
            <w:shd w:val="clear" w:color="auto" w:fill="auto"/>
            <w:vAlign w:val="center"/>
          </w:tcPr>
          <w:p>
            <w:pPr>
              <w:widowControl/>
              <w:jc w:val="left"/>
              <w:textAlignment w:val="center"/>
              <w:rPr>
                <w:rFonts w:cs="仿宋_GB2312" w:asciiTheme="minorEastAsia" w:hAnsiTheme="minorEastAsia"/>
                <w:b/>
                <w:szCs w:val="21"/>
              </w:rPr>
            </w:pPr>
            <w:r>
              <w:rPr>
                <w:rFonts w:hint="eastAsia" w:cs="仿宋_GB2312" w:asciiTheme="minorEastAsia" w:hAnsiTheme="minorEastAsia"/>
                <w:b/>
                <w:kern w:val="0"/>
                <w:szCs w:val="21"/>
              </w:rPr>
              <w:t>出光面</w:t>
            </w:r>
          </w:p>
        </w:tc>
        <w:tc>
          <w:tcPr>
            <w:tcW w:w="4927" w:type="dxa"/>
            <w:gridSpan w:val="3"/>
            <w:tcBorders>
              <w:tl2br w:val="nil"/>
              <w:tr2bl w:val="nil"/>
            </w:tcBorders>
            <w:shd w:val="clear" w:color="auto" w:fill="auto"/>
            <w:vAlign w:val="center"/>
          </w:tcPr>
          <w:p>
            <w:pPr>
              <w:widowControl/>
              <w:jc w:val="center"/>
              <w:textAlignment w:val="center"/>
              <w:rPr>
                <w:rFonts w:cs="仿宋_GB2312" w:asciiTheme="minorEastAsia" w:hAnsiTheme="minorEastAsia"/>
                <w:szCs w:val="21"/>
              </w:rPr>
            </w:pPr>
            <w:r>
              <w:rPr>
                <w:rFonts w:hint="eastAsia" w:cs="仿宋_GB2312" w:asciiTheme="minorEastAsia" w:hAnsiTheme="minorEastAsia"/>
                <w:kern w:val="0"/>
                <w:szCs w:val="21"/>
              </w:rPr>
              <w:t>钢化玻璃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918" w:type="dxa"/>
            <w:vMerge w:val="continue"/>
            <w:tcBorders>
              <w:tl2br w:val="nil"/>
              <w:tr2bl w:val="nil"/>
            </w:tcBorders>
            <w:shd w:val="clear" w:color="auto" w:fill="auto"/>
            <w:vAlign w:val="center"/>
          </w:tcPr>
          <w:p>
            <w:pPr>
              <w:jc w:val="center"/>
              <w:rPr>
                <w:rFonts w:cs="仿宋_GB2312" w:asciiTheme="minorEastAsia" w:hAnsiTheme="minorEastAsia"/>
                <w:b/>
                <w:szCs w:val="21"/>
              </w:rPr>
            </w:pPr>
          </w:p>
        </w:tc>
        <w:tc>
          <w:tcPr>
            <w:tcW w:w="2923" w:type="dxa"/>
            <w:gridSpan w:val="3"/>
            <w:tcBorders>
              <w:tl2br w:val="nil"/>
              <w:tr2bl w:val="nil"/>
            </w:tcBorders>
            <w:shd w:val="clear" w:color="auto" w:fill="auto"/>
            <w:vAlign w:val="center"/>
          </w:tcPr>
          <w:p>
            <w:pPr>
              <w:widowControl/>
              <w:jc w:val="left"/>
              <w:textAlignment w:val="center"/>
              <w:rPr>
                <w:rFonts w:cs="仿宋_GB2312" w:asciiTheme="minorEastAsia" w:hAnsiTheme="minorEastAsia"/>
                <w:b/>
                <w:szCs w:val="21"/>
              </w:rPr>
            </w:pPr>
            <w:r>
              <w:rPr>
                <w:rFonts w:hint="eastAsia" w:cs="仿宋_GB2312" w:asciiTheme="minorEastAsia" w:hAnsiTheme="minorEastAsia"/>
                <w:b/>
                <w:kern w:val="0"/>
                <w:szCs w:val="21"/>
              </w:rPr>
              <w:t>外壳颜色</w:t>
            </w:r>
          </w:p>
        </w:tc>
        <w:tc>
          <w:tcPr>
            <w:tcW w:w="4927" w:type="dxa"/>
            <w:gridSpan w:val="3"/>
            <w:tcBorders>
              <w:tl2br w:val="nil"/>
              <w:tr2bl w:val="nil"/>
            </w:tcBorders>
            <w:shd w:val="clear" w:color="auto" w:fill="auto"/>
            <w:vAlign w:val="center"/>
          </w:tcPr>
          <w:p>
            <w:pPr>
              <w:widowControl/>
              <w:jc w:val="center"/>
              <w:textAlignment w:val="center"/>
              <w:rPr>
                <w:rFonts w:hint="eastAsia" w:cs="仿宋_GB2312" w:asciiTheme="minorEastAsia" w:hAnsiTheme="minorEastAsia" w:eastAsiaTheme="minorEastAsia"/>
                <w:szCs w:val="21"/>
                <w:lang w:eastAsia="zh-CN"/>
              </w:rPr>
            </w:pPr>
            <w:r>
              <w:rPr>
                <w:sz w:val="21"/>
              </w:rPr>
              <mc:AlternateContent>
                <mc:Choice Requires="wps">
                  <w:drawing>
                    <wp:anchor distT="0" distB="0" distL="114300" distR="114300" simplePos="0" relativeHeight="251663360" behindDoc="0" locked="0" layoutInCell="1" allowOverlap="1">
                      <wp:simplePos x="0" y="0"/>
                      <wp:positionH relativeFrom="column">
                        <wp:posOffset>544830</wp:posOffset>
                      </wp:positionH>
                      <wp:positionV relativeFrom="paragraph">
                        <wp:posOffset>1858645</wp:posOffset>
                      </wp:positionV>
                      <wp:extent cx="1365250" cy="552450"/>
                      <wp:effectExtent l="0" t="13970" r="6350" b="5080"/>
                      <wp:wrapNone/>
                      <wp:docPr id="7" name="直接箭头连接符 7"/>
                      <wp:cNvGraphicFramePr/>
                      <a:graphic xmlns:a="http://schemas.openxmlformats.org/drawingml/2006/main">
                        <a:graphicData uri="http://schemas.microsoft.com/office/word/2010/wordprocessingShape">
                          <wps:wsp>
                            <wps:cNvCnPr/>
                            <wps:spPr>
                              <a:xfrm flipH="1" flipV="1">
                                <a:off x="3989705" y="8785860"/>
                                <a:ext cx="1365250" cy="55245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42.9pt;margin-top:146.35pt;height:43.5pt;width:107.5pt;z-index:251663360;mso-width-relative:page;mso-height-relative:page;" filled="f" stroked="t" coordsize="21600,21600" o:gfxdata="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c&#10;Phr32AAAAAoBAAAPAAAAAAAAAAEAIAAAACIAAABkcnMvZG93bnJldi54bWxQSwECFAAUAAAACACH&#10;TuJA1Dc+AyQCAAADBAAADgAAAAAAAAABACAAAAAnAQAAZHJzL2Uyb0RvYy54bWxQSwUGAAAAAAYA&#10;BgBZAQAAvQUAAAAA&#10;">
                      <v:fill on="f" focussize="0,0"/>
                      <v:stroke weight="0.5pt" color="#FF0000 [3204]" miterlimit="8" joinstyle="miter" endarrow="open"/>
                      <v:imagedata o:title=""/>
                      <o:lock v:ext="edit" aspectratio="f"/>
                    </v:shape>
                  </w:pict>
                </mc:Fallback>
              </mc:AlternateContent>
            </w:r>
            <w:r>
              <w:rPr>
                <w:rFonts w:hint="eastAsia" w:cs="仿宋_GB2312" w:asciiTheme="minorEastAsia" w:hAnsiTheme="minorEastAsia"/>
                <w:szCs w:val="21"/>
                <w:lang w:val="en-US" w:eastAsia="zh-CN"/>
              </w:rPr>
              <w:t>灰色（与现场灯具颜色一致）</w:t>
            </w:r>
            <w:r>
              <w:rPr>
                <w:rFonts w:hint="eastAsia" w:cs="仿宋_GB2312" w:asciiTheme="minorEastAsia" w:hAnsiTheme="minorEastAsia" w:eastAsiaTheme="minorEastAsia"/>
                <w:szCs w:val="21"/>
                <w:lang w:eastAsia="zh-CN"/>
              </w:rPr>
              <w:drawing>
                <wp:inline distT="0" distB="0" distL="114300" distR="114300">
                  <wp:extent cx="3108960" cy="2331720"/>
                  <wp:effectExtent l="0" t="0" r="2540" b="5080"/>
                  <wp:docPr id="2" name="图片 2" descr="c74f8832ad034ef3841c2d715513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74f8832ad034ef3841c2d715513615"/>
                          <pic:cNvPicPr>
                            <a:picLocks noChangeAspect="1"/>
                          </pic:cNvPicPr>
                        </pic:nvPicPr>
                        <pic:blipFill>
                          <a:blip r:embed="rId19"/>
                          <a:stretch>
                            <a:fillRect/>
                          </a:stretch>
                        </pic:blipFill>
                        <pic:spPr>
                          <a:xfrm>
                            <a:off x="0" y="0"/>
                            <a:ext cx="3108960" cy="233172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918" w:type="dxa"/>
            <w:tcBorders>
              <w:tl2br w:val="nil"/>
              <w:tr2bl w:val="nil"/>
            </w:tcBorders>
            <w:shd w:val="clear" w:color="auto" w:fill="auto"/>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光学</w:t>
            </w:r>
          </w:p>
        </w:tc>
        <w:tc>
          <w:tcPr>
            <w:tcW w:w="1150" w:type="dxa"/>
            <w:tcBorders>
              <w:tl2br w:val="nil"/>
              <w:tr2bl w:val="nil"/>
            </w:tcBorders>
            <w:shd w:val="clear" w:color="auto" w:fill="auto"/>
            <w:vAlign w:val="center"/>
          </w:tcPr>
          <w:p>
            <w:pPr>
              <w:widowControl/>
              <w:jc w:val="left"/>
              <w:textAlignment w:val="center"/>
              <w:rPr>
                <w:rFonts w:cs="仿宋_GB2312" w:asciiTheme="minorEastAsia" w:hAnsiTheme="minorEastAsia"/>
                <w:b/>
                <w:szCs w:val="21"/>
              </w:rPr>
            </w:pPr>
            <w:r>
              <w:rPr>
                <w:rFonts w:hint="eastAsia" w:cs="仿宋_GB2312" w:asciiTheme="minorEastAsia" w:hAnsiTheme="minorEastAsia"/>
                <w:b/>
                <w:kern w:val="0"/>
                <w:szCs w:val="21"/>
              </w:rPr>
              <w:t>半峰发散角</w:t>
            </w:r>
          </w:p>
        </w:tc>
        <w:tc>
          <w:tcPr>
            <w:tcW w:w="1773" w:type="dxa"/>
            <w:gridSpan w:val="2"/>
            <w:tcBorders>
              <w:tl2br w:val="nil"/>
              <w:tr2bl w:val="nil"/>
            </w:tcBorders>
            <w:shd w:val="clear" w:color="auto" w:fill="auto"/>
            <w:vAlign w:val="center"/>
          </w:tcPr>
          <w:p>
            <w:pPr>
              <w:widowControl/>
              <w:jc w:val="center"/>
              <w:textAlignment w:val="center"/>
              <w:rPr>
                <w:rFonts w:cs="仿宋_GB2312" w:asciiTheme="minorEastAsia" w:hAnsiTheme="minorEastAsia"/>
                <w:szCs w:val="21"/>
              </w:rPr>
            </w:pPr>
            <w:r>
              <w:rPr>
                <w:rFonts w:hint="eastAsia" w:cs="仿宋_GB2312" w:asciiTheme="minorEastAsia" w:hAnsiTheme="minorEastAsia"/>
                <w:kern w:val="0"/>
                <w:szCs w:val="21"/>
              </w:rPr>
              <w:t>-</w:t>
            </w:r>
          </w:p>
        </w:tc>
        <w:tc>
          <w:tcPr>
            <w:tcW w:w="2584" w:type="dxa"/>
            <w:gridSpan w:val="2"/>
            <w:tcBorders>
              <w:tl2br w:val="nil"/>
              <w:tr2bl w:val="nil"/>
            </w:tcBorders>
            <w:shd w:val="clear" w:color="auto" w:fill="auto"/>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配光要求</w:t>
            </w:r>
          </w:p>
        </w:tc>
        <w:tc>
          <w:tcPr>
            <w:tcW w:w="2343" w:type="dxa"/>
            <w:tcBorders>
              <w:tl2br w:val="nil"/>
              <w:tr2bl w:val="nil"/>
            </w:tcBorders>
            <w:shd w:val="clear" w:color="auto" w:fill="auto"/>
            <w:vAlign w:val="center"/>
          </w:tcPr>
          <w:p>
            <w:pPr>
              <w:widowControl/>
              <w:jc w:val="center"/>
              <w:textAlignment w:val="center"/>
              <w:rPr>
                <w:rFonts w:cs="仿宋_GB2312" w:asciiTheme="minorEastAsia" w:hAnsiTheme="minorEastAsia"/>
                <w:szCs w:val="21"/>
              </w:rPr>
            </w:pPr>
            <w:r>
              <w:rPr>
                <w:rFonts w:hint="eastAsia" w:cs="仿宋_GB2312" w:asciiTheme="minorEastAsia" w:hAnsiTheme="minorEastAsia"/>
                <w:kern w:val="0"/>
                <w:szCs w:val="21"/>
              </w:rPr>
              <w:t>对称</w:t>
            </w:r>
            <w:bookmarkStart w:id="42" w:name="_GoBack"/>
            <w:bookmarkEnd w:id="42"/>
            <w:r>
              <w:rPr>
                <w:rFonts w:hint="eastAsia" w:cs="仿宋_GB2312" w:asciiTheme="minorEastAsia" w:hAnsiTheme="minorEastAsia"/>
                <w:kern w:val="0"/>
                <w:szCs w:val="21"/>
              </w:rPr>
              <w:t>配光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918" w:type="dxa"/>
            <w:tcBorders>
              <w:tl2br w:val="nil"/>
              <w:tr2bl w:val="nil"/>
            </w:tcBorders>
            <w:shd w:val="clear" w:color="auto" w:fill="auto"/>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光效</w:t>
            </w:r>
          </w:p>
        </w:tc>
        <w:tc>
          <w:tcPr>
            <w:tcW w:w="7850" w:type="dxa"/>
            <w:gridSpan w:val="6"/>
            <w:tcBorders>
              <w:tl2br w:val="nil"/>
              <w:tr2bl w:val="nil"/>
            </w:tcBorders>
            <w:shd w:val="clear" w:color="auto" w:fill="auto"/>
            <w:vAlign w:val="center"/>
          </w:tcPr>
          <w:p>
            <w:pPr>
              <w:widowControl/>
              <w:jc w:val="center"/>
              <w:textAlignment w:val="center"/>
              <w:rPr>
                <w:rFonts w:cs="仿宋_GB2312" w:asciiTheme="minorEastAsia" w:hAnsiTheme="minorEastAsia"/>
                <w:szCs w:val="21"/>
              </w:rPr>
            </w:pPr>
            <w:r>
              <w:rPr>
                <w:rFonts w:hint="eastAsia" w:cs="仿宋_GB2312" w:asciiTheme="minorEastAsia" w:hAnsiTheme="minorEastAsia"/>
                <w:kern w:val="0"/>
                <w:szCs w:val="21"/>
              </w:rPr>
              <w:t>灯具光效≥60lm/W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918" w:type="dxa"/>
            <w:vMerge w:val="restart"/>
            <w:tcBorders>
              <w:tl2br w:val="nil"/>
              <w:tr2bl w:val="nil"/>
            </w:tcBorders>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光源</w:t>
            </w:r>
          </w:p>
        </w:tc>
        <w:tc>
          <w:tcPr>
            <w:tcW w:w="1317" w:type="dxa"/>
            <w:gridSpan w:val="2"/>
            <w:tcBorders>
              <w:tl2br w:val="nil"/>
              <w:tr2bl w:val="nil"/>
            </w:tcBorders>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颗粒形式</w:t>
            </w:r>
          </w:p>
        </w:tc>
        <w:tc>
          <w:tcPr>
            <w:tcW w:w="6533" w:type="dxa"/>
            <w:gridSpan w:val="4"/>
            <w:tcBorders>
              <w:tl2br w:val="nil"/>
              <w:tr2bl w:val="nil"/>
            </w:tcBorders>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918" w:type="dxa"/>
            <w:vMerge w:val="continue"/>
            <w:tcBorders>
              <w:tl2br w:val="nil"/>
              <w:tr2bl w:val="nil"/>
            </w:tcBorders>
            <w:vAlign w:val="center"/>
          </w:tcPr>
          <w:p>
            <w:pPr>
              <w:widowControl/>
              <w:jc w:val="center"/>
              <w:textAlignment w:val="center"/>
              <w:rPr>
                <w:rFonts w:cs="仿宋_GB2312" w:asciiTheme="minorEastAsia" w:hAnsiTheme="minorEastAsia"/>
                <w:b/>
                <w:kern w:val="0"/>
                <w:szCs w:val="21"/>
              </w:rPr>
            </w:pPr>
          </w:p>
        </w:tc>
        <w:tc>
          <w:tcPr>
            <w:tcW w:w="1317" w:type="dxa"/>
            <w:gridSpan w:val="2"/>
            <w:tcBorders>
              <w:tl2br w:val="nil"/>
              <w:tr2bl w:val="nil"/>
            </w:tcBorders>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颗粒功率</w:t>
            </w:r>
          </w:p>
        </w:tc>
        <w:tc>
          <w:tcPr>
            <w:tcW w:w="6533" w:type="dxa"/>
            <w:gridSpan w:val="4"/>
            <w:tcBorders>
              <w:tl2br w:val="nil"/>
              <w:tr2bl w:val="nil"/>
            </w:tcBorders>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整灯功率10W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918" w:type="dxa"/>
            <w:vMerge w:val="continue"/>
            <w:tcBorders>
              <w:tl2br w:val="nil"/>
              <w:tr2bl w:val="nil"/>
            </w:tcBorders>
            <w:vAlign w:val="center"/>
          </w:tcPr>
          <w:p>
            <w:pPr>
              <w:widowControl/>
              <w:jc w:val="center"/>
              <w:textAlignment w:val="center"/>
              <w:rPr>
                <w:rFonts w:cs="仿宋_GB2312" w:asciiTheme="minorEastAsia" w:hAnsiTheme="minorEastAsia"/>
                <w:b/>
                <w:kern w:val="0"/>
                <w:szCs w:val="21"/>
              </w:rPr>
            </w:pPr>
          </w:p>
        </w:tc>
        <w:tc>
          <w:tcPr>
            <w:tcW w:w="1317" w:type="dxa"/>
            <w:gridSpan w:val="2"/>
            <w:tcBorders>
              <w:tl2br w:val="nil"/>
              <w:tr2bl w:val="nil"/>
            </w:tcBorders>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输入电压</w:t>
            </w:r>
          </w:p>
        </w:tc>
        <w:tc>
          <w:tcPr>
            <w:tcW w:w="6533" w:type="dxa"/>
            <w:gridSpan w:val="4"/>
            <w:tcBorders>
              <w:tl2br w:val="nil"/>
              <w:tr2bl w:val="nil"/>
            </w:tcBorders>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AC220V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918" w:type="dxa"/>
            <w:vMerge w:val="continue"/>
            <w:tcBorders>
              <w:tl2br w:val="nil"/>
              <w:tr2bl w:val="nil"/>
            </w:tcBorders>
            <w:vAlign w:val="center"/>
          </w:tcPr>
          <w:p>
            <w:pPr>
              <w:widowControl/>
              <w:jc w:val="center"/>
              <w:textAlignment w:val="center"/>
              <w:rPr>
                <w:rFonts w:cs="仿宋_GB2312" w:asciiTheme="minorEastAsia" w:hAnsiTheme="minorEastAsia"/>
                <w:b/>
                <w:kern w:val="0"/>
                <w:szCs w:val="21"/>
              </w:rPr>
            </w:pPr>
          </w:p>
        </w:tc>
        <w:tc>
          <w:tcPr>
            <w:tcW w:w="1317" w:type="dxa"/>
            <w:gridSpan w:val="2"/>
            <w:tcBorders>
              <w:tl2br w:val="nil"/>
              <w:tr2bl w:val="nil"/>
            </w:tcBorders>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相关色温</w:t>
            </w:r>
          </w:p>
        </w:tc>
        <w:tc>
          <w:tcPr>
            <w:tcW w:w="6533" w:type="dxa"/>
            <w:gridSpan w:val="4"/>
            <w:tcBorders>
              <w:tl2br w:val="nil"/>
              <w:tr2bl w:val="nil"/>
            </w:tcBorders>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3000K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918" w:type="dxa"/>
            <w:tcBorders>
              <w:tl2br w:val="nil"/>
              <w:tr2bl w:val="nil"/>
            </w:tcBorders>
            <w:shd w:val="clear" w:color="auto" w:fill="auto"/>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备注</w:t>
            </w:r>
          </w:p>
        </w:tc>
        <w:tc>
          <w:tcPr>
            <w:tcW w:w="7850" w:type="dxa"/>
            <w:gridSpan w:val="6"/>
            <w:tcBorders>
              <w:tl2br w:val="nil"/>
              <w:tr2bl w:val="nil"/>
            </w:tcBorders>
            <w:shd w:val="clear" w:color="auto" w:fill="auto"/>
            <w:vAlign w:val="center"/>
          </w:tcPr>
          <w:p>
            <w:pPr>
              <w:widowControl/>
              <w:jc w:val="left"/>
              <w:textAlignment w:val="center"/>
              <w:rPr>
                <w:rFonts w:cs="仿宋_GB2312" w:asciiTheme="minorEastAsia" w:hAnsiTheme="minorEastAsia"/>
                <w:bCs/>
                <w:kern w:val="0"/>
                <w:szCs w:val="21"/>
              </w:rPr>
            </w:pPr>
            <w:r>
              <w:rPr>
                <w:rFonts w:hint="eastAsia" w:cs="仿宋_GB2312" w:asciiTheme="minorEastAsia" w:hAnsiTheme="minorEastAsia"/>
                <w:bCs/>
                <w:kern w:val="0"/>
                <w:szCs w:val="21"/>
              </w:rPr>
              <w:t>整灯无焊接，灯内底部及灯具的各个连接件有加强块以对抗外力撞击。灯具内有接地螺栓、保险丝等。</w:t>
            </w:r>
          </w:p>
        </w:tc>
      </w:tr>
    </w:tbl>
    <w:p>
      <w:pPr>
        <w:rPr>
          <w:rFonts w:cs="仿宋_GB2312" w:asciiTheme="minorEastAsia" w:hAnsiTheme="minorEastAsia"/>
          <w:b/>
          <w:kern w:val="0"/>
          <w:szCs w:val="21"/>
        </w:rPr>
      </w:pPr>
    </w:p>
    <w:p>
      <w:pPr>
        <w:rPr>
          <w:rFonts w:cs="仿宋_GB2312" w:asciiTheme="minorEastAsia" w:hAnsiTheme="minorEastAsia"/>
          <w:b/>
          <w:kern w:val="0"/>
          <w:szCs w:val="21"/>
        </w:rPr>
      </w:pPr>
    </w:p>
    <w:p>
      <w:pPr>
        <w:rPr>
          <w:rFonts w:cs="仿宋_GB2312" w:asciiTheme="minorEastAsia" w:hAnsiTheme="minorEastAsia"/>
          <w:b/>
          <w:kern w:val="0"/>
          <w:szCs w:val="21"/>
        </w:rPr>
      </w:pPr>
    </w:p>
    <w:p>
      <w:pPr>
        <w:rPr>
          <w:rFonts w:cs="仿宋_GB2312" w:asciiTheme="minorEastAsia" w:hAnsiTheme="minorEastAsia"/>
          <w:b/>
          <w:kern w:val="0"/>
          <w:szCs w:val="21"/>
        </w:rPr>
      </w:pPr>
    </w:p>
    <w:p>
      <w:pPr>
        <w:rPr>
          <w:rFonts w:hint="default" w:cs="仿宋_GB2312" w:asciiTheme="minorEastAsia" w:hAnsiTheme="minorEastAsia" w:eastAsiaTheme="minorEastAsia"/>
          <w:b/>
          <w:kern w:val="0"/>
          <w:szCs w:val="21"/>
          <w:lang w:val="en-US" w:eastAsia="zh-CN"/>
        </w:rPr>
      </w:pPr>
      <w:r>
        <w:rPr>
          <w:rFonts w:hint="eastAsia" w:cs="仿宋_GB2312" w:asciiTheme="minorEastAsia" w:hAnsiTheme="minorEastAsia"/>
          <w:b/>
          <w:kern w:val="0"/>
          <w:szCs w:val="21"/>
        </w:rPr>
        <w:t>2）10W条形 LED地砖灯（1000*50mm） （4000K）</w:t>
      </w:r>
      <w:r>
        <w:rPr>
          <w:rFonts w:hint="eastAsia" w:cs="仿宋_GB2312" w:asciiTheme="minorEastAsia" w:hAnsiTheme="minorEastAsia"/>
          <w:b/>
          <w:kern w:val="0"/>
          <w:szCs w:val="21"/>
          <w:lang w:val="en-US" w:eastAsia="zh-CN"/>
        </w:rPr>
        <w:t>DMX</w:t>
      </w:r>
    </w:p>
    <w:tbl>
      <w:tblPr>
        <w:tblStyle w:val="8"/>
        <w:tblW w:w="9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59"/>
        <w:gridCol w:w="1214"/>
        <w:gridCol w:w="2058"/>
        <w:gridCol w:w="1181"/>
        <w:gridCol w:w="1015"/>
        <w:gridCol w:w="118"/>
        <w:gridCol w:w="2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99" w:hRule="atLeast"/>
        </w:trPr>
        <w:tc>
          <w:tcPr>
            <w:tcW w:w="1259" w:type="dxa"/>
            <w:vMerge w:val="restart"/>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灯具</w:t>
            </w:r>
          </w:p>
        </w:tc>
        <w:tc>
          <w:tcPr>
            <w:tcW w:w="1214" w:type="dxa"/>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外形</w:t>
            </w:r>
          </w:p>
        </w:tc>
        <w:tc>
          <w:tcPr>
            <w:tcW w:w="6987" w:type="dxa"/>
            <w:gridSpan w:val="5"/>
            <w:vAlign w:val="center"/>
          </w:tcPr>
          <w:p>
            <w:pPr>
              <w:rPr>
                <w:rFonts w:cs="仿宋_GB2312" w:asciiTheme="minorEastAsia" w:hAnsiTheme="minorEastAsia"/>
                <w:szCs w:val="21"/>
              </w:rPr>
            </w:pPr>
            <w:r>
              <w:rPr>
                <w:rFonts w:cs="仿宋_GB2312" w:asciiTheme="minorEastAsia" w:hAnsiTheme="minorEastAsia"/>
                <w:szCs w:val="21"/>
              </w:rPr>
              <w:drawing>
                <wp:anchor distT="0" distB="0" distL="114300" distR="114300" simplePos="0" relativeHeight="251659264" behindDoc="0" locked="0" layoutInCell="1" allowOverlap="1">
                  <wp:simplePos x="0" y="0"/>
                  <wp:positionH relativeFrom="column">
                    <wp:posOffset>749300</wp:posOffset>
                  </wp:positionH>
                  <wp:positionV relativeFrom="paragraph">
                    <wp:posOffset>81280</wp:posOffset>
                  </wp:positionV>
                  <wp:extent cx="2877820" cy="1799590"/>
                  <wp:effectExtent l="0" t="0" r="0" b="0"/>
                  <wp:wrapNone/>
                  <wp:docPr id="11" name="图片 11" descr="C:\Users\jiechu\AppData\Local\Temp\WeChat Files\b8429e8fd430c06e039cdb134884e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jiechu\AppData\Local\Temp\WeChat Files\b8429e8fd430c06e039cdb134884e7a.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77820" cy="1799590"/>
                          </a:xfrm>
                          <a:prstGeom prst="rect">
                            <a:avLst/>
                          </a:prstGeom>
                          <a:noFill/>
                          <a:ln>
                            <a:noFill/>
                          </a:ln>
                        </pic:spPr>
                      </pic:pic>
                    </a:graphicData>
                  </a:graphic>
                </wp:anchor>
              </w:drawing>
            </w: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r>
              <w:rPr>
                <w:rFonts w:hint="eastAsia" w:cs="仿宋_GB2312" w:asciiTheme="minorEastAsia" w:hAnsiTheme="minorEastAsia"/>
                <w:szCs w:val="21"/>
              </w:rPr>
              <w:drawing>
                <wp:inline distT="0" distB="0" distL="114300" distR="114300">
                  <wp:extent cx="4411345" cy="592455"/>
                  <wp:effectExtent l="0" t="0" r="8255" b="7620"/>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21"/>
                          <a:stretch>
                            <a:fillRect/>
                          </a:stretch>
                        </pic:blipFill>
                        <pic:spPr>
                          <a:xfrm>
                            <a:off x="0" y="0"/>
                            <a:ext cx="4411345" cy="592455"/>
                          </a:xfrm>
                          <a:prstGeom prst="rect">
                            <a:avLst/>
                          </a:prstGeom>
                        </pic:spPr>
                      </pic:pic>
                    </a:graphicData>
                  </a:graphic>
                </wp:inline>
              </w:drawing>
            </w:r>
          </w:p>
          <w:p>
            <w:pPr>
              <w:jc w:val="center"/>
              <w:rPr>
                <w:rFonts w:cs="仿宋_GB2312" w:asciiTheme="minorEastAsia" w:hAnsiTheme="minorEastAsia"/>
                <w:szCs w:val="21"/>
              </w:rPr>
            </w:pPr>
          </w:p>
          <w:p>
            <w:pPr>
              <w:rPr>
                <w:rFonts w:cs="仿宋_GB2312" w:asciiTheme="minorEastAsia" w:hAnsi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7" w:hRule="atLeast"/>
        </w:trPr>
        <w:tc>
          <w:tcPr>
            <w:tcW w:w="1259" w:type="dxa"/>
            <w:vMerge w:val="continue"/>
            <w:vAlign w:val="center"/>
          </w:tcPr>
          <w:p>
            <w:pPr>
              <w:jc w:val="center"/>
              <w:rPr>
                <w:rFonts w:cs="仿宋_GB2312" w:asciiTheme="minorEastAsia" w:hAnsiTheme="minorEastAsia"/>
                <w:b/>
                <w:szCs w:val="21"/>
              </w:rPr>
            </w:pPr>
          </w:p>
        </w:tc>
        <w:tc>
          <w:tcPr>
            <w:tcW w:w="1214" w:type="dxa"/>
            <w:vMerge w:val="restart"/>
            <w:vAlign w:val="center"/>
          </w:tcPr>
          <w:p>
            <w:pPr>
              <w:jc w:val="center"/>
              <w:rPr>
                <w:rFonts w:cs="仿宋_GB2312" w:asciiTheme="minorEastAsia" w:hAnsiTheme="minorEastAsia"/>
                <w:b/>
                <w:kern w:val="0"/>
                <w:szCs w:val="21"/>
              </w:rPr>
            </w:pPr>
            <w:r>
              <w:rPr>
                <w:rFonts w:hint="eastAsia" w:cs="仿宋_GB2312" w:asciiTheme="minorEastAsia" w:hAnsiTheme="minorEastAsia"/>
                <w:b/>
                <w:kern w:val="0"/>
                <w:szCs w:val="21"/>
              </w:rPr>
              <w:t>尺寸</w:t>
            </w:r>
          </w:p>
        </w:tc>
        <w:tc>
          <w:tcPr>
            <w:tcW w:w="2058" w:type="dxa"/>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长度（L</w:t>
            </w:r>
            <w:r>
              <w:rPr>
                <w:rFonts w:hint="eastAsia" w:cs="仿宋_GB2312" w:asciiTheme="minorEastAsia" w:hAnsiTheme="minorEastAsia"/>
                <w:b/>
                <w:kern w:val="0"/>
                <w:szCs w:val="21"/>
              </w:rPr>
              <w:t>）</w:t>
            </w:r>
          </w:p>
        </w:tc>
        <w:tc>
          <w:tcPr>
            <w:tcW w:w="1181"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1000mm</w:t>
            </w:r>
          </w:p>
        </w:tc>
        <w:tc>
          <w:tcPr>
            <w:tcW w:w="1133" w:type="dxa"/>
            <w:gridSpan w:val="2"/>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允许偏差</w:t>
            </w:r>
          </w:p>
        </w:tc>
        <w:tc>
          <w:tcPr>
            <w:tcW w:w="2615"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2" w:hRule="atLeast"/>
        </w:trPr>
        <w:tc>
          <w:tcPr>
            <w:tcW w:w="1259" w:type="dxa"/>
            <w:vMerge w:val="continue"/>
            <w:vAlign w:val="center"/>
          </w:tcPr>
          <w:p>
            <w:pPr>
              <w:jc w:val="center"/>
              <w:rPr>
                <w:rFonts w:cs="仿宋_GB2312" w:asciiTheme="minorEastAsia" w:hAnsiTheme="minorEastAsia"/>
                <w:b/>
                <w:szCs w:val="21"/>
              </w:rPr>
            </w:pPr>
          </w:p>
        </w:tc>
        <w:tc>
          <w:tcPr>
            <w:tcW w:w="1214" w:type="dxa"/>
            <w:vMerge w:val="continue"/>
            <w:vAlign w:val="center"/>
          </w:tcPr>
          <w:p>
            <w:pPr>
              <w:jc w:val="center"/>
              <w:rPr>
                <w:rFonts w:cs="仿宋_GB2312" w:asciiTheme="minorEastAsia" w:hAnsiTheme="minorEastAsia"/>
                <w:b/>
                <w:kern w:val="0"/>
                <w:szCs w:val="21"/>
              </w:rPr>
            </w:pPr>
          </w:p>
        </w:tc>
        <w:tc>
          <w:tcPr>
            <w:tcW w:w="2058" w:type="dxa"/>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宽度（W</w:t>
            </w:r>
            <w:r>
              <w:rPr>
                <w:rFonts w:hint="eastAsia" w:cs="仿宋_GB2312" w:asciiTheme="minorEastAsia" w:hAnsiTheme="minorEastAsia"/>
                <w:b/>
                <w:kern w:val="0"/>
                <w:szCs w:val="21"/>
              </w:rPr>
              <w:t>）</w:t>
            </w:r>
          </w:p>
        </w:tc>
        <w:tc>
          <w:tcPr>
            <w:tcW w:w="1181"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50mm</w:t>
            </w:r>
          </w:p>
        </w:tc>
        <w:tc>
          <w:tcPr>
            <w:tcW w:w="1133" w:type="dxa"/>
            <w:gridSpan w:val="2"/>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允许偏差</w:t>
            </w:r>
          </w:p>
        </w:tc>
        <w:tc>
          <w:tcPr>
            <w:tcW w:w="2615"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7" w:hRule="atLeast"/>
        </w:trPr>
        <w:tc>
          <w:tcPr>
            <w:tcW w:w="1259" w:type="dxa"/>
            <w:vMerge w:val="continue"/>
            <w:vAlign w:val="center"/>
          </w:tcPr>
          <w:p>
            <w:pPr>
              <w:jc w:val="center"/>
              <w:rPr>
                <w:rFonts w:cs="仿宋_GB2312" w:asciiTheme="minorEastAsia" w:hAnsiTheme="minorEastAsia"/>
                <w:b/>
                <w:szCs w:val="21"/>
              </w:rPr>
            </w:pPr>
          </w:p>
        </w:tc>
        <w:tc>
          <w:tcPr>
            <w:tcW w:w="1214" w:type="dxa"/>
            <w:vMerge w:val="continue"/>
            <w:vAlign w:val="center"/>
          </w:tcPr>
          <w:p>
            <w:pPr>
              <w:jc w:val="center"/>
              <w:rPr>
                <w:rFonts w:cs="仿宋_GB2312" w:asciiTheme="minorEastAsia" w:hAnsiTheme="minorEastAsia"/>
                <w:b/>
                <w:kern w:val="0"/>
                <w:szCs w:val="21"/>
              </w:rPr>
            </w:pPr>
          </w:p>
        </w:tc>
        <w:tc>
          <w:tcPr>
            <w:tcW w:w="2058" w:type="dxa"/>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高度</w:t>
            </w:r>
            <w:r>
              <w:rPr>
                <w:rFonts w:hint="eastAsia" w:cs="仿宋_GB2312" w:asciiTheme="minorEastAsia" w:hAnsiTheme="minorEastAsia"/>
                <w:b/>
                <w:kern w:val="0"/>
                <w:szCs w:val="21"/>
              </w:rPr>
              <w:t>（H）</w:t>
            </w:r>
          </w:p>
        </w:tc>
        <w:tc>
          <w:tcPr>
            <w:tcW w:w="1181"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≤55mm</w:t>
            </w:r>
          </w:p>
        </w:tc>
        <w:tc>
          <w:tcPr>
            <w:tcW w:w="1133" w:type="dxa"/>
            <w:gridSpan w:val="2"/>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允许偏差</w:t>
            </w:r>
          </w:p>
        </w:tc>
        <w:tc>
          <w:tcPr>
            <w:tcW w:w="2615"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越小越好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7" w:hRule="atLeast"/>
        </w:trPr>
        <w:tc>
          <w:tcPr>
            <w:tcW w:w="1259" w:type="dxa"/>
            <w:vMerge w:val="continue"/>
            <w:vAlign w:val="center"/>
          </w:tcPr>
          <w:p>
            <w:pPr>
              <w:jc w:val="center"/>
              <w:rPr>
                <w:rFonts w:cs="仿宋_GB2312" w:asciiTheme="minorEastAsia" w:hAnsiTheme="minorEastAsia"/>
                <w:b/>
                <w:szCs w:val="21"/>
              </w:rPr>
            </w:pPr>
          </w:p>
        </w:tc>
        <w:tc>
          <w:tcPr>
            <w:tcW w:w="1214" w:type="dxa"/>
            <w:vMerge w:val="restart"/>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材质</w:t>
            </w:r>
          </w:p>
        </w:tc>
        <w:tc>
          <w:tcPr>
            <w:tcW w:w="2058"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b/>
                <w:kern w:val="0"/>
                <w:szCs w:val="21"/>
              </w:rPr>
              <w:t>灯具外壳</w:t>
            </w:r>
          </w:p>
        </w:tc>
        <w:tc>
          <w:tcPr>
            <w:tcW w:w="4929" w:type="dxa"/>
            <w:gridSpan w:val="4"/>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304不锈钢灯体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trPr>
        <w:tc>
          <w:tcPr>
            <w:tcW w:w="1259" w:type="dxa"/>
            <w:vMerge w:val="continue"/>
            <w:vAlign w:val="center"/>
          </w:tcPr>
          <w:p>
            <w:pPr>
              <w:jc w:val="center"/>
              <w:rPr>
                <w:rFonts w:cs="仿宋_GB2312" w:asciiTheme="minorEastAsia" w:hAnsiTheme="minorEastAsia"/>
                <w:b/>
                <w:szCs w:val="21"/>
              </w:rPr>
            </w:pPr>
          </w:p>
        </w:tc>
        <w:tc>
          <w:tcPr>
            <w:tcW w:w="1214" w:type="dxa"/>
            <w:vMerge w:val="continue"/>
            <w:vAlign w:val="center"/>
          </w:tcPr>
          <w:p>
            <w:pPr>
              <w:widowControl/>
              <w:jc w:val="center"/>
              <w:textAlignment w:val="center"/>
              <w:rPr>
                <w:rFonts w:cs="仿宋_GB2312" w:asciiTheme="minorEastAsia" w:hAnsiTheme="minorEastAsia"/>
                <w:b/>
                <w:kern w:val="0"/>
                <w:szCs w:val="21"/>
              </w:rPr>
            </w:pPr>
          </w:p>
        </w:tc>
        <w:tc>
          <w:tcPr>
            <w:tcW w:w="2058"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b/>
                <w:kern w:val="0"/>
                <w:szCs w:val="21"/>
              </w:rPr>
              <w:t>出光面</w:t>
            </w:r>
          </w:p>
        </w:tc>
        <w:tc>
          <w:tcPr>
            <w:tcW w:w="4929" w:type="dxa"/>
            <w:gridSpan w:val="4"/>
            <w:vAlign w:val="center"/>
          </w:tcPr>
          <w:p>
            <w:pPr>
              <w:widowControl/>
              <w:jc w:val="left"/>
              <w:textAlignment w:val="center"/>
              <w:rPr>
                <w:rFonts w:cs="仿宋_GB2312" w:asciiTheme="minorEastAsia" w:hAnsiTheme="minorEastAsia"/>
                <w:kern w:val="0"/>
                <w:szCs w:val="21"/>
              </w:rPr>
            </w:pPr>
            <w:r>
              <w:rPr>
                <w:rFonts w:hint="eastAsia" w:cs="宋体" w:asciiTheme="minorEastAsia" w:hAnsiTheme="minorEastAsia"/>
                <w:color w:val="000000"/>
                <w:szCs w:val="21"/>
              </w:rPr>
              <w:t>12MM钢化仿石纹玻璃（表面高硬度耐酸碱，经过中性盐酸浸泡48H不脱色；防撞等级IK08;表面带防滑釉面），与周边石材铺装相似.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1259" w:type="dxa"/>
            <w:vMerge w:val="continue"/>
            <w:vAlign w:val="center"/>
          </w:tcPr>
          <w:p>
            <w:pPr>
              <w:jc w:val="center"/>
              <w:rPr>
                <w:rFonts w:cs="仿宋_GB2312" w:asciiTheme="minorEastAsia" w:hAnsiTheme="minorEastAsia"/>
                <w:b/>
                <w:szCs w:val="21"/>
              </w:rPr>
            </w:pPr>
          </w:p>
        </w:tc>
        <w:tc>
          <w:tcPr>
            <w:tcW w:w="1214"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电压</w:t>
            </w:r>
          </w:p>
        </w:tc>
        <w:tc>
          <w:tcPr>
            <w:tcW w:w="6987" w:type="dxa"/>
            <w:gridSpan w:val="5"/>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DC24v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2" w:hRule="atLeast"/>
        </w:trPr>
        <w:tc>
          <w:tcPr>
            <w:tcW w:w="1259" w:type="dxa"/>
            <w:vMerge w:val="continue"/>
            <w:vAlign w:val="center"/>
          </w:tcPr>
          <w:p>
            <w:pPr>
              <w:jc w:val="center"/>
              <w:rPr>
                <w:rFonts w:cs="仿宋_GB2312" w:asciiTheme="minorEastAsia" w:hAnsiTheme="minorEastAsia"/>
                <w:b/>
                <w:szCs w:val="21"/>
              </w:rPr>
            </w:pPr>
            <w:r>
              <w:rPr>
                <w:rFonts w:hint="eastAsia" w:cs="仿宋_GB2312" w:asciiTheme="minorEastAsia" w:hAnsiTheme="minorEastAsia"/>
                <w:b/>
                <w:szCs w:val="21"/>
              </w:rPr>
              <w:t>色温</w:t>
            </w:r>
          </w:p>
        </w:tc>
        <w:tc>
          <w:tcPr>
            <w:tcW w:w="1214"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色温</w:t>
            </w:r>
          </w:p>
        </w:tc>
        <w:tc>
          <w:tcPr>
            <w:tcW w:w="6987" w:type="dxa"/>
            <w:gridSpan w:val="5"/>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 xml:space="preserve">4000K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7" w:hRule="atLeast"/>
        </w:trPr>
        <w:tc>
          <w:tcPr>
            <w:tcW w:w="1259" w:type="dxa"/>
            <w:vAlign w:val="center"/>
          </w:tcPr>
          <w:p>
            <w:pPr>
              <w:jc w:val="center"/>
              <w:rPr>
                <w:rFonts w:cs="仿宋_GB2312" w:asciiTheme="minorEastAsia" w:hAnsiTheme="minorEastAsia"/>
                <w:b/>
                <w:szCs w:val="21"/>
              </w:rPr>
            </w:pPr>
          </w:p>
        </w:tc>
        <w:tc>
          <w:tcPr>
            <w:tcW w:w="1214"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 xml:space="preserve">压力承受重量 </w:t>
            </w:r>
          </w:p>
        </w:tc>
        <w:tc>
          <w:tcPr>
            <w:tcW w:w="6987" w:type="dxa"/>
            <w:gridSpan w:val="5"/>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最大承受:2000Kg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trPr>
        <w:tc>
          <w:tcPr>
            <w:tcW w:w="1259" w:type="dxa"/>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光学</w:t>
            </w:r>
          </w:p>
        </w:tc>
        <w:tc>
          <w:tcPr>
            <w:tcW w:w="1214" w:type="dxa"/>
            <w:vAlign w:val="center"/>
          </w:tcPr>
          <w:p>
            <w:pPr>
              <w:widowControl/>
              <w:jc w:val="center"/>
              <w:textAlignment w:val="center"/>
              <w:rPr>
                <w:rFonts w:cs="仿宋_GB2312" w:asciiTheme="minorEastAsia" w:hAnsiTheme="minorEastAsia"/>
                <w:kern w:val="0"/>
                <w:szCs w:val="21"/>
              </w:rPr>
            </w:pPr>
          </w:p>
        </w:tc>
        <w:tc>
          <w:tcPr>
            <w:tcW w:w="2058"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w:t>
            </w:r>
          </w:p>
        </w:tc>
        <w:tc>
          <w:tcPr>
            <w:tcW w:w="2196" w:type="dxa"/>
            <w:gridSpan w:val="2"/>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b/>
                <w:kern w:val="0"/>
                <w:szCs w:val="21"/>
              </w:rPr>
              <w:t>配光要求</w:t>
            </w:r>
          </w:p>
        </w:tc>
        <w:tc>
          <w:tcPr>
            <w:tcW w:w="2733" w:type="dxa"/>
            <w:gridSpan w:val="2"/>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自发光，出光均匀柔和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2" w:hRule="atLeast"/>
        </w:trPr>
        <w:tc>
          <w:tcPr>
            <w:tcW w:w="1259"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控制方式</w:t>
            </w:r>
          </w:p>
        </w:tc>
        <w:tc>
          <w:tcPr>
            <w:tcW w:w="8201" w:type="dxa"/>
            <w:gridSpan w:val="6"/>
            <w:vAlign w:val="center"/>
          </w:tcPr>
          <w:p>
            <w:pPr>
              <w:widowControl/>
              <w:jc w:val="left"/>
              <w:textAlignment w:val="center"/>
              <w:rPr>
                <w:rFonts w:cs="仿宋_GB2312" w:asciiTheme="minorEastAsia" w:hAnsiTheme="minorEastAsia"/>
                <w:kern w:val="0"/>
                <w:szCs w:val="21"/>
              </w:rPr>
            </w:pPr>
            <w:r>
              <w:rPr>
                <w:rFonts w:hint="eastAsia" w:cs="仿宋_GB2312" w:asciiTheme="minorEastAsia" w:hAnsiTheme="minorEastAsia"/>
                <w:kern w:val="0"/>
                <w:szCs w:val="21"/>
              </w:rPr>
              <w:t>DMX512,每套灯具一个控制单元，灯具内置单段DMX512控制像素，功能强大的DMX512接口采用高可靠总线式连接，均带有DMX在线自动寻址功能。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2" w:hRule="atLeast"/>
        </w:trPr>
        <w:tc>
          <w:tcPr>
            <w:tcW w:w="1259"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结构</w:t>
            </w:r>
          </w:p>
        </w:tc>
        <w:tc>
          <w:tcPr>
            <w:tcW w:w="8201" w:type="dxa"/>
            <w:gridSpan w:val="6"/>
            <w:vAlign w:val="center"/>
          </w:tcPr>
          <w:p>
            <w:pPr>
              <w:widowControl/>
              <w:jc w:val="left"/>
              <w:textAlignment w:val="center"/>
              <w:rPr>
                <w:rFonts w:cs="仿宋_GB2312" w:asciiTheme="minorEastAsia" w:hAnsiTheme="minorEastAsia"/>
                <w:kern w:val="0"/>
                <w:szCs w:val="21"/>
              </w:rPr>
            </w:pPr>
            <w:r>
              <w:rPr>
                <w:rFonts w:hint="eastAsia" w:cs="仿宋_GB2312" w:asciiTheme="minorEastAsia" w:hAnsiTheme="minorEastAsia"/>
                <w:kern w:val="0"/>
                <w:szCs w:val="21"/>
              </w:rPr>
              <w:t>采用进口高耐蚀户外专用密封胶，耐高温，抗老化，采用三级专业防水工艺处理，确保灯具三重防水，</w:t>
            </w:r>
            <w:r>
              <w:rPr>
                <w:rFonts w:hint="eastAsia" w:cs="仿宋_GB2312" w:asciiTheme="minorEastAsia" w:hAnsiTheme="minorEastAsia"/>
                <w:b/>
                <w:bCs/>
                <w:kern w:val="0"/>
                <w:szCs w:val="21"/>
              </w:rPr>
              <w:t>防护等级IP67</w:t>
            </w:r>
            <w:r>
              <w:rPr>
                <w:rFonts w:hint="eastAsia" w:cs="仿宋_GB2312" w:asciiTheme="minorEastAsia" w:hAnsiTheme="minorEastAsia"/>
                <w:kern w:val="0"/>
                <w:szCs w:val="21"/>
              </w:rPr>
              <w:t>。采用户外专用的橡胶护套连接线，配防水实心公母插头，耐寒性能好（耐寒零下40℃），在低温环境下长期使用而不脆化破裂。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62" w:hRule="atLeast"/>
        </w:trPr>
        <w:tc>
          <w:tcPr>
            <w:tcW w:w="1259"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b/>
                <w:bCs/>
                <w:kern w:val="0"/>
                <w:szCs w:val="21"/>
              </w:rPr>
              <w:t>备注</w:t>
            </w:r>
          </w:p>
        </w:tc>
        <w:tc>
          <w:tcPr>
            <w:tcW w:w="8201" w:type="dxa"/>
            <w:gridSpan w:val="6"/>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kern w:val="0"/>
                <w:szCs w:val="21"/>
              </w:rPr>
              <w:t>标配304不锈钢预埋盒安装,灯具为无边框设计，灯具表面纹理、颜色需按现场深化</w:t>
            </w:r>
            <w:r>
              <w:rPr>
                <w:rFonts w:hint="eastAsia" w:cs="仿宋_GB2312" w:asciiTheme="minorEastAsia" w:hAnsiTheme="minorEastAsia"/>
                <w:kern w:val="0"/>
                <w:szCs w:val="21"/>
                <w:lang w:eastAsia="zh-CN"/>
              </w:rPr>
              <w:t>（芝麻</w:t>
            </w:r>
            <w:r>
              <w:rPr>
                <w:rFonts w:hint="eastAsia" w:cs="仿宋_GB2312" w:asciiTheme="minorEastAsia" w:hAnsiTheme="minorEastAsia"/>
                <w:kern w:val="0"/>
                <w:szCs w:val="21"/>
                <w:lang w:val="en-US" w:eastAsia="zh-CN"/>
              </w:rPr>
              <w:t>灰</w:t>
            </w:r>
            <w:r>
              <w:rPr>
                <w:rFonts w:hint="eastAsia" w:cs="仿宋_GB2312" w:asciiTheme="minorEastAsia" w:hAnsiTheme="minorEastAsia"/>
                <w:kern w:val="0"/>
                <w:szCs w:val="21"/>
                <w:lang w:eastAsia="zh-CN"/>
              </w:rPr>
              <w:t>的面层）</w:t>
            </w:r>
            <w:r>
              <w:rPr>
                <w:rFonts w:hint="eastAsia" w:cs="仿宋_GB2312" w:asciiTheme="minorEastAsia" w:hAnsiTheme="minorEastAsia"/>
                <w:kern w:val="0"/>
                <w:szCs w:val="21"/>
              </w:rPr>
              <w:t>。</w:t>
            </w:r>
          </w:p>
        </w:tc>
      </w:tr>
    </w:tbl>
    <w:p>
      <w:pPr>
        <w:rPr>
          <w:rFonts w:asciiTheme="minorEastAsia" w:hAnsiTheme="minorEastAsia"/>
        </w:rPr>
      </w:pPr>
    </w:p>
    <w:p>
      <w:pPr>
        <w:rPr>
          <w:rFonts w:cs="仿宋_GB2312" w:asciiTheme="minorEastAsia" w:hAnsiTheme="minorEastAsia"/>
          <w:b/>
          <w:kern w:val="0"/>
          <w:szCs w:val="21"/>
        </w:rPr>
      </w:pPr>
    </w:p>
    <w:p>
      <w:pPr>
        <w:rPr>
          <w:rFonts w:hint="default" w:cs="仿宋_GB2312" w:asciiTheme="minorEastAsia" w:hAnsiTheme="minorEastAsia" w:eastAsiaTheme="minorEastAsia"/>
          <w:b/>
          <w:kern w:val="0"/>
          <w:szCs w:val="21"/>
          <w:lang w:val="en-US" w:eastAsia="zh-CN"/>
        </w:rPr>
      </w:pPr>
      <w:r>
        <w:rPr>
          <w:rFonts w:hint="eastAsia" w:cs="仿宋_GB2312" w:asciiTheme="minorEastAsia" w:hAnsiTheme="minorEastAsia"/>
          <w:b/>
          <w:kern w:val="0"/>
          <w:szCs w:val="21"/>
        </w:rPr>
        <w:t>3）12W条形 LED地砖灯（1000*100mm） （4000K）</w:t>
      </w:r>
      <w:r>
        <w:rPr>
          <w:rFonts w:hint="eastAsia" w:cs="仿宋_GB2312" w:asciiTheme="minorEastAsia" w:hAnsiTheme="minorEastAsia"/>
          <w:b/>
          <w:kern w:val="0"/>
          <w:szCs w:val="21"/>
          <w:lang w:val="en-US" w:eastAsia="zh-CN"/>
        </w:rPr>
        <w:t>DMX</w:t>
      </w:r>
    </w:p>
    <w:tbl>
      <w:tblPr>
        <w:tblStyle w:val="8"/>
        <w:tblW w:w="9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59"/>
        <w:gridCol w:w="1214"/>
        <w:gridCol w:w="2058"/>
        <w:gridCol w:w="1181"/>
        <w:gridCol w:w="1015"/>
        <w:gridCol w:w="118"/>
        <w:gridCol w:w="2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99" w:hRule="atLeast"/>
        </w:trPr>
        <w:tc>
          <w:tcPr>
            <w:tcW w:w="1259" w:type="dxa"/>
            <w:vMerge w:val="restart"/>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灯具</w:t>
            </w:r>
          </w:p>
        </w:tc>
        <w:tc>
          <w:tcPr>
            <w:tcW w:w="1214" w:type="dxa"/>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外形</w:t>
            </w:r>
          </w:p>
        </w:tc>
        <w:tc>
          <w:tcPr>
            <w:tcW w:w="6987" w:type="dxa"/>
            <w:gridSpan w:val="5"/>
            <w:vAlign w:val="center"/>
          </w:tcPr>
          <w:p>
            <w:pPr>
              <w:rPr>
                <w:rFonts w:cs="仿宋_GB2312" w:asciiTheme="minorEastAsia" w:hAnsiTheme="minorEastAsia"/>
                <w:szCs w:val="21"/>
              </w:rPr>
            </w:pPr>
            <w:r>
              <w:rPr>
                <w:rFonts w:cs="仿宋_GB2312" w:asciiTheme="minorEastAsia" w:hAnsiTheme="minorEastAsia"/>
                <w:szCs w:val="21"/>
              </w:rPr>
              <w:drawing>
                <wp:anchor distT="0" distB="0" distL="114300" distR="114300" simplePos="0" relativeHeight="251660288" behindDoc="0" locked="0" layoutInCell="1" allowOverlap="1">
                  <wp:simplePos x="0" y="0"/>
                  <wp:positionH relativeFrom="column">
                    <wp:posOffset>749300</wp:posOffset>
                  </wp:positionH>
                  <wp:positionV relativeFrom="paragraph">
                    <wp:posOffset>81280</wp:posOffset>
                  </wp:positionV>
                  <wp:extent cx="2877820" cy="1799590"/>
                  <wp:effectExtent l="0" t="0" r="8255" b="635"/>
                  <wp:wrapNone/>
                  <wp:docPr id="5" name="图片 5" descr="C:\Users\jiechu\AppData\Local\Temp\WeChat Files\b8429e8fd430c06e039cdb134884e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jiechu\AppData\Local\Temp\WeChat Files\b8429e8fd430c06e039cdb134884e7a.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77820" cy="1799590"/>
                          </a:xfrm>
                          <a:prstGeom prst="rect">
                            <a:avLst/>
                          </a:prstGeom>
                          <a:noFill/>
                          <a:ln>
                            <a:noFill/>
                          </a:ln>
                        </pic:spPr>
                      </pic:pic>
                    </a:graphicData>
                  </a:graphic>
                </wp:anchor>
              </w:drawing>
            </w: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r>
              <w:rPr>
                <w:rFonts w:hint="eastAsia" w:cs="仿宋_GB2312" w:asciiTheme="minorEastAsia" w:hAnsiTheme="minorEastAsia"/>
                <w:szCs w:val="21"/>
              </w:rPr>
              <w:drawing>
                <wp:inline distT="0" distB="0" distL="114300" distR="114300">
                  <wp:extent cx="4413250" cy="800735"/>
                  <wp:effectExtent l="0" t="0" r="6350" b="8890"/>
                  <wp:docPr id="15" name="图片 1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1"/>
                          <pic:cNvPicPr>
                            <a:picLocks noChangeAspect="1"/>
                          </pic:cNvPicPr>
                        </pic:nvPicPr>
                        <pic:blipFill>
                          <a:blip r:embed="rId22"/>
                          <a:stretch>
                            <a:fillRect/>
                          </a:stretch>
                        </pic:blipFill>
                        <pic:spPr>
                          <a:xfrm>
                            <a:off x="0" y="0"/>
                            <a:ext cx="4413250" cy="800735"/>
                          </a:xfrm>
                          <a:prstGeom prst="rect">
                            <a:avLst/>
                          </a:prstGeom>
                        </pic:spPr>
                      </pic:pic>
                    </a:graphicData>
                  </a:graphic>
                </wp:inline>
              </w:drawing>
            </w:r>
          </w:p>
          <w:p>
            <w:pPr>
              <w:jc w:val="center"/>
              <w:rPr>
                <w:rFonts w:cs="仿宋_GB2312" w:asciiTheme="minorEastAsia" w:hAnsi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7" w:hRule="atLeast"/>
        </w:trPr>
        <w:tc>
          <w:tcPr>
            <w:tcW w:w="1259" w:type="dxa"/>
            <w:vMerge w:val="continue"/>
            <w:vAlign w:val="center"/>
          </w:tcPr>
          <w:p>
            <w:pPr>
              <w:jc w:val="center"/>
              <w:rPr>
                <w:rFonts w:cs="仿宋_GB2312" w:asciiTheme="minorEastAsia" w:hAnsiTheme="minorEastAsia"/>
                <w:b/>
                <w:szCs w:val="21"/>
              </w:rPr>
            </w:pPr>
          </w:p>
        </w:tc>
        <w:tc>
          <w:tcPr>
            <w:tcW w:w="1214" w:type="dxa"/>
            <w:vMerge w:val="restart"/>
            <w:vAlign w:val="center"/>
          </w:tcPr>
          <w:p>
            <w:pPr>
              <w:jc w:val="center"/>
              <w:rPr>
                <w:rFonts w:cs="仿宋_GB2312" w:asciiTheme="minorEastAsia" w:hAnsiTheme="minorEastAsia"/>
                <w:b/>
                <w:kern w:val="0"/>
                <w:szCs w:val="21"/>
              </w:rPr>
            </w:pPr>
            <w:r>
              <w:rPr>
                <w:rFonts w:hint="eastAsia" w:cs="仿宋_GB2312" w:asciiTheme="minorEastAsia" w:hAnsiTheme="minorEastAsia"/>
                <w:b/>
                <w:kern w:val="0"/>
                <w:szCs w:val="21"/>
              </w:rPr>
              <w:t>尺寸</w:t>
            </w:r>
          </w:p>
        </w:tc>
        <w:tc>
          <w:tcPr>
            <w:tcW w:w="2058" w:type="dxa"/>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长度（L</w:t>
            </w:r>
            <w:r>
              <w:rPr>
                <w:rFonts w:hint="eastAsia" w:cs="仿宋_GB2312" w:asciiTheme="minorEastAsia" w:hAnsiTheme="minorEastAsia"/>
                <w:b/>
                <w:kern w:val="0"/>
                <w:szCs w:val="21"/>
              </w:rPr>
              <w:t>）</w:t>
            </w:r>
          </w:p>
        </w:tc>
        <w:tc>
          <w:tcPr>
            <w:tcW w:w="1181"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1000mm</w:t>
            </w:r>
          </w:p>
        </w:tc>
        <w:tc>
          <w:tcPr>
            <w:tcW w:w="1133" w:type="dxa"/>
            <w:gridSpan w:val="2"/>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允许偏差</w:t>
            </w:r>
          </w:p>
        </w:tc>
        <w:tc>
          <w:tcPr>
            <w:tcW w:w="2615"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2" w:hRule="atLeast"/>
        </w:trPr>
        <w:tc>
          <w:tcPr>
            <w:tcW w:w="1259" w:type="dxa"/>
            <w:vMerge w:val="continue"/>
            <w:vAlign w:val="center"/>
          </w:tcPr>
          <w:p>
            <w:pPr>
              <w:jc w:val="center"/>
              <w:rPr>
                <w:rFonts w:cs="仿宋_GB2312" w:asciiTheme="minorEastAsia" w:hAnsiTheme="minorEastAsia"/>
                <w:b/>
                <w:szCs w:val="21"/>
              </w:rPr>
            </w:pPr>
          </w:p>
        </w:tc>
        <w:tc>
          <w:tcPr>
            <w:tcW w:w="1214" w:type="dxa"/>
            <w:vMerge w:val="continue"/>
            <w:vAlign w:val="center"/>
          </w:tcPr>
          <w:p>
            <w:pPr>
              <w:jc w:val="center"/>
              <w:rPr>
                <w:rFonts w:cs="仿宋_GB2312" w:asciiTheme="minorEastAsia" w:hAnsiTheme="minorEastAsia"/>
                <w:b/>
                <w:kern w:val="0"/>
                <w:szCs w:val="21"/>
              </w:rPr>
            </w:pPr>
          </w:p>
        </w:tc>
        <w:tc>
          <w:tcPr>
            <w:tcW w:w="2058" w:type="dxa"/>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宽度（W</w:t>
            </w:r>
            <w:r>
              <w:rPr>
                <w:rFonts w:hint="eastAsia" w:cs="仿宋_GB2312" w:asciiTheme="minorEastAsia" w:hAnsiTheme="minorEastAsia"/>
                <w:b/>
                <w:kern w:val="0"/>
                <w:szCs w:val="21"/>
              </w:rPr>
              <w:t>）</w:t>
            </w:r>
          </w:p>
        </w:tc>
        <w:tc>
          <w:tcPr>
            <w:tcW w:w="1181"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100mm</w:t>
            </w:r>
          </w:p>
        </w:tc>
        <w:tc>
          <w:tcPr>
            <w:tcW w:w="1133" w:type="dxa"/>
            <w:gridSpan w:val="2"/>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允许偏差</w:t>
            </w:r>
          </w:p>
        </w:tc>
        <w:tc>
          <w:tcPr>
            <w:tcW w:w="2615"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7" w:hRule="atLeast"/>
        </w:trPr>
        <w:tc>
          <w:tcPr>
            <w:tcW w:w="1259" w:type="dxa"/>
            <w:vMerge w:val="continue"/>
            <w:vAlign w:val="center"/>
          </w:tcPr>
          <w:p>
            <w:pPr>
              <w:jc w:val="center"/>
              <w:rPr>
                <w:rFonts w:cs="仿宋_GB2312" w:asciiTheme="minorEastAsia" w:hAnsiTheme="minorEastAsia"/>
                <w:b/>
                <w:szCs w:val="21"/>
              </w:rPr>
            </w:pPr>
          </w:p>
        </w:tc>
        <w:tc>
          <w:tcPr>
            <w:tcW w:w="1214" w:type="dxa"/>
            <w:vMerge w:val="continue"/>
            <w:vAlign w:val="center"/>
          </w:tcPr>
          <w:p>
            <w:pPr>
              <w:jc w:val="center"/>
              <w:rPr>
                <w:rFonts w:cs="仿宋_GB2312" w:asciiTheme="minorEastAsia" w:hAnsiTheme="minorEastAsia"/>
                <w:b/>
                <w:kern w:val="0"/>
                <w:szCs w:val="21"/>
              </w:rPr>
            </w:pPr>
          </w:p>
        </w:tc>
        <w:tc>
          <w:tcPr>
            <w:tcW w:w="2058" w:type="dxa"/>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高度</w:t>
            </w:r>
            <w:r>
              <w:rPr>
                <w:rFonts w:hint="eastAsia" w:cs="仿宋_GB2312" w:asciiTheme="minorEastAsia" w:hAnsiTheme="minorEastAsia"/>
                <w:b/>
                <w:kern w:val="0"/>
                <w:szCs w:val="21"/>
              </w:rPr>
              <w:t>（H）</w:t>
            </w:r>
          </w:p>
        </w:tc>
        <w:tc>
          <w:tcPr>
            <w:tcW w:w="1181"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≤55mm</w:t>
            </w:r>
          </w:p>
        </w:tc>
        <w:tc>
          <w:tcPr>
            <w:tcW w:w="1133" w:type="dxa"/>
            <w:gridSpan w:val="2"/>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允许偏差</w:t>
            </w:r>
          </w:p>
        </w:tc>
        <w:tc>
          <w:tcPr>
            <w:tcW w:w="2615"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越小越好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7" w:hRule="atLeast"/>
        </w:trPr>
        <w:tc>
          <w:tcPr>
            <w:tcW w:w="1259" w:type="dxa"/>
            <w:vMerge w:val="continue"/>
            <w:vAlign w:val="center"/>
          </w:tcPr>
          <w:p>
            <w:pPr>
              <w:jc w:val="center"/>
              <w:rPr>
                <w:rFonts w:cs="仿宋_GB2312" w:asciiTheme="minorEastAsia" w:hAnsiTheme="minorEastAsia"/>
                <w:b/>
                <w:szCs w:val="21"/>
              </w:rPr>
            </w:pPr>
          </w:p>
        </w:tc>
        <w:tc>
          <w:tcPr>
            <w:tcW w:w="1214" w:type="dxa"/>
            <w:vMerge w:val="restart"/>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材质</w:t>
            </w:r>
          </w:p>
        </w:tc>
        <w:tc>
          <w:tcPr>
            <w:tcW w:w="2058"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b/>
                <w:kern w:val="0"/>
                <w:szCs w:val="21"/>
              </w:rPr>
              <w:t>灯具外壳</w:t>
            </w:r>
          </w:p>
        </w:tc>
        <w:tc>
          <w:tcPr>
            <w:tcW w:w="4929" w:type="dxa"/>
            <w:gridSpan w:val="4"/>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304不锈钢灯体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trPr>
        <w:tc>
          <w:tcPr>
            <w:tcW w:w="1259" w:type="dxa"/>
            <w:vMerge w:val="continue"/>
            <w:vAlign w:val="center"/>
          </w:tcPr>
          <w:p>
            <w:pPr>
              <w:jc w:val="center"/>
              <w:rPr>
                <w:rFonts w:cs="仿宋_GB2312" w:asciiTheme="minorEastAsia" w:hAnsiTheme="minorEastAsia"/>
                <w:b/>
                <w:szCs w:val="21"/>
              </w:rPr>
            </w:pPr>
          </w:p>
        </w:tc>
        <w:tc>
          <w:tcPr>
            <w:tcW w:w="1214" w:type="dxa"/>
            <w:vMerge w:val="continue"/>
            <w:vAlign w:val="center"/>
          </w:tcPr>
          <w:p>
            <w:pPr>
              <w:widowControl/>
              <w:jc w:val="center"/>
              <w:textAlignment w:val="center"/>
              <w:rPr>
                <w:rFonts w:cs="仿宋_GB2312" w:asciiTheme="minorEastAsia" w:hAnsiTheme="minorEastAsia"/>
                <w:b/>
                <w:kern w:val="0"/>
                <w:szCs w:val="21"/>
              </w:rPr>
            </w:pPr>
          </w:p>
        </w:tc>
        <w:tc>
          <w:tcPr>
            <w:tcW w:w="2058"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b/>
                <w:kern w:val="0"/>
                <w:szCs w:val="21"/>
              </w:rPr>
              <w:t>出光面</w:t>
            </w:r>
          </w:p>
        </w:tc>
        <w:tc>
          <w:tcPr>
            <w:tcW w:w="4929" w:type="dxa"/>
            <w:gridSpan w:val="4"/>
            <w:vAlign w:val="center"/>
          </w:tcPr>
          <w:p>
            <w:pPr>
              <w:widowControl/>
              <w:jc w:val="left"/>
              <w:textAlignment w:val="center"/>
              <w:rPr>
                <w:rFonts w:cs="仿宋_GB2312" w:asciiTheme="minorEastAsia" w:hAnsiTheme="minorEastAsia"/>
                <w:kern w:val="0"/>
                <w:szCs w:val="21"/>
              </w:rPr>
            </w:pPr>
            <w:r>
              <w:rPr>
                <w:rFonts w:hint="eastAsia" w:cs="宋体" w:asciiTheme="minorEastAsia" w:hAnsiTheme="minorEastAsia"/>
                <w:color w:val="000000"/>
                <w:szCs w:val="21"/>
              </w:rPr>
              <w:t>12MM钢化仿石纹玻璃（表面高硬度耐酸碱，经过中性盐酸浸泡48H不脱色；防撞等级IK08;表面带防滑釉面），与周边石材铺装相似。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1259" w:type="dxa"/>
            <w:vMerge w:val="continue"/>
            <w:vAlign w:val="center"/>
          </w:tcPr>
          <w:p>
            <w:pPr>
              <w:jc w:val="center"/>
              <w:rPr>
                <w:rFonts w:cs="仿宋_GB2312" w:asciiTheme="minorEastAsia" w:hAnsiTheme="minorEastAsia"/>
                <w:b/>
                <w:szCs w:val="21"/>
              </w:rPr>
            </w:pPr>
          </w:p>
        </w:tc>
        <w:tc>
          <w:tcPr>
            <w:tcW w:w="1214"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电压</w:t>
            </w:r>
          </w:p>
        </w:tc>
        <w:tc>
          <w:tcPr>
            <w:tcW w:w="6987" w:type="dxa"/>
            <w:gridSpan w:val="5"/>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DC24v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2" w:hRule="atLeast"/>
        </w:trPr>
        <w:tc>
          <w:tcPr>
            <w:tcW w:w="1259" w:type="dxa"/>
            <w:vMerge w:val="continue"/>
            <w:vAlign w:val="center"/>
          </w:tcPr>
          <w:p>
            <w:pPr>
              <w:jc w:val="center"/>
              <w:rPr>
                <w:rFonts w:cs="仿宋_GB2312" w:asciiTheme="minorEastAsia" w:hAnsiTheme="minorEastAsia"/>
                <w:b/>
                <w:szCs w:val="21"/>
              </w:rPr>
            </w:pPr>
            <w:r>
              <w:rPr>
                <w:rFonts w:hint="eastAsia" w:cs="仿宋_GB2312" w:asciiTheme="minorEastAsia" w:hAnsiTheme="minorEastAsia"/>
                <w:b/>
                <w:szCs w:val="21"/>
              </w:rPr>
              <w:t>色温</w:t>
            </w:r>
          </w:p>
        </w:tc>
        <w:tc>
          <w:tcPr>
            <w:tcW w:w="1214"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色温</w:t>
            </w:r>
          </w:p>
        </w:tc>
        <w:tc>
          <w:tcPr>
            <w:tcW w:w="6987" w:type="dxa"/>
            <w:gridSpan w:val="5"/>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 xml:space="preserve">4000K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7" w:hRule="atLeast"/>
        </w:trPr>
        <w:tc>
          <w:tcPr>
            <w:tcW w:w="1259" w:type="dxa"/>
            <w:vAlign w:val="center"/>
          </w:tcPr>
          <w:p>
            <w:pPr>
              <w:jc w:val="center"/>
              <w:rPr>
                <w:rFonts w:cs="仿宋_GB2312" w:asciiTheme="minorEastAsia" w:hAnsiTheme="minorEastAsia"/>
                <w:b/>
                <w:szCs w:val="21"/>
              </w:rPr>
            </w:pPr>
          </w:p>
        </w:tc>
        <w:tc>
          <w:tcPr>
            <w:tcW w:w="1214"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 xml:space="preserve">压力承受重量 </w:t>
            </w:r>
          </w:p>
        </w:tc>
        <w:tc>
          <w:tcPr>
            <w:tcW w:w="6987" w:type="dxa"/>
            <w:gridSpan w:val="5"/>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最大承受:2000Kg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trPr>
        <w:tc>
          <w:tcPr>
            <w:tcW w:w="1259" w:type="dxa"/>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光学</w:t>
            </w:r>
          </w:p>
        </w:tc>
        <w:tc>
          <w:tcPr>
            <w:tcW w:w="1214" w:type="dxa"/>
            <w:vAlign w:val="center"/>
          </w:tcPr>
          <w:p>
            <w:pPr>
              <w:widowControl/>
              <w:jc w:val="center"/>
              <w:textAlignment w:val="center"/>
              <w:rPr>
                <w:rFonts w:cs="仿宋_GB2312" w:asciiTheme="minorEastAsia" w:hAnsiTheme="minorEastAsia"/>
                <w:kern w:val="0"/>
                <w:szCs w:val="21"/>
              </w:rPr>
            </w:pPr>
          </w:p>
        </w:tc>
        <w:tc>
          <w:tcPr>
            <w:tcW w:w="2058"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w:t>
            </w:r>
          </w:p>
        </w:tc>
        <w:tc>
          <w:tcPr>
            <w:tcW w:w="2196" w:type="dxa"/>
            <w:gridSpan w:val="2"/>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b/>
                <w:kern w:val="0"/>
                <w:szCs w:val="21"/>
              </w:rPr>
              <w:t>配光要求</w:t>
            </w:r>
          </w:p>
        </w:tc>
        <w:tc>
          <w:tcPr>
            <w:tcW w:w="2733" w:type="dxa"/>
            <w:gridSpan w:val="2"/>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自发光，出光均匀柔和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2" w:hRule="atLeast"/>
        </w:trPr>
        <w:tc>
          <w:tcPr>
            <w:tcW w:w="1259"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控制方式</w:t>
            </w:r>
          </w:p>
        </w:tc>
        <w:tc>
          <w:tcPr>
            <w:tcW w:w="8201" w:type="dxa"/>
            <w:gridSpan w:val="6"/>
            <w:vAlign w:val="center"/>
          </w:tcPr>
          <w:p>
            <w:pPr>
              <w:widowControl/>
              <w:jc w:val="left"/>
              <w:textAlignment w:val="center"/>
              <w:rPr>
                <w:rFonts w:cs="仿宋_GB2312" w:asciiTheme="minorEastAsia" w:hAnsiTheme="minorEastAsia"/>
                <w:kern w:val="0"/>
                <w:szCs w:val="21"/>
              </w:rPr>
            </w:pPr>
            <w:r>
              <w:rPr>
                <w:rFonts w:hint="eastAsia" w:cs="仿宋_GB2312" w:asciiTheme="minorEastAsia" w:hAnsiTheme="minorEastAsia"/>
                <w:kern w:val="0"/>
                <w:szCs w:val="21"/>
              </w:rPr>
              <w:t>DMX512,每套灯具一个控制单元，灯具内置单段DMX512控制像素，功能强大的DMX512接口采用高可靠总线式连接，均带有DMX在线自动寻址功能。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2" w:hRule="atLeast"/>
        </w:trPr>
        <w:tc>
          <w:tcPr>
            <w:tcW w:w="1259"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结构</w:t>
            </w:r>
          </w:p>
        </w:tc>
        <w:tc>
          <w:tcPr>
            <w:tcW w:w="8201" w:type="dxa"/>
            <w:gridSpan w:val="6"/>
            <w:vAlign w:val="center"/>
          </w:tcPr>
          <w:p>
            <w:pPr>
              <w:widowControl/>
              <w:jc w:val="left"/>
              <w:textAlignment w:val="center"/>
              <w:rPr>
                <w:rFonts w:cs="仿宋_GB2312" w:asciiTheme="minorEastAsia" w:hAnsiTheme="minorEastAsia"/>
                <w:kern w:val="0"/>
                <w:szCs w:val="21"/>
              </w:rPr>
            </w:pPr>
            <w:r>
              <w:rPr>
                <w:rFonts w:hint="eastAsia" w:cs="仿宋_GB2312" w:asciiTheme="minorEastAsia" w:hAnsiTheme="minorEastAsia"/>
                <w:kern w:val="0"/>
                <w:szCs w:val="21"/>
              </w:rPr>
              <w:t>采用进口高耐蚀户外专用密封胶，耐高温，抗老化，采用三级专业防水工艺处理，确保灯具三重防水，</w:t>
            </w:r>
            <w:r>
              <w:rPr>
                <w:rFonts w:hint="eastAsia" w:cs="仿宋_GB2312" w:asciiTheme="minorEastAsia" w:hAnsiTheme="minorEastAsia"/>
                <w:b/>
                <w:bCs/>
                <w:kern w:val="0"/>
                <w:szCs w:val="21"/>
              </w:rPr>
              <w:t>防护等级IP67</w:t>
            </w:r>
            <w:r>
              <w:rPr>
                <w:rFonts w:hint="eastAsia" w:cs="仿宋_GB2312" w:asciiTheme="minorEastAsia" w:hAnsiTheme="minorEastAsia"/>
                <w:kern w:val="0"/>
                <w:szCs w:val="21"/>
              </w:rPr>
              <w:t>。采用户外专用的橡胶护套连接线，配防水实心公母插头，耐寒性能好（耐寒零下40℃），在低温环境下长期使用而不脆化破裂。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62" w:hRule="atLeast"/>
        </w:trPr>
        <w:tc>
          <w:tcPr>
            <w:tcW w:w="1259"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b/>
                <w:bCs/>
                <w:kern w:val="0"/>
                <w:szCs w:val="21"/>
              </w:rPr>
              <w:t>备注</w:t>
            </w:r>
          </w:p>
        </w:tc>
        <w:tc>
          <w:tcPr>
            <w:tcW w:w="8201" w:type="dxa"/>
            <w:gridSpan w:val="6"/>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kern w:val="0"/>
                <w:szCs w:val="21"/>
              </w:rPr>
              <w:t>标配304不锈钢预埋盒安装,灯具为无边框设计，灯具表面纹理、颜色需按现场深化</w:t>
            </w:r>
            <w:r>
              <w:rPr>
                <w:rFonts w:hint="eastAsia" w:cs="仿宋_GB2312" w:asciiTheme="minorEastAsia" w:hAnsiTheme="minorEastAsia"/>
                <w:kern w:val="0"/>
                <w:szCs w:val="21"/>
                <w:lang w:eastAsia="zh-CN"/>
              </w:rPr>
              <w:t>（芝麻</w:t>
            </w:r>
            <w:r>
              <w:rPr>
                <w:rFonts w:hint="eastAsia" w:cs="仿宋_GB2312" w:asciiTheme="minorEastAsia" w:hAnsiTheme="minorEastAsia"/>
                <w:kern w:val="0"/>
                <w:szCs w:val="21"/>
                <w:lang w:val="en-US" w:eastAsia="zh-CN"/>
              </w:rPr>
              <w:t>灰</w:t>
            </w:r>
            <w:r>
              <w:rPr>
                <w:rFonts w:hint="eastAsia" w:cs="仿宋_GB2312" w:asciiTheme="minorEastAsia" w:hAnsiTheme="minorEastAsia"/>
                <w:kern w:val="0"/>
                <w:szCs w:val="21"/>
                <w:lang w:eastAsia="zh-CN"/>
              </w:rPr>
              <w:t>的面层）</w:t>
            </w:r>
            <w:r>
              <w:rPr>
                <w:rFonts w:hint="eastAsia" w:cs="仿宋_GB2312" w:asciiTheme="minorEastAsia" w:hAnsiTheme="minorEastAsia"/>
                <w:kern w:val="0"/>
                <w:szCs w:val="21"/>
              </w:rPr>
              <w:t>。</w:t>
            </w:r>
          </w:p>
        </w:tc>
      </w:tr>
    </w:tbl>
    <w:p>
      <w:pPr>
        <w:rPr>
          <w:rFonts w:asciiTheme="minorEastAsia" w:hAnsiTheme="minorEastAsia"/>
        </w:rPr>
      </w:pPr>
    </w:p>
    <w:p>
      <w:pPr>
        <w:rPr>
          <w:rFonts w:cs="仿宋_GB2312" w:asciiTheme="minorEastAsia" w:hAnsiTheme="minorEastAsia"/>
          <w:b/>
          <w:kern w:val="0"/>
          <w:szCs w:val="21"/>
        </w:rPr>
      </w:pPr>
    </w:p>
    <w:p>
      <w:pPr>
        <w:rPr>
          <w:rFonts w:hint="default" w:cs="仿宋_GB2312" w:asciiTheme="minorEastAsia" w:hAnsiTheme="minorEastAsia" w:eastAsiaTheme="minorEastAsia"/>
          <w:b/>
          <w:kern w:val="0"/>
          <w:szCs w:val="21"/>
          <w:lang w:val="en-US" w:eastAsia="zh-CN"/>
        </w:rPr>
      </w:pPr>
      <w:r>
        <w:rPr>
          <w:rFonts w:hint="eastAsia" w:cs="仿宋_GB2312" w:asciiTheme="minorEastAsia" w:hAnsiTheme="minorEastAsia"/>
          <w:b/>
          <w:kern w:val="0"/>
          <w:szCs w:val="21"/>
        </w:rPr>
        <w:t>4）6W条形 LED地砖灯（500*100mm） （4000K）</w:t>
      </w:r>
      <w:r>
        <w:rPr>
          <w:rFonts w:hint="eastAsia" w:cs="仿宋_GB2312" w:asciiTheme="minorEastAsia" w:hAnsiTheme="minorEastAsia"/>
          <w:b/>
          <w:kern w:val="0"/>
          <w:szCs w:val="21"/>
          <w:lang w:val="en-US" w:eastAsia="zh-CN"/>
        </w:rPr>
        <w:t>DMX</w:t>
      </w:r>
    </w:p>
    <w:tbl>
      <w:tblPr>
        <w:tblStyle w:val="8"/>
        <w:tblW w:w="9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59"/>
        <w:gridCol w:w="1214"/>
        <w:gridCol w:w="2058"/>
        <w:gridCol w:w="1181"/>
        <w:gridCol w:w="1015"/>
        <w:gridCol w:w="118"/>
        <w:gridCol w:w="2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99" w:hRule="atLeast"/>
        </w:trPr>
        <w:tc>
          <w:tcPr>
            <w:tcW w:w="1259" w:type="dxa"/>
            <w:vMerge w:val="restart"/>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灯具</w:t>
            </w:r>
          </w:p>
        </w:tc>
        <w:tc>
          <w:tcPr>
            <w:tcW w:w="1214" w:type="dxa"/>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外形</w:t>
            </w:r>
          </w:p>
        </w:tc>
        <w:tc>
          <w:tcPr>
            <w:tcW w:w="6987" w:type="dxa"/>
            <w:gridSpan w:val="5"/>
            <w:vAlign w:val="center"/>
          </w:tcPr>
          <w:p>
            <w:pPr>
              <w:rPr>
                <w:rFonts w:cs="仿宋_GB2312" w:asciiTheme="minorEastAsia" w:hAnsiTheme="minorEastAsia"/>
                <w:szCs w:val="21"/>
              </w:rPr>
            </w:pPr>
            <w:r>
              <w:rPr>
                <w:rFonts w:cs="仿宋_GB2312" w:asciiTheme="minorEastAsia" w:hAnsiTheme="minorEastAsia"/>
                <w:szCs w:val="21"/>
              </w:rPr>
              <w:drawing>
                <wp:anchor distT="0" distB="0" distL="114300" distR="114300" simplePos="0" relativeHeight="251661312" behindDoc="0" locked="0" layoutInCell="1" allowOverlap="1">
                  <wp:simplePos x="0" y="0"/>
                  <wp:positionH relativeFrom="column">
                    <wp:posOffset>749300</wp:posOffset>
                  </wp:positionH>
                  <wp:positionV relativeFrom="paragraph">
                    <wp:posOffset>81280</wp:posOffset>
                  </wp:positionV>
                  <wp:extent cx="2877820" cy="1799590"/>
                  <wp:effectExtent l="0" t="0" r="8255" b="635"/>
                  <wp:wrapNone/>
                  <wp:docPr id="13" name="图片 13" descr="C:\Users\jiechu\AppData\Local\Temp\WeChat Files\b8429e8fd430c06e039cdb134884e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jiechu\AppData\Local\Temp\WeChat Files\b8429e8fd430c06e039cdb134884e7a.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77820" cy="1799590"/>
                          </a:xfrm>
                          <a:prstGeom prst="rect">
                            <a:avLst/>
                          </a:prstGeom>
                          <a:noFill/>
                          <a:ln>
                            <a:noFill/>
                          </a:ln>
                        </pic:spPr>
                      </pic:pic>
                    </a:graphicData>
                  </a:graphic>
                </wp:anchor>
              </w:drawing>
            </w: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p>
          <w:p>
            <w:pPr>
              <w:jc w:val="center"/>
              <w:rPr>
                <w:rFonts w:cs="仿宋_GB2312" w:asciiTheme="minorEastAsia" w:hAnsiTheme="minorEastAsia"/>
                <w:szCs w:val="21"/>
              </w:rPr>
            </w:pPr>
            <w:r>
              <w:rPr>
                <w:rFonts w:hint="eastAsia" w:cs="仿宋_GB2312" w:asciiTheme="minorEastAsia" w:hAnsiTheme="minorEastAsia"/>
                <w:szCs w:val="21"/>
              </w:rPr>
              <w:drawing>
                <wp:inline distT="0" distB="0" distL="114300" distR="114300">
                  <wp:extent cx="4413250" cy="800735"/>
                  <wp:effectExtent l="0" t="0" r="6350" b="8890"/>
                  <wp:docPr id="14" name="图片 1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1"/>
                          <pic:cNvPicPr>
                            <a:picLocks noChangeAspect="1"/>
                          </pic:cNvPicPr>
                        </pic:nvPicPr>
                        <pic:blipFill>
                          <a:blip r:embed="rId23"/>
                          <a:stretch>
                            <a:fillRect/>
                          </a:stretch>
                        </pic:blipFill>
                        <pic:spPr>
                          <a:xfrm>
                            <a:off x="0" y="0"/>
                            <a:ext cx="4413250" cy="800735"/>
                          </a:xfrm>
                          <a:prstGeom prst="rect">
                            <a:avLst/>
                          </a:prstGeom>
                        </pic:spPr>
                      </pic:pic>
                    </a:graphicData>
                  </a:graphic>
                </wp:inline>
              </w:drawing>
            </w:r>
          </w:p>
          <w:p>
            <w:pPr>
              <w:jc w:val="center"/>
              <w:rPr>
                <w:rFonts w:cs="仿宋_GB2312" w:asciiTheme="minorEastAsia" w:hAnsi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7" w:hRule="atLeast"/>
        </w:trPr>
        <w:tc>
          <w:tcPr>
            <w:tcW w:w="1259" w:type="dxa"/>
            <w:vMerge w:val="continue"/>
            <w:vAlign w:val="center"/>
          </w:tcPr>
          <w:p>
            <w:pPr>
              <w:jc w:val="center"/>
              <w:rPr>
                <w:rFonts w:cs="仿宋_GB2312" w:asciiTheme="minorEastAsia" w:hAnsiTheme="minorEastAsia"/>
                <w:b/>
                <w:szCs w:val="21"/>
              </w:rPr>
            </w:pPr>
          </w:p>
        </w:tc>
        <w:tc>
          <w:tcPr>
            <w:tcW w:w="1214" w:type="dxa"/>
            <w:vMerge w:val="restart"/>
            <w:vAlign w:val="center"/>
          </w:tcPr>
          <w:p>
            <w:pPr>
              <w:jc w:val="center"/>
              <w:rPr>
                <w:rFonts w:cs="仿宋_GB2312" w:asciiTheme="minorEastAsia" w:hAnsiTheme="minorEastAsia"/>
                <w:b/>
                <w:kern w:val="0"/>
                <w:szCs w:val="21"/>
              </w:rPr>
            </w:pPr>
            <w:r>
              <w:rPr>
                <w:rFonts w:hint="eastAsia" w:cs="仿宋_GB2312" w:asciiTheme="minorEastAsia" w:hAnsiTheme="minorEastAsia"/>
                <w:b/>
                <w:kern w:val="0"/>
                <w:szCs w:val="21"/>
              </w:rPr>
              <w:t>尺寸</w:t>
            </w:r>
          </w:p>
        </w:tc>
        <w:tc>
          <w:tcPr>
            <w:tcW w:w="2058" w:type="dxa"/>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长度（L</w:t>
            </w:r>
            <w:r>
              <w:rPr>
                <w:rFonts w:hint="eastAsia" w:cs="仿宋_GB2312" w:asciiTheme="minorEastAsia" w:hAnsiTheme="minorEastAsia"/>
                <w:b/>
                <w:kern w:val="0"/>
                <w:szCs w:val="21"/>
              </w:rPr>
              <w:t>）</w:t>
            </w:r>
          </w:p>
        </w:tc>
        <w:tc>
          <w:tcPr>
            <w:tcW w:w="1181"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500mm</w:t>
            </w:r>
          </w:p>
        </w:tc>
        <w:tc>
          <w:tcPr>
            <w:tcW w:w="1133" w:type="dxa"/>
            <w:gridSpan w:val="2"/>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允许偏差</w:t>
            </w:r>
          </w:p>
        </w:tc>
        <w:tc>
          <w:tcPr>
            <w:tcW w:w="2615"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2" w:hRule="atLeast"/>
        </w:trPr>
        <w:tc>
          <w:tcPr>
            <w:tcW w:w="1259" w:type="dxa"/>
            <w:vMerge w:val="continue"/>
            <w:vAlign w:val="center"/>
          </w:tcPr>
          <w:p>
            <w:pPr>
              <w:jc w:val="center"/>
              <w:rPr>
                <w:rFonts w:cs="仿宋_GB2312" w:asciiTheme="minorEastAsia" w:hAnsiTheme="minorEastAsia"/>
                <w:b/>
                <w:szCs w:val="21"/>
              </w:rPr>
            </w:pPr>
          </w:p>
        </w:tc>
        <w:tc>
          <w:tcPr>
            <w:tcW w:w="1214" w:type="dxa"/>
            <w:vMerge w:val="continue"/>
            <w:vAlign w:val="center"/>
          </w:tcPr>
          <w:p>
            <w:pPr>
              <w:jc w:val="center"/>
              <w:rPr>
                <w:rFonts w:cs="仿宋_GB2312" w:asciiTheme="minorEastAsia" w:hAnsiTheme="minorEastAsia"/>
                <w:b/>
                <w:kern w:val="0"/>
                <w:szCs w:val="21"/>
              </w:rPr>
            </w:pPr>
          </w:p>
        </w:tc>
        <w:tc>
          <w:tcPr>
            <w:tcW w:w="2058" w:type="dxa"/>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宽度（W</w:t>
            </w:r>
            <w:r>
              <w:rPr>
                <w:rFonts w:hint="eastAsia" w:cs="仿宋_GB2312" w:asciiTheme="minorEastAsia" w:hAnsiTheme="minorEastAsia"/>
                <w:b/>
                <w:kern w:val="0"/>
                <w:szCs w:val="21"/>
              </w:rPr>
              <w:t>）</w:t>
            </w:r>
          </w:p>
        </w:tc>
        <w:tc>
          <w:tcPr>
            <w:tcW w:w="1181"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100mm</w:t>
            </w:r>
          </w:p>
        </w:tc>
        <w:tc>
          <w:tcPr>
            <w:tcW w:w="1133" w:type="dxa"/>
            <w:gridSpan w:val="2"/>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允许偏差</w:t>
            </w:r>
          </w:p>
        </w:tc>
        <w:tc>
          <w:tcPr>
            <w:tcW w:w="2615"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7" w:hRule="atLeast"/>
        </w:trPr>
        <w:tc>
          <w:tcPr>
            <w:tcW w:w="1259" w:type="dxa"/>
            <w:vMerge w:val="continue"/>
            <w:vAlign w:val="center"/>
          </w:tcPr>
          <w:p>
            <w:pPr>
              <w:jc w:val="center"/>
              <w:rPr>
                <w:rFonts w:cs="仿宋_GB2312" w:asciiTheme="minorEastAsia" w:hAnsiTheme="minorEastAsia"/>
                <w:b/>
                <w:szCs w:val="21"/>
              </w:rPr>
            </w:pPr>
          </w:p>
        </w:tc>
        <w:tc>
          <w:tcPr>
            <w:tcW w:w="1214" w:type="dxa"/>
            <w:vMerge w:val="continue"/>
            <w:vAlign w:val="center"/>
          </w:tcPr>
          <w:p>
            <w:pPr>
              <w:jc w:val="center"/>
              <w:rPr>
                <w:rFonts w:cs="仿宋_GB2312" w:asciiTheme="minorEastAsia" w:hAnsiTheme="minorEastAsia"/>
                <w:b/>
                <w:kern w:val="0"/>
                <w:szCs w:val="21"/>
              </w:rPr>
            </w:pPr>
          </w:p>
        </w:tc>
        <w:tc>
          <w:tcPr>
            <w:tcW w:w="2058" w:type="dxa"/>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高度</w:t>
            </w:r>
            <w:r>
              <w:rPr>
                <w:rFonts w:hint="eastAsia" w:cs="仿宋_GB2312" w:asciiTheme="minorEastAsia" w:hAnsiTheme="minorEastAsia"/>
                <w:b/>
                <w:kern w:val="0"/>
                <w:szCs w:val="21"/>
              </w:rPr>
              <w:t>（H）</w:t>
            </w:r>
          </w:p>
        </w:tc>
        <w:tc>
          <w:tcPr>
            <w:tcW w:w="1181"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≤55mm</w:t>
            </w:r>
          </w:p>
        </w:tc>
        <w:tc>
          <w:tcPr>
            <w:tcW w:w="1133" w:type="dxa"/>
            <w:gridSpan w:val="2"/>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允许偏差</w:t>
            </w:r>
          </w:p>
        </w:tc>
        <w:tc>
          <w:tcPr>
            <w:tcW w:w="2615"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越小越好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7" w:hRule="atLeast"/>
        </w:trPr>
        <w:tc>
          <w:tcPr>
            <w:tcW w:w="1259" w:type="dxa"/>
            <w:vMerge w:val="continue"/>
            <w:vAlign w:val="center"/>
          </w:tcPr>
          <w:p>
            <w:pPr>
              <w:jc w:val="center"/>
              <w:rPr>
                <w:rFonts w:cs="仿宋_GB2312" w:asciiTheme="minorEastAsia" w:hAnsiTheme="minorEastAsia"/>
                <w:b/>
                <w:szCs w:val="21"/>
              </w:rPr>
            </w:pPr>
          </w:p>
        </w:tc>
        <w:tc>
          <w:tcPr>
            <w:tcW w:w="1214" w:type="dxa"/>
            <w:vMerge w:val="restart"/>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材质</w:t>
            </w:r>
          </w:p>
        </w:tc>
        <w:tc>
          <w:tcPr>
            <w:tcW w:w="2058"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b/>
                <w:kern w:val="0"/>
                <w:szCs w:val="21"/>
              </w:rPr>
              <w:t>灯具外壳</w:t>
            </w:r>
          </w:p>
        </w:tc>
        <w:tc>
          <w:tcPr>
            <w:tcW w:w="4929" w:type="dxa"/>
            <w:gridSpan w:val="4"/>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304不锈钢灯体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trPr>
        <w:tc>
          <w:tcPr>
            <w:tcW w:w="1259" w:type="dxa"/>
            <w:vMerge w:val="continue"/>
            <w:vAlign w:val="center"/>
          </w:tcPr>
          <w:p>
            <w:pPr>
              <w:jc w:val="center"/>
              <w:rPr>
                <w:rFonts w:cs="仿宋_GB2312" w:asciiTheme="minorEastAsia" w:hAnsiTheme="minorEastAsia"/>
                <w:b/>
                <w:szCs w:val="21"/>
              </w:rPr>
            </w:pPr>
          </w:p>
        </w:tc>
        <w:tc>
          <w:tcPr>
            <w:tcW w:w="1214" w:type="dxa"/>
            <w:vMerge w:val="continue"/>
            <w:vAlign w:val="center"/>
          </w:tcPr>
          <w:p>
            <w:pPr>
              <w:widowControl/>
              <w:jc w:val="center"/>
              <w:textAlignment w:val="center"/>
              <w:rPr>
                <w:rFonts w:cs="仿宋_GB2312" w:asciiTheme="minorEastAsia" w:hAnsiTheme="minorEastAsia"/>
                <w:b/>
                <w:kern w:val="0"/>
                <w:szCs w:val="21"/>
              </w:rPr>
            </w:pPr>
          </w:p>
        </w:tc>
        <w:tc>
          <w:tcPr>
            <w:tcW w:w="2058"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b/>
                <w:kern w:val="0"/>
                <w:szCs w:val="21"/>
              </w:rPr>
              <w:t>出光面</w:t>
            </w:r>
          </w:p>
        </w:tc>
        <w:tc>
          <w:tcPr>
            <w:tcW w:w="4929" w:type="dxa"/>
            <w:gridSpan w:val="4"/>
            <w:vAlign w:val="center"/>
          </w:tcPr>
          <w:p>
            <w:pPr>
              <w:widowControl/>
              <w:jc w:val="left"/>
              <w:textAlignment w:val="center"/>
              <w:rPr>
                <w:rFonts w:cs="仿宋_GB2312" w:asciiTheme="minorEastAsia" w:hAnsiTheme="minorEastAsia"/>
                <w:kern w:val="0"/>
                <w:szCs w:val="21"/>
              </w:rPr>
            </w:pPr>
            <w:r>
              <w:rPr>
                <w:rFonts w:hint="eastAsia" w:cs="宋体" w:asciiTheme="minorEastAsia" w:hAnsiTheme="minorEastAsia"/>
                <w:color w:val="000000"/>
                <w:szCs w:val="21"/>
              </w:rPr>
              <w:t>12MM钢化仿石纹玻璃（表面高硬度耐酸碱，经过中性盐酸浸泡48H不脱色；防撞等级IK08;表面带防滑釉面），与周边石材铺装相似度达到90%。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1259" w:type="dxa"/>
            <w:vMerge w:val="continue"/>
            <w:vAlign w:val="center"/>
          </w:tcPr>
          <w:p>
            <w:pPr>
              <w:jc w:val="center"/>
              <w:rPr>
                <w:rFonts w:cs="仿宋_GB2312" w:asciiTheme="minorEastAsia" w:hAnsiTheme="minorEastAsia"/>
                <w:b/>
                <w:szCs w:val="21"/>
              </w:rPr>
            </w:pPr>
          </w:p>
        </w:tc>
        <w:tc>
          <w:tcPr>
            <w:tcW w:w="1214"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电压</w:t>
            </w:r>
          </w:p>
        </w:tc>
        <w:tc>
          <w:tcPr>
            <w:tcW w:w="6987" w:type="dxa"/>
            <w:gridSpan w:val="5"/>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DC24v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2" w:hRule="atLeast"/>
        </w:trPr>
        <w:tc>
          <w:tcPr>
            <w:tcW w:w="1259" w:type="dxa"/>
            <w:vMerge w:val="continue"/>
            <w:vAlign w:val="center"/>
          </w:tcPr>
          <w:p>
            <w:pPr>
              <w:jc w:val="center"/>
              <w:rPr>
                <w:rFonts w:cs="仿宋_GB2312" w:asciiTheme="minorEastAsia" w:hAnsiTheme="minorEastAsia"/>
                <w:b/>
                <w:szCs w:val="21"/>
              </w:rPr>
            </w:pPr>
            <w:r>
              <w:rPr>
                <w:rFonts w:hint="eastAsia" w:cs="仿宋_GB2312" w:asciiTheme="minorEastAsia" w:hAnsiTheme="minorEastAsia"/>
                <w:b/>
                <w:szCs w:val="21"/>
              </w:rPr>
              <w:t>色温</w:t>
            </w:r>
          </w:p>
        </w:tc>
        <w:tc>
          <w:tcPr>
            <w:tcW w:w="1214"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色温</w:t>
            </w:r>
          </w:p>
        </w:tc>
        <w:tc>
          <w:tcPr>
            <w:tcW w:w="6987" w:type="dxa"/>
            <w:gridSpan w:val="5"/>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 xml:space="preserve">4000K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7" w:hRule="atLeast"/>
        </w:trPr>
        <w:tc>
          <w:tcPr>
            <w:tcW w:w="1259" w:type="dxa"/>
            <w:vAlign w:val="center"/>
          </w:tcPr>
          <w:p>
            <w:pPr>
              <w:jc w:val="center"/>
              <w:rPr>
                <w:rFonts w:cs="仿宋_GB2312" w:asciiTheme="minorEastAsia" w:hAnsiTheme="minorEastAsia"/>
                <w:b/>
                <w:szCs w:val="21"/>
              </w:rPr>
            </w:pPr>
          </w:p>
        </w:tc>
        <w:tc>
          <w:tcPr>
            <w:tcW w:w="1214"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 xml:space="preserve">压力承受重量 </w:t>
            </w:r>
          </w:p>
        </w:tc>
        <w:tc>
          <w:tcPr>
            <w:tcW w:w="6987" w:type="dxa"/>
            <w:gridSpan w:val="5"/>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b/>
                <w:bCs/>
                <w:kern w:val="0"/>
                <w:szCs w:val="21"/>
              </w:rPr>
              <w:t>最大承受:2000Kg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2" w:hRule="atLeast"/>
        </w:trPr>
        <w:tc>
          <w:tcPr>
            <w:tcW w:w="1259" w:type="dxa"/>
            <w:vAlign w:val="center"/>
          </w:tcPr>
          <w:p>
            <w:pPr>
              <w:widowControl/>
              <w:jc w:val="center"/>
              <w:textAlignment w:val="center"/>
              <w:rPr>
                <w:rFonts w:cs="仿宋_GB2312" w:asciiTheme="minorEastAsia" w:hAnsiTheme="minorEastAsia"/>
                <w:b/>
                <w:szCs w:val="21"/>
              </w:rPr>
            </w:pPr>
            <w:r>
              <w:rPr>
                <w:rFonts w:hint="eastAsia" w:cs="仿宋_GB2312" w:asciiTheme="minorEastAsia" w:hAnsiTheme="minorEastAsia"/>
                <w:b/>
                <w:kern w:val="0"/>
                <w:szCs w:val="21"/>
              </w:rPr>
              <w:t>光学</w:t>
            </w:r>
          </w:p>
        </w:tc>
        <w:tc>
          <w:tcPr>
            <w:tcW w:w="1214" w:type="dxa"/>
            <w:vAlign w:val="center"/>
          </w:tcPr>
          <w:p>
            <w:pPr>
              <w:widowControl/>
              <w:jc w:val="center"/>
              <w:textAlignment w:val="center"/>
              <w:rPr>
                <w:rFonts w:cs="仿宋_GB2312" w:asciiTheme="minorEastAsia" w:hAnsiTheme="minorEastAsia"/>
                <w:kern w:val="0"/>
                <w:szCs w:val="21"/>
              </w:rPr>
            </w:pPr>
          </w:p>
        </w:tc>
        <w:tc>
          <w:tcPr>
            <w:tcW w:w="2058"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w:t>
            </w:r>
          </w:p>
        </w:tc>
        <w:tc>
          <w:tcPr>
            <w:tcW w:w="2196" w:type="dxa"/>
            <w:gridSpan w:val="2"/>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b/>
                <w:kern w:val="0"/>
                <w:szCs w:val="21"/>
              </w:rPr>
              <w:t>配光要求</w:t>
            </w:r>
          </w:p>
        </w:tc>
        <w:tc>
          <w:tcPr>
            <w:tcW w:w="2733" w:type="dxa"/>
            <w:gridSpan w:val="2"/>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kern w:val="0"/>
                <w:szCs w:val="21"/>
              </w:rPr>
              <w:t>自发光，出光均匀柔和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2" w:hRule="atLeast"/>
        </w:trPr>
        <w:tc>
          <w:tcPr>
            <w:tcW w:w="1259"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控制方式</w:t>
            </w:r>
          </w:p>
        </w:tc>
        <w:tc>
          <w:tcPr>
            <w:tcW w:w="8201" w:type="dxa"/>
            <w:gridSpan w:val="6"/>
            <w:vAlign w:val="center"/>
          </w:tcPr>
          <w:p>
            <w:pPr>
              <w:widowControl/>
              <w:jc w:val="left"/>
              <w:textAlignment w:val="center"/>
              <w:rPr>
                <w:rFonts w:cs="仿宋_GB2312" w:asciiTheme="minorEastAsia" w:hAnsiTheme="minorEastAsia"/>
                <w:kern w:val="0"/>
                <w:szCs w:val="21"/>
              </w:rPr>
            </w:pPr>
            <w:r>
              <w:rPr>
                <w:rFonts w:hint="eastAsia" w:cs="仿宋_GB2312" w:asciiTheme="minorEastAsia" w:hAnsiTheme="minorEastAsia"/>
                <w:kern w:val="0"/>
                <w:szCs w:val="21"/>
              </w:rPr>
              <w:t>DMX512,每套灯具一个控制单元，灯具内置单段DMX512控制像素，功能强大的DMX512接口采用高可靠总线式连接，均带有DMX在线自动寻址功能。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2" w:hRule="atLeast"/>
        </w:trPr>
        <w:tc>
          <w:tcPr>
            <w:tcW w:w="1259" w:type="dxa"/>
            <w:vAlign w:val="center"/>
          </w:tcPr>
          <w:p>
            <w:pPr>
              <w:widowControl/>
              <w:jc w:val="center"/>
              <w:textAlignment w:val="center"/>
              <w:rPr>
                <w:rFonts w:cs="仿宋_GB2312" w:asciiTheme="minorEastAsia" w:hAnsiTheme="minorEastAsia"/>
                <w:b/>
                <w:kern w:val="0"/>
                <w:szCs w:val="21"/>
              </w:rPr>
            </w:pPr>
            <w:r>
              <w:rPr>
                <w:rFonts w:hint="eastAsia" w:cs="仿宋_GB2312" w:asciiTheme="minorEastAsia" w:hAnsiTheme="minorEastAsia"/>
                <w:b/>
                <w:kern w:val="0"/>
                <w:szCs w:val="21"/>
              </w:rPr>
              <w:t>结构</w:t>
            </w:r>
          </w:p>
        </w:tc>
        <w:tc>
          <w:tcPr>
            <w:tcW w:w="8201" w:type="dxa"/>
            <w:gridSpan w:val="6"/>
            <w:vAlign w:val="center"/>
          </w:tcPr>
          <w:p>
            <w:pPr>
              <w:widowControl/>
              <w:jc w:val="left"/>
              <w:textAlignment w:val="center"/>
              <w:rPr>
                <w:rFonts w:cs="仿宋_GB2312" w:asciiTheme="minorEastAsia" w:hAnsiTheme="minorEastAsia"/>
                <w:kern w:val="0"/>
                <w:szCs w:val="21"/>
              </w:rPr>
            </w:pPr>
            <w:r>
              <w:rPr>
                <w:rFonts w:hint="eastAsia" w:cs="仿宋_GB2312" w:asciiTheme="minorEastAsia" w:hAnsiTheme="minorEastAsia"/>
                <w:kern w:val="0"/>
                <w:szCs w:val="21"/>
              </w:rPr>
              <w:t>采用进口高耐蚀户外专用密封胶，耐高温，抗老化，采用三级专业防水工艺处理，确保灯具三重防水，</w:t>
            </w:r>
            <w:r>
              <w:rPr>
                <w:rFonts w:hint="eastAsia" w:cs="仿宋_GB2312" w:asciiTheme="minorEastAsia" w:hAnsiTheme="minorEastAsia"/>
                <w:b/>
                <w:bCs/>
                <w:kern w:val="0"/>
                <w:szCs w:val="21"/>
              </w:rPr>
              <w:t>防护等级IP67</w:t>
            </w:r>
            <w:r>
              <w:rPr>
                <w:rFonts w:hint="eastAsia" w:cs="仿宋_GB2312" w:asciiTheme="minorEastAsia" w:hAnsiTheme="minorEastAsia"/>
                <w:kern w:val="0"/>
                <w:szCs w:val="21"/>
              </w:rPr>
              <w:t>。采用户外专用的橡胶护套连接线，配防水实心公母插头，耐寒性能好（耐寒零下40℃），在低温环境下长期使用而不脆化破裂。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62" w:hRule="atLeast"/>
        </w:trPr>
        <w:tc>
          <w:tcPr>
            <w:tcW w:w="1259" w:type="dxa"/>
            <w:vAlign w:val="center"/>
          </w:tcPr>
          <w:p>
            <w:pPr>
              <w:widowControl/>
              <w:jc w:val="center"/>
              <w:textAlignment w:val="center"/>
              <w:rPr>
                <w:rFonts w:cs="仿宋_GB2312" w:asciiTheme="minorEastAsia" w:hAnsiTheme="minorEastAsia"/>
                <w:kern w:val="0"/>
                <w:szCs w:val="21"/>
              </w:rPr>
            </w:pPr>
            <w:r>
              <w:rPr>
                <w:rFonts w:hint="eastAsia" w:cs="仿宋_GB2312" w:asciiTheme="minorEastAsia" w:hAnsiTheme="minorEastAsia"/>
                <w:b/>
                <w:bCs/>
                <w:kern w:val="0"/>
                <w:szCs w:val="21"/>
              </w:rPr>
              <w:t>备注</w:t>
            </w:r>
          </w:p>
        </w:tc>
        <w:tc>
          <w:tcPr>
            <w:tcW w:w="8201" w:type="dxa"/>
            <w:gridSpan w:val="6"/>
            <w:vAlign w:val="center"/>
          </w:tcPr>
          <w:p>
            <w:pPr>
              <w:widowControl/>
              <w:jc w:val="center"/>
              <w:textAlignment w:val="center"/>
              <w:rPr>
                <w:rFonts w:cs="仿宋_GB2312" w:asciiTheme="minorEastAsia" w:hAnsiTheme="minorEastAsia"/>
                <w:b/>
                <w:bCs/>
                <w:kern w:val="0"/>
                <w:szCs w:val="21"/>
              </w:rPr>
            </w:pPr>
            <w:r>
              <w:rPr>
                <w:rFonts w:hint="eastAsia" w:cs="仿宋_GB2312" w:asciiTheme="minorEastAsia" w:hAnsiTheme="minorEastAsia"/>
                <w:kern w:val="0"/>
                <w:szCs w:val="21"/>
              </w:rPr>
              <w:t>标配304不锈钢预埋盒安装,灯具为无边框设计，灯具表面纹理、颜色可按现场深化</w:t>
            </w:r>
            <w:r>
              <w:rPr>
                <w:rFonts w:hint="eastAsia" w:cs="仿宋_GB2312" w:asciiTheme="minorEastAsia" w:hAnsiTheme="minorEastAsia"/>
                <w:kern w:val="0"/>
                <w:szCs w:val="21"/>
                <w:lang w:eastAsia="zh-CN"/>
              </w:rPr>
              <w:t>（芝麻</w:t>
            </w:r>
            <w:r>
              <w:rPr>
                <w:rFonts w:hint="eastAsia" w:cs="仿宋_GB2312" w:asciiTheme="minorEastAsia" w:hAnsiTheme="minorEastAsia"/>
                <w:kern w:val="0"/>
                <w:szCs w:val="21"/>
                <w:lang w:val="en-US" w:eastAsia="zh-CN"/>
              </w:rPr>
              <w:t>灰</w:t>
            </w:r>
            <w:r>
              <w:rPr>
                <w:rFonts w:hint="eastAsia" w:cs="仿宋_GB2312" w:asciiTheme="minorEastAsia" w:hAnsiTheme="minorEastAsia"/>
                <w:kern w:val="0"/>
                <w:szCs w:val="21"/>
                <w:lang w:eastAsia="zh-CN"/>
              </w:rPr>
              <w:t>的面层）</w:t>
            </w:r>
            <w:r>
              <w:rPr>
                <w:rFonts w:hint="eastAsia" w:cs="仿宋_GB2312" w:asciiTheme="minorEastAsia" w:hAnsiTheme="minorEastAsia"/>
                <w:kern w:val="0"/>
                <w:szCs w:val="21"/>
              </w:rPr>
              <w:t>。</w:t>
            </w:r>
          </w:p>
        </w:tc>
      </w:tr>
    </w:tbl>
    <w:p>
      <w:pPr>
        <w:rPr>
          <w:rFonts w:asciiTheme="minorEastAsia" w:hAnsiTheme="minorEastAsia"/>
        </w:rPr>
      </w:pPr>
    </w:p>
    <w:p>
      <w:pPr>
        <w:rPr>
          <w:rFonts w:cs="仿宋_GB2312" w:asciiTheme="minorEastAsia" w:hAnsiTheme="minorEastAsia"/>
          <w:b/>
          <w:kern w:val="0"/>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2091A"/>
    <w:multiLevelType w:val="singleLevel"/>
    <w:tmpl w:val="8ED2091A"/>
    <w:lvl w:ilvl="0" w:tentative="0">
      <w:start w:val="1"/>
      <w:numFmt w:val="decimalEnclosedCircleChinese"/>
      <w:suff w:val="nothing"/>
      <w:lvlText w:val="%1　"/>
      <w:lvlJc w:val="left"/>
      <w:pPr>
        <w:ind w:left="0" w:firstLine="400"/>
      </w:pPr>
      <w:rPr>
        <w:rFonts w:hint="eastAsia"/>
      </w:rPr>
    </w:lvl>
  </w:abstractNum>
  <w:abstractNum w:abstractNumId="1">
    <w:nsid w:val="90991C11"/>
    <w:multiLevelType w:val="singleLevel"/>
    <w:tmpl w:val="90991C11"/>
    <w:lvl w:ilvl="0" w:tentative="0">
      <w:start w:val="1"/>
      <w:numFmt w:val="decimalEnclosedCircleChinese"/>
      <w:suff w:val="nothing"/>
      <w:lvlText w:val="%1　"/>
      <w:lvlJc w:val="left"/>
      <w:pPr>
        <w:ind w:left="0" w:firstLine="400"/>
      </w:pPr>
      <w:rPr>
        <w:rFonts w:hint="eastAsia"/>
      </w:rPr>
    </w:lvl>
  </w:abstractNum>
  <w:abstractNum w:abstractNumId="2">
    <w:nsid w:val="932EBC12"/>
    <w:multiLevelType w:val="singleLevel"/>
    <w:tmpl w:val="932EBC12"/>
    <w:lvl w:ilvl="0" w:tentative="0">
      <w:start w:val="1"/>
      <w:numFmt w:val="decimal"/>
      <w:lvlText w:val="(%1)"/>
      <w:lvlJc w:val="left"/>
      <w:pPr>
        <w:ind w:left="425" w:hanging="425"/>
      </w:pPr>
      <w:rPr>
        <w:rFonts w:hint="default"/>
      </w:rPr>
    </w:lvl>
  </w:abstractNum>
  <w:abstractNum w:abstractNumId="3">
    <w:nsid w:val="9F409243"/>
    <w:multiLevelType w:val="singleLevel"/>
    <w:tmpl w:val="9F409243"/>
    <w:lvl w:ilvl="0" w:tentative="0">
      <w:start w:val="1"/>
      <w:numFmt w:val="decimalEnclosedCircleChinese"/>
      <w:suff w:val="nothing"/>
      <w:lvlText w:val="%1　"/>
      <w:lvlJc w:val="left"/>
      <w:pPr>
        <w:ind w:left="0" w:firstLine="400"/>
      </w:pPr>
      <w:rPr>
        <w:rFonts w:hint="eastAsia"/>
      </w:rPr>
    </w:lvl>
  </w:abstractNum>
  <w:abstractNum w:abstractNumId="4">
    <w:nsid w:val="B3441426"/>
    <w:multiLevelType w:val="multilevel"/>
    <w:tmpl w:val="B3441426"/>
    <w:lvl w:ilvl="0" w:tentative="0">
      <w:start w:val="1"/>
      <w:numFmt w:val="decimal"/>
      <w:lvlText w:val="%1)"/>
      <w:lvlJc w:val="left"/>
      <w:pPr>
        <w:ind w:left="425" w:hanging="42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B6BDF8EF"/>
    <w:multiLevelType w:val="singleLevel"/>
    <w:tmpl w:val="B6BDF8EF"/>
    <w:lvl w:ilvl="0" w:tentative="0">
      <w:start w:val="1"/>
      <w:numFmt w:val="decimalEnclosedCircleChinese"/>
      <w:suff w:val="nothing"/>
      <w:lvlText w:val="%1　"/>
      <w:lvlJc w:val="left"/>
      <w:pPr>
        <w:ind w:left="0" w:firstLine="400"/>
      </w:pPr>
      <w:rPr>
        <w:rFonts w:hint="eastAsia"/>
      </w:rPr>
    </w:lvl>
  </w:abstractNum>
  <w:abstractNum w:abstractNumId="6">
    <w:nsid w:val="C4756505"/>
    <w:multiLevelType w:val="singleLevel"/>
    <w:tmpl w:val="C4756505"/>
    <w:lvl w:ilvl="0" w:tentative="0">
      <w:start w:val="1"/>
      <w:numFmt w:val="decimalEnclosedCircleChinese"/>
      <w:suff w:val="nothing"/>
      <w:lvlText w:val="%1　"/>
      <w:lvlJc w:val="left"/>
      <w:pPr>
        <w:ind w:left="0" w:firstLine="400"/>
      </w:pPr>
      <w:rPr>
        <w:rFonts w:hint="eastAsia"/>
      </w:rPr>
    </w:lvl>
  </w:abstractNum>
  <w:abstractNum w:abstractNumId="7">
    <w:nsid w:val="CE8E1EAB"/>
    <w:multiLevelType w:val="singleLevel"/>
    <w:tmpl w:val="CE8E1EAB"/>
    <w:lvl w:ilvl="0" w:tentative="0">
      <w:start w:val="1"/>
      <w:numFmt w:val="chineseCounting"/>
      <w:suff w:val="nothing"/>
      <w:lvlText w:val="%1、"/>
      <w:lvlJc w:val="left"/>
      <w:pPr>
        <w:ind w:left="0" w:firstLine="420"/>
      </w:pPr>
      <w:rPr>
        <w:rFonts w:hint="eastAsia"/>
      </w:rPr>
    </w:lvl>
  </w:abstractNum>
  <w:abstractNum w:abstractNumId="8">
    <w:nsid w:val="D3427E88"/>
    <w:multiLevelType w:val="singleLevel"/>
    <w:tmpl w:val="D3427E88"/>
    <w:lvl w:ilvl="0" w:tentative="0">
      <w:start w:val="1"/>
      <w:numFmt w:val="decimalEnclosedCircleChinese"/>
      <w:suff w:val="nothing"/>
      <w:lvlText w:val="%1　"/>
      <w:lvlJc w:val="left"/>
      <w:pPr>
        <w:ind w:left="0" w:firstLine="400"/>
      </w:pPr>
      <w:rPr>
        <w:rFonts w:hint="eastAsia"/>
      </w:rPr>
    </w:lvl>
  </w:abstractNum>
  <w:abstractNum w:abstractNumId="9">
    <w:nsid w:val="D996BC9C"/>
    <w:multiLevelType w:val="singleLevel"/>
    <w:tmpl w:val="D996BC9C"/>
    <w:lvl w:ilvl="0" w:tentative="0">
      <w:start w:val="1"/>
      <w:numFmt w:val="lowerLetter"/>
      <w:lvlText w:val="%1."/>
      <w:lvlJc w:val="left"/>
      <w:pPr>
        <w:tabs>
          <w:tab w:val="left" w:pos="312"/>
        </w:tabs>
      </w:pPr>
    </w:lvl>
  </w:abstractNum>
  <w:abstractNum w:abstractNumId="10">
    <w:nsid w:val="DDCA1BDB"/>
    <w:multiLevelType w:val="singleLevel"/>
    <w:tmpl w:val="DDCA1BDB"/>
    <w:lvl w:ilvl="0" w:tentative="0">
      <w:start w:val="1"/>
      <w:numFmt w:val="decimalEnclosedCircleChinese"/>
      <w:suff w:val="nothing"/>
      <w:lvlText w:val="%1　"/>
      <w:lvlJc w:val="left"/>
      <w:pPr>
        <w:ind w:left="0" w:firstLine="400"/>
      </w:pPr>
      <w:rPr>
        <w:rFonts w:hint="eastAsia"/>
      </w:rPr>
    </w:lvl>
  </w:abstractNum>
  <w:abstractNum w:abstractNumId="11">
    <w:nsid w:val="E75D4C34"/>
    <w:multiLevelType w:val="singleLevel"/>
    <w:tmpl w:val="E75D4C34"/>
    <w:lvl w:ilvl="0" w:tentative="0">
      <w:start w:val="1"/>
      <w:numFmt w:val="decimal"/>
      <w:lvlText w:val="%1)"/>
      <w:lvlJc w:val="left"/>
      <w:pPr>
        <w:ind w:left="425" w:hanging="425"/>
      </w:pPr>
      <w:rPr>
        <w:rFonts w:hint="default"/>
      </w:rPr>
    </w:lvl>
  </w:abstractNum>
  <w:abstractNum w:abstractNumId="12">
    <w:nsid w:val="EFC65096"/>
    <w:multiLevelType w:val="singleLevel"/>
    <w:tmpl w:val="EFC65096"/>
    <w:lvl w:ilvl="0" w:tentative="0">
      <w:start w:val="1"/>
      <w:numFmt w:val="decimalEnclosedCircleChinese"/>
      <w:suff w:val="nothing"/>
      <w:lvlText w:val="%1　"/>
      <w:lvlJc w:val="left"/>
      <w:pPr>
        <w:ind w:left="0" w:firstLine="400"/>
      </w:pPr>
      <w:rPr>
        <w:rFonts w:hint="eastAsia"/>
      </w:rPr>
    </w:lvl>
  </w:abstractNum>
  <w:abstractNum w:abstractNumId="13">
    <w:nsid w:val="F5E6E09C"/>
    <w:multiLevelType w:val="multilevel"/>
    <w:tmpl w:val="F5E6E09C"/>
    <w:lvl w:ilvl="0" w:tentative="0">
      <w:start w:val="1"/>
      <w:numFmt w:val="decimal"/>
      <w:lvlText w:val="%1)"/>
      <w:lvlJc w:val="left"/>
      <w:pPr>
        <w:ind w:left="425" w:hanging="42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F8529D3C"/>
    <w:multiLevelType w:val="singleLevel"/>
    <w:tmpl w:val="F8529D3C"/>
    <w:lvl w:ilvl="0" w:tentative="0">
      <w:start w:val="1"/>
      <w:numFmt w:val="decimalEnclosedCircleChinese"/>
      <w:suff w:val="nothing"/>
      <w:lvlText w:val="%1　"/>
      <w:lvlJc w:val="left"/>
      <w:pPr>
        <w:ind w:left="0" w:firstLine="400"/>
      </w:pPr>
      <w:rPr>
        <w:rFonts w:hint="eastAsia"/>
      </w:rPr>
    </w:lvl>
  </w:abstractNum>
  <w:abstractNum w:abstractNumId="15">
    <w:nsid w:val="FFFE0C25"/>
    <w:multiLevelType w:val="singleLevel"/>
    <w:tmpl w:val="FFFE0C25"/>
    <w:lvl w:ilvl="0" w:tentative="0">
      <w:start w:val="1"/>
      <w:numFmt w:val="decimalEnclosedCircleChinese"/>
      <w:suff w:val="nothing"/>
      <w:lvlText w:val="%1　"/>
      <w:lvlJc w:val="left"/>
      <w:pPr>
        <w:ind w:left="0" w:firstLine="400"/>
      </w:pPr>
      <w:rPr>
        <w:rFonts w:hint="eastAsia"/>
      </w:rPr>
    </w:lvl>
  </w:abstractNum>
  <w:abstractNum w:abstractNumId="16">
    <w:nsid w:val="01929A76"/>
    <w:multiLevelType w:val="multilevel"/>
    <w:tmpl w:val="01929A76"/>
    <w:lvl w:ilvl="0" w:tentative="0">
      <w:start w:val="1"/>
      <w:numFmt w:val="decimal"/>
      <w:lvlText w:val="%1)"/>
      <w:lvlJc w:val="left"/>
      <w:pPr>
        <w:ind w:left="425" w:hanging="42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0DE639F9"/>
    <w:multiLevelType w:val="singleLevel"/>
    <w:tmpl w:val="0DE639F9"/>
    <w:lvl w:ilvl="0" w:tentative="0">
      <w:start w:val="1"/>
      <w:numFmt w:val="chineseCounting"/>
      <w:suff w:val="nothing"/>
      <w:lvlText w:val="（%1）"/>
      <w:lvlJc w:val="left"/>
      <w:pPr>
        <w:ind w:left="0" w:firstLine="420"/>
      </w:pPr>
      <w:rPr>
        <w:rFonts w:hint="eastAsia"/>
      </w:rPr>
    </w:lvl>
  </w:abstractNum>
  <w:abstractNum w:abstractNumId="18">
    <w:nsid w:val="0FEF7EC0"/>
    <w:multiLevelType w:val="multilevel"/>
    <w:tmpl w:val="0FEF7EC0"/>
    <w:lvl w:ilvl="0" w:tentative="0">
      <w:start w:val="1"/>
      <w:numFmt w:val="japaneseCounting"/>
      <w:lvlText w:val="%1、"/>
      <w:lvlJc w:val="left"/>
      <w:pPr>
        <w:ind w:left="643" w:hanging="360"/>
      </w:pPr>
      <w:rPr>
        <w:rFonts w:hint="default"/>
      </w:rPr>
    </w:lvl>
    <w:lvl w:ilvl="1" w:tentative="0">
      <w:start w:val="1"/>
      <w:numFmt w:val="decimal"/>
      <w:lvlText w:val="%2."/>
      <w:lvlJc w:val="left"/>
      <w:pPr>
        <w:ind w:left="785" w:hanging="360"/>
      </w:pPr>
    </w:lvl>
    <w:lvl w:ilvl="2" w:tentative="0">
      <w:start w:val="1"/>
      <w:numFmt w:val="lowerRoman"/>
      <w:lvlText w:val="%3."/>
      <w:lvlJc w:val="right"/>
      <w:pPr>
        <w:ind w:left="2448" w:hanging="180"/>
      </w:pPr>
    </w:lvl>
    <w:lvl w:ilvl="3" w:tentative="0">
      <w:start w:val="1"/>
      <w:numFmt w:val="decimal"/>
      <w:lvlText w:val="%4."/>
      <w:lvlJc w:val="left"/>
      <w:pPr>
        <w:ind w:left="3360" w:hanging="360"/>
      </w:pPr>
    </w:lvl>
    <w:lvl w:ilvl="4" w:tentative="0">
      <w:start w:val="1"/>
      <w:numFmt w:val="lowerLetter"/>
      <w:lvlText w:val="%5."/>
      <w:lvlJc w:val="left"/>
      <w:pPr>
        <w:ind w:left="4080" w:hanging="360"/>
      </w:pPr>
    </w:lvl>
    <w:lvl w:ilvl="5" w:tentative="0">
      <w:start w:val="1"/>
      <w:numFmt w:val="lowerRoman"/>
      <w:lvlText w:val="%6."/>
      <w:lvlJc w:val="right"/>
      <w:pPr>
        <w:ind w:left="4800" w:hanging="180"/>
      </w:pPr>
    </w:lvl>
    <w:lvl w:ilvl="6" w:tentative="0">
      <w:start w:val="1"/>
      <w:numFmt w:val="decimal"/>
      <w:lvlText w:val="%7."/>
      <w:lvlJc w:val="left"/>
      <w:pPr>
        <w:ind w:left="5520" w:hanging="360"/>
      </w:pPr>
    </w:lvl>
    <w:lvl w:ilvl="7" w:tentative="0">
      <w:start w:val="1"/>
      <w:numFmt w:val="lowerLetter"/>
      <w:lvlText w:val="%8."/>
      <w:lvlJc w:val="left"/>
      <w:pPr>
        <w:ind w:left="6240" w:hanging="360"/>
      </w:pPr>
    </w:lvl>
    <w:lvl w:ilvl="8" w:tentative="0">
      <w:start w:val="1"/>
      <w:numFmt w:val="lowerRoman"/>
      <w:lvlText w:val="%9."/>
      <w:lvlJc w:val="right"/>
      <w:pPr>
        <w:ind w:left="6960" w:hanging="180"/>
      </w:pPr>
    </w:lvl>
  </w:abstractNum>
  <w:abstractNum w:abstractNumId="19">
    <w:nsid w:val="212AF3D0"/>
    <w:multiLevelType w:val="singleLevel"/>
    <w:tmpl w:val="212AF3D0"/>
    <w:lvl w:ilvl="0" w:tentative="0">
      <w:start w:val="1"/>
      <w:numFmt w:val="decimalEnclosedCircleChinese"/>
      <w:suff w:val="nothing"/>
      <w:lvlText w:val="%1　"/>
      <w:lvlJc w:val="left"/>
      <w:pPr>
        <w:ind w:left="0" w:firstLine="400"/>
      </w:pPr>
      <w:rPr>
        <w:rFonts w:hint="eastAsia"/>
      </w:rPr>
    </w:lvl>
  </w:abstractNum>
  <w:abstractNum w:abstractNumId="20">
    <w:nsid w:val="22327651"/>
    <w:multiLevelType w:val="singleLevel"/>
    <w:tmpl w:val="22327651"/>
    <w:lvl w:ilvl="0" w:tentative="0">
      <w:start w:val="1"/>
      <w:numFmt w:val="decimalEnclosedCircleChinese"/>
      <w:suff w:val="nothing"/>
      <w:lvlText w:val="%1　"/>
      <w:lvlJc w:val="left"/>
      <w:pPr>
        <w:ind w:left="0" w:firstLine="400"/>
      </w:pPr>
      <w:rPr>
        <w:rFonts w:hint="eastAsia"/>
      </w:rPr>
    </w:lvl>
  </w:abstractNum>
  <w:abstractNum w:abstractNumId="21">
    <w:nsid w:val="2322DBCF"/>
    <w:multiLevelType w:val="singleLevel"/>
    <w:tmpl w:val="2322DBCF"/>
    <w:lvl w:ilvl="0" w:tentative="0">
      <w:start w:val="1"/>
      <w:numFmt w:val="decimalEnclosedCircleChinese"/>
      <w:suff w:val="nothing"/>
      <w:lvlText w:val="%1　"/>
      <w:lvlJc w:val="left"/>
      <w:pPr>
        <w:ind w:left="0" w:firstLine="400"/>
      </w:pPr>
      <w:rPr>
        <w:rFonts w:hint="eastAsia"/>
      </w:rPr>
    </w:lvl>
  </w:abstractNum>
  <w:abstractNum w:abstractNumId="22">
    <w:nsid w:val="2C8653F1"/>
    <w:multiLevelType w:val="multilevel"/>
    <w:tmpl w:val="2C8653F1"/>
    <w:lvl w:ilvl="0" w:tentative="0">
      <w:start w:val="1"/>
      <w:numFmt w:val="decimal"/>
      <w:lvlText w:val="%1."/>
      <w:lvlJc w:val="left"/>
      <w:pPr>
        <w:ind w:left="845" w:hanging="420"/>
      </w:pPr>
    </w:lvl>
    <w:lvl w:ilvl="1" w:tentative="0">
      <w:start w:val="1"/>
      <w:numFmt w:val="decimal"/>
      <w:lvlText w:val="%2、"/>
      <w:lvlJc w:val="left"/>
      <w:pPr>
        <w:ind w:left="1565" w:hanging="720"/>
      </w:pPr>
      <w:rPr>
        <w:rFonts w:hint="default" w:ascii="等线" w:hAnsi="等线" w:eastAsia="等线"/>
        <w:b w:val="0"/>
      </w:rPr>
    </w:lvl>
    <w:lvl w:ilvl="2" w:tentative="0">
      <w:start w:val="1"/>
      <w:numFmt w:val="lowerLetter"/>
      <w:lvlText w:val="%3."/>
      <w:lvlJc w:val="left"/>
      <w:pPr>
        <w:ind w:left="1625" w:hanging="360"/>
      </w:pPr>
      <w:rPr>
        <w:rFonts w:hint="default"/>
      </w:r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23">
    <w:nsid w:val="2CA15FE8"/>
    <w:multiLevelType w:val="multilevel"/>
    <w:tmpl w:val="2CA15FE8"/>
    <w:lvl w:ilvl="0" w:tentative="0">
      <w:start w:val="1"/>
      <w:numFmt w:val="decimal"/>
      <w:lvlText w:val="%1."/>
      <w:lvlJc w:val="left"/>
      <w:pPr>
        <w:ind w:left="844" w:hanging="420"/>
      </w:pPr>
    </w:lvl>
    <w:lvl w:ilvl="1" w:tentative="0">
      <w:start w:val="1"/>
      <w:numFmt w:val="decimal"/>
      <w:lvlText w:val="%2、"/>
      <w:lvlJc w:val="left"/>
      <w:pPr>
        <w:ind w:left="1564" w:hanging="720"/>
      </w:pPr>
      <w:rPr>
        <w:rFonts w:hint="default" w:ascii="等线" w:hAnsi="等线" w:eastAsia="等线"/>
        <w:b w:val="0"/>
      </w:rPr>
    </w:lvl>
    <w:lvl w:ilvl="2" w:tentative="0">
      <w:start w:val="1"/>
      <w:numFmt w:val="lowerRoman"/>
      <w:lvlText w:val="%3."/>
      <w:lvlJc w:val="right"/>
      <w:pPr>
        <w:ind w:left="1684" w:hanging="420"/>
      </w:pPr>
    </w:lvl>
    <w:lvl w:ilvl="3" w:tentative="0">
      <w:start w:val="1"/>
      <w:numFmt w:val="decimal"/>
      <w:lvlText w:val="%4."/>
      <w:lvlJc w:val="left"/>
      <w:pPr>
        <w:ind w:left="2104" w:hanging="420"/>
      </w:pPr>
    </w:lvl>
    <w:lvl w:ilvl="4" w:tentative="0">
      <w:start w:val="1"/>
      <w:numFmt w:val="lowerLetter"/>
      <w:lvlText w:val="%5)"/>
      <w:lvlJc w:val="left"/>
      <w:pPr>
        <w:ind w:left="2524" w:hanging="420"/>
      </w:pPr>
    </w:lvl>
    <w:lvl w:ilvl="5" w:tentative="0">
      <w:start w:val="1"/>
      <w:numFmt w:val="lowerRoman"/>
      <w:lvlText w:val="%6."/>
      <w:lvlJc w:val="right"/>
      <w:pPr>
        <w:ind w:left="2944" w:hanging="420"/>
      </w:pPr>
    </w:lvl>
    <w:lvl w:ilvl="6" w:tentative="0">
      <w:start w:val="1"/>
      <w:numFmt w:val="decimal"/>
      <w:lvlText w:val="%7."/>
      <w:lvlJc w:val="left"/>
      <w:pPr>
        <w:ind w:left="3364" w:hanging="420"/>
      </w:pPr>
    </w:lvl>
    <w:lvl w:ilvl="7" w:tentative="0">
      <w:start w:val="1"/>
      <w:numFmt w:val="lowerLetter"/>
      <w:lvlText w:val="%8)"/>
      <w:lvlJc w:val="left"/>
      <w:pPr>
        <w:ind w:left="3784" w:hanging="420"/>
      </w:pPr>
    </w:lvl>
    <w:lvl w:ilvl="8" w:tentative="0">
      <w:start w:val="1"/>
      <w:numFmt w:val="lowerRoman"/>
      <w:lvlText w:val="%9."/>
      <w:lvlJc w:val="right"/>
      <w:pPr>
        <w:ind w:left="4204" w:hanging="420"/>
      </w:pPr>
    </w:lvl>
  </w:abstractNum>
  <w:abstractNum w:abstractNumId="24">
    <w:nsid w:val="34E34EA0"/>
    <w:multiLevelType w:val="singleLevel"/>
    <w:tmpl w:val="34E34EA0"/>
    <w:lvl w:ilvl="0" w:tentative="0">
      <w:start w:val="1"/>
      <w:numFmt w:val="decimalEnclosedCircleChinese"/>
      <w:suff w:val="nothing"/>
      <w:lvlText w:val="%1　"/>
      <w:lvlJc w:val="left"/>
      <w:pPr>
        <w:ind w:left="0" w:firstLine="400"/>
      </w:pPr>
      <w:rPr>
        <w:rFonts w:hint="eastAsia"/>
      </w:rPr>
    </w:lvl>
  </w:abstractNum>
  <w:abstractNum w:abstractNumId="25">
    <w:nsid w:val="39729300"/>
    <w:multiLevelType w:val="singleLevel"/>
    <w:tmpl w:val="39729300"/>
    <w:lvl w:ilvl="0" w:tentative="0">
      <w:start w:val="1"/>
      <w:numFmt w:val="decimalEnclosedCircleChinese"/>
      <w:suff w:val="nothing"/>
      <w:lvlText w:val="%1　"/>
      <w:lvlJc w:val="left"/>
      <w:pPr>
        <w:ind w:left="0" w:firstLine="400"/>
      </w:pPr>
      <w:rPr>
        <w:rFonts w:hint="eastAsia"/>
      </w:rPr>
    </w:lvl>
  </w:abstractNum>
  <w:abstractNum w:abstractNumId="26">
    <w:nsid w:val="3B394812"/>
    <w:multiLevelType w:val="singleLevel"/>
    <w:tmpl w:val="3B394812"/>
    <w:lvl w:ilvl="0" w:tentative="0">
      <w:start w:val="1"/>
      <w:numFmt w:val="decimal"/>
      <w:lvlText w:val="%1)"/>
      <w:lvlJc w:val="left"/>
      <w:pPr>
        <w:ind w:left="567" w:hanging="425"/>
      </w:pPr>
      <w:rPr>
        <w:rFonts w:hint="default"/>
      </w:rPr>
    </w:lvl>
  </w:abstractNum>
  <w:abstractNum w:abstractNumId="27">
    <w:nsid w:val="3BA422BB"/>
    <w:multiLevelType w:val="singleLevel"/>
    <w:tmpl w:val="3BA422BB"/>
    <w:lvl w:ilvl="0" w:tentative="0">
      <w:start w:val="1"/>
      <w:numFmt w:val="decimal"/>
      <w:suff w:val="nothing"/>
      <w:lvlText w:val="%1、"/>
      <w:lvlJc w:val="left"/>
    </w:lvl>
  </w:abstractNum>
  <w:abstractNum w:abstractNumId="28">
    <w:nsid w:val="41158CA6"/>
    <w:multiLevelType w:val="singleLevel"/>
    <w:tmpl w:val="41158CA6"/>
    <w:lvl w:ilvl="0" w:tentative="0">
      <w:start w:val="1"/>
      <w:numFmt w:val="chineseCounting"/>
      <w:suff w:val="nothing"/>
      <w:lvlText w:val="（%1）"/>
      <w:lvlJc w:val="left"/>
      <w:pPr>
        <w:ind w:left="0" w:firstLine="420"/>
      </w:pPr>
      <w:rPr>
        <w:rFonts w:hint="eastAsia"/>
      </w:rPr>
    </w:lvl>
  </w:abstractNum>
  <w:abstractNum w:abstractNumId="29">
    <w:nsid w:val="482BA9CE"/>
    <w:multiLevelType w:val="singleLevel"/>
    <w:tmpl w:val="482BA9CE"/>
    <w:lvl w:ilvl="0" w:tentative="0">
      <w:start w:val="1"/>
      <w:numFmt w:val="decimal"/>
      <w:lvlText w:val="%1."/>
      <w:lvlJc w:val="left"/>
      <w:pPr>
        <w:ind w:left="425" w:hanging="425"/>
      </w:pPr>
      <w:rPr>
        <w:rFonts w:hint="default"/>
      </w:rPr>
    </w:lvl>
  </w:abstractNum>
  <w:abstractNum w:abstractNumId="30">
    <w:nsid w:val="49D829ED"/>
    <w:multiLevelType w:val="singleLevel"/>
    <w:tmpl w:val="49D829ED"/>
    <w:lvl w:ilvl="0" w:tentative="0">
      <w:start w:val="1"/>
      <w:numFmt w:val="chineseCounting"/>
      <w:suff w:val="nothing"/>
      <w:lvlText w:val="（%1）"/>
      <w:lvlJc w:val="left"/>
      <w:pPr>
        <w:ind w:left="0" w:firstLine="420"/>
      </w:pPr>
      <w:rPr>
        <w:rFonts w:hint="eastAsia"/>
      </w:rPr>
    </w:lvl>
  </w:abstractNum>
  <w:abstractNum w:abstractNumId="31">
    <w:nsid w:val="56927484"/>
    <w:multiLevelType w:val="singleLevel"/>
    <w:tmpl w:val="56927484"/>
    <w:lvl w:ilvl="0" w:tentative="0">
      <w:start w:val="1"/>
      <w:numFmt w:val="decimalEnclosedCircleChinese"/>
      <w:suff w:val="nothing"/>
      <w:lvlText w:val="%1　"/>
      <w:lvlJc w:val="left"/>
      <w:pPr>
        <w:ind w:left="0" w:firstLine="400"/>
      </w:pPr>
      <w:rPr>
        <w:rFonts w:hint="eastAsia"/>
      </w:rPr>
    </w:lvl>
  </w:abstractNum>
  <w:abstractNum w:abstractNumId="32">
    <w:nsid w:val="5FFB9C80"/>
    <w:multiLevelType w:val="singleLevel"/>
    <w:tmpl w:val="5FFB9C80"/>
    <w:lvl w:ilvl="0" w:tentative="0">
      <w:start w:val="1"/>
      <w:numFmt w:val="decimalEnclosedCircleChinese"/>
      <w:suff w:val="nothing"/>
      <w:lvlText w:val="%1　"/>
      <w:lvlJc w:val="left"/>
      <w:pPr>
        <w:ind w:left="0" w:firstLine="400"/>
      </w:pPr>
      <w:rPr>
        <w:rFonts w:hint="eastAsia"/>
      </w:rPr>
    </w:lvl>
  </w:abstractNum>
  <w:abstractNum w:abstractNumId="33">
    <w:nsid w:val="6BF64C02"/>
    <w:multiLevelType w:val="singleLevel"/>
    <w:tmpl w:val="6BF64C02"/>
    <w:lvl w:ilvl="0" w:tentative="0">
      <w:start w:val="1"/>
      <w:numFmt w:val="decimalEnclosedCircleChinese"/>
      <w:suff w:val="nothing"/>
      <w:lvlText w:val="%1　"/>
      <w:lvlJc w:val="left"/>
      <w:pPr>
        <w:ind w:left="0" w:firstLine="400"/>
      </w:pPr>
      <w:rPr>
        <w:rFonts w:hint="eastAsia"/>
      </w:rPr>
    </w:lvl>
  </w:abstractNum>
  <w:abstractNum w:abstractNumId="34">
    <w:nsid w:val="74DF6D49"/>
    <w:multiLevelType w:val="singleLevel"/>
    <w:tmpl w:val="74DF6D49"/>
    <w:lvl w:ilvl="0" w:tentative="0">
      <w:start w:val="1"/>
      <w:numFmt w:val="decimalEnclosedCircleChinese"/>
      <w:suff w:val="nothing"/>
      <w:lvlText w:val="%1　"/>
      <w:lvlJc w:val="left"/>
      <w:pPr>
        <w:ind w:left="0" w:firstLine="400"/>
      </w:pPr>
      <w:rPr>
        <w:rFonts w:hint="eastAsia"/>
      </w:rPr>
    </w:lvl>
  </w:abstractNum>
  <w:abstractNum w:abstractNumId="35">
    <w:nsid w:val="78690582"/>
    <w:multiLevelType w:val="singleLevel"/>
    <w:tmpl w:val="78690582"/>
    <w:lvl w:ilvl="0" w:tentative="0">
      <w:start w:val="1"/>
      <w:numFmt w:val="decimalEnclosedCircleChinese"/>
      <w:suff w:val="nothing"/>
      <w:lvlText w:val="%1　"/>
      <w:lvlJc w:val="left"/>
      <w:pPr>
        <w:ind w:left="0" w:firstLine="400"/>
      </w:pPr>
      <w:rPr>
        <w:rFonts w:hint="eastAsia"/>
      </w:rPr>
    </w:lvl>
  </w:abstractNum>
  <w:abstractNum w:abstractNumId="36">
    <w:nsid w:val="7AFB1314"/>
    <w:multiLevelType w:val="singleLevel"/>
    <w:tmpl w:val="7AFB1314"/>
    <w:lvl w:ilvl="0" w:tentative="0">
      <w:start w:val="1"/>
      <w:numFmt w:val="decimal"/>
      <w:lvlText w:val="%1."/>
      <w:lvlJc w:val="left"/>
      <w:pPr>
        <w:ind w:left="425" w:hanging="425"/>
      </w:pPr>
      <w:rPr>
        <w:rFonts w:hint="default"/>
      </w:rPr>
    </w:lvl>
  </w:abstractNum>
  <w:num w:numId="1">
    <w:abstractNumId w:val="7"/>
  </w:num>
  <w:num w:numId="2">
    <w:abstractNumId w:val="30"/>
  </w:num>
  <w:num w:numId="3">
    <w:abstractNumId w:val="36"/>
  </w:num>
  <w:num w:numId="4">
    <w:abstractNumId w:val="2"/>
  </w:num>
  <w:num w:numId="5">
    <w:abstractNumId w:val="29"/>
  </w:num>
  <w:num w:numId="6">
    <w:abstractNumId w:val="17"/>
  </w:num>
  <w:num w:numId="7">
    <w:abstractNumId w:val="10"/>
  </w:num>
  <w:num w:numId="8">
    <w:abstractNumId w:val="26"/>
  </w:num>
  <w:num w:numId="9">
    <w:abstractNumId w:val="35"/>
  </w:num>
  <w:num w:numId="10">
    <w:abstractNumId w:val="12"/>
  </w:num>
  <w:num w:numId="11">
    <w:abstractNumId w:val="5"/>
  </w:num>
  <w:num w:numId="12">
    <w:abstractNumId w:val="34"/>
  </w:num>
  <w:num w:numId="13">
    <w:abstractNumId w:val="20"/>
  </w:num>
  <w:num w:numId="14">
    <w:abstractNumId w:val="1"/>
  </w:num>
  <w:num w:numId="15">
    <w:abstractNumId w:val="19"/>
  </w:num>
  <w:num w:numId="16">
    <w:abstractNumId w:val="21"/>
  </w:num>
  <w:num w:numId="17">
    <w:abstractNumId w:val="4"/>
  </w:num>
  <w:num w:numId="18">
    <w:abstractNumId w:val="8"/>
  </w:num>
  <w:num w:numId="19">
    <w:abstractNumId w:val="11"/>
  </w:num>
  <w:num w:numId="20">
    <w:abstractNumId w:val="18"/>
  </w:num>
  <w:num w:numId="21">
    <w:abstractNumId w:val="6"/>
  </w:num>
  <w:num w:numId="22">
    <w:abstractNumId w:val="23"/>
  </w:num>
  <w:num w:numId="23">
    <w:abstractNumId w:val="14"/>
  </w:num>
  <w:num w:numId="24">
    <w:abstractNumId w:val="31"/>
  </w:num>
  <w:num w:numId="25">
    <w:abstractNumId w:val="0"/>
  </w:num>
  <w:num w:numId="26">
    <w:abstractNumId w:val="25"/>
  </w:num>
  <w:num w:numId="27">
    <w:abstractNumId w:val="3"/>
  </w:num>
  <w:num w:numId="28">
    <w:abstractNumId w:val="15"/>
  </w:num>
  <w:num w:numId="29">
    <w:abstractNumId w:val="33"/>
  </w:num>
  <w:num w:numId="30">
    <w:abstractNumId w:val="24"/>
  </w:num>
  <w:num w:numId="31">
    <w:abstractNumId w:val="22"/>
  </w:num>
  <w:num w:numId="32">
    <w:abstractNumId w:val="32"/>
  </w:num>
  <w:num w:numId="33">
    <w:abstractNumId w:val="13"/>
  </w:num>
  <w:num w:numId="34">
    <w:abstractNumId w:val="27"/>
  </w:num>
  <w:num w:numId="35">
    <w:abstractNumId w:val="28"/>
  </w:num>
  <w:num w:numId="36">
    <w:abstractNumId w:val="16"/>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kYTJlY2U4M2IxZGM3Y2UyNjAyNDAwNmJjZWI2ZGEifQ=="/>
  </w:docVars>
  <w:rsids>
    <w:rsidRoot w:val="00172A27"/>
    <w:rsid w:val="00003E59"/>
    <w:rsid w:val="00017A8B"/>
    <w:rsid w:val="00025778"/>
    <w:rsid w:val="00043A95"/>
    <w:rsid w:val="00043DC6"/>
    <w:rsid w:val="00052248"/>
    <w:rsid w:val="00053166"/>
    <w:rsid w:val="0005562E"/>
    <w:rsid w:val="00057701"/>
    <w:rsid w:val="000674B6"/>
    <w:rsid w:val="000806D8"/>
    <w:rsid w:val="00087865"/>
    <w:rsid w:val="00092B1F"/>
    <w:rsid w:val="00094BB1"/>
    <w:rsid w:val="0009559B"/>
    <w:rsid w:val="00095766"/>
    <w:rsid w:val="00096988"/>
    <w:rsid w:val="000C09D8"/>
    <w:rsid w:val="000C3062"/>
    <w:rsid w:val="000C6D92"/>
    <w:rsid w:val="000D4D1A"/>
    <w:rsid w:val="000D7707"/>
    <w:rsid w:val="000E5112"/>
    <w:rsid w:val="000F01C5"/>
    <w:rsid w:val="000F16A5"/>
    <w:rsid w:val="000F45CA"/>
    <w:rsid w:val="001006F6"/>
    <w:rsid w:val="00101AC3"/>
    <w:rsid w:val="001060EE"/>
    <w:rsid w:val="0011095F"/>
    <w:rsid w:val="00114C9B"/>
    <w:rsid w:val="001216A9"/>
    <w:rsid w:val="00123437"/>
    <w:rsid w:val="00124226"/>
    <w:rsid w:val="00133229"/>
    <w:rsid w:val="00146D48"/>
    <w:rsid w:val="0014725F"/>
    <w:rsid w:val="00150190"/>
    <w:rsid w:val="0015397B"/>
    <w:rsid w:val="00154C80"/>
    <w:rsid w:val="0016067B"/>
    <w:rsid w:val="001710D9"/>
    <w:rsid w:val="00172A27"/>
    <w:rsid w:val="00173FD4"/>
    <w:rsid w:val="00180F1F"/>
    <w:rsid w:val="0018507B"/>
    <w:rsid w:val="00191E54"/>
    <w:rsid w:val="00191FC5"/>
    <w:rsid w:val="00192B59"/>
    <w:rsid w:val="001936D3"/>
    <w:rsid w:val="001B09A8"/>
    <w:rsid w:val="001B1D67"/>
    <w:rsid w:val="001B4C61"/>
    <w:rsid w:val="001B76F8"/>
    <w:rsid w:val="001C33EE"/>
    <w:rsid w:val="001D3C46"/>
    <w:rsid w:val="001D4E33"/>
    <w:rsid w:val="001E387A"/>
    <w:rsid w:val="001F063D"/>
    <w:rsid w:val="001F51B0"/>
    <w:rsid w:val="001F7FBB"/>
    <w:rsid w:val="002063EE"/>
    <w:rsid w:val="00210A68"/>
    <w:rsid w:val="0021388B"/>
    <w:rsid w:val="00214A9A"/>
    <w:rsid w:val="00214BDC"/>
    <w:rsid w:val="00216F6A"/>
    <w:rsid w:val="00223B89"/>
    <w:rsid w:val="002334BE"/>
    <w:rsid w:val="00245D80"/>
    <w:rsid w:val="002577F7"/>
    <w:rsid w:val="00260E11"/>
    <w:rsid w:val="002627AD"/>
    <w:rsid w:val="002707AA"/>
    <w:rsid w:val="00273E6A"/>
    <w:rsid w:val="0027431D"/>
    <w:rsid w:val="00275FAF"/>
    <w:rsid w:val="002858DA"/>
    <w:rsid w:val="002958D8"/>
    <w:rsid w:val="002A20F8"/>
    <w:rsid w:val="002A2ED0"/>
    <w:rsid w:val="002A6AC9"/>
    <w:rsid w:val="002B07B9"/>
    <w:rsid w:val="002B080B"/>
    <w:rsid w:val="002C4CCA"/>
    <w:rsid w:val="002D2D8A"/>
    <w:rsid w:val="002D379A"/>
    <w:rsid w:val="002D6394"/>
    <w:rsid w:val="002D7E4A"/>
    <w:rsid w:val="002F5A63"/>
    <w:rsid w:val="002F5C84"/>
    <w:rsid w:val="00305E48"/>
    <w:rsid w:val="00314FFA"/>
    <w:rsid w:val="00322475"/>
    <w:rsid w:val="003245B0"/>
    <w:rsid w:val="00324BCC"/>
    <w:rsid w:val="00326F44"/>
    <w:rsid w:val="00334714"/>
    <w:rsid w:val="003422F5"/>
    <w:rsid w:val="00357A4A"/>
    <w:rsid w:val="00361E83"/>
    <w:rsid w:val="00374384"/>
    <w:rsid w:val="00375F31"/>
    <w:rsid w:val="00383938"/>
    <w:rsid w:val="00385C69"/>
    <w:rsid w:val="0038674D"/>
    <w:rsid w:val="00386DA5"/>
    <w:rsid w:val="003969E7"/>
    <w:rsid w:val="003C456A"/>
    <w:rsid w:val="003C4F1E"/>
    <w:rsid w:val="003C6ADC"/>
    <w:rsid w:val="003D2C9E"/>
    <w:rsid w:val="003D5147"/>
    <w:rsid w:val="003E38FD"/>
    <w:rsid w:val="003F4895"/>
    <w:rsid w:val="003F7115"/>
    <w:rsid w:val="004013FD"/>
    <w:rsid w:val="00404671"/>
    <w:rsid w:val="004216CB"/>
    <w:rsid w:val="00423947"/>
    <w:rsid w:val="004428CA"/>
    <w:rsid w:val="004537D9"/>
    <w:rsid w:val="004615A5"/>
    <w:rsid w:val="004667A2"/>
    <w:rsid w:val="00467A4E"/>
    <w:rsid w:val="0047056D"/>
    <w:rsid w:val="00485AE3"/>
    <w:rsid w:val="0048619F"/>
    <w:rsid w:val="004875E3"/>
    <w:rsid w:val="00495C6D"/>
    <w:rsid w:val="004965A5"/>
    <w:rsid w:val="0049784C"/>
    <w:rsid w:val="004A2819"/>
    <w:rsid w:val="004A41A1"/>
    <w:rsid w:val="004B22A8"/>
    <w:rsid w:val="004B3304"/>
    <w:rsid w:val="004C3FE7"/>
    <w:rsid w:val="004C4C08"/>
    <w:rsid w:val="004C4FD7"/>
    <w:rsid w:val="004D04DB"/>
    <w:rsid w:val="004D104B"/>
    <w:rsid w:val="004D362F"/>
    <w:rsid w:val="004D7B54"/>
    <w:rsid w:val="004E0501"/>
    <w:rsid w:val="004E6619"/>
    <w:rsid w:val="004E722B"/>
    <w:rsid w:val="00501FAB"/>
    <w:rsid w:val="005038E0"/>
    <w:rsid w:val="00523201"/>
    <w:rsid w:val="00525835"/>
    <w:rsid w:val="00537208"/>
    <w:rsid w:val="00544CB1"/>
    <w:rsid w:val="00551B47"/>
    <w:rsid w:val="0055545B"/>
    <w:rsid w:val="005638B9"/>
    <w:rsid w:val="00573107"/>
    <w:rsid w:val="005761FD"/>
    <w:rsid w:val="00577222"/>
    <w:rsid w:val="00580E1F"/>
    <w:rsid w:val="005848EA"/>
    <w:rsid w:val="005905FC"/>
    <w:rsid w:val="0059453D"/>
    <w:rsid w:val="005A2A86"/>
    <w:rsid w:val="005B41EF"/>
    <w:rsid w:val="005C359E"/>
    <w:rsid w:val="005C5329"/>
    <w:rsid w:val="005C6D7F"/>
    <w:rsid w:val="005D2101"/>
    <w:rsid w:val="005D317E"/>
    <w:rsid w:val="005D61BB"/>
    <w:rsid w:val="005E1A23"/>
    <w:rsid w:val="005F11E9"/>
    <w:rsid w:val="005F179E"/>
    <w:rsid w:val="005F24B2"/>
    <w:rsid w:val="006017F7"/>
    <w:rsid w:val="006059E8"/>
    <w:rsid w:val="006074E8"/>
    <w:rsid w:val="00610722"/>
    <w:rsid w:val="0061201F"/>
    <w:rsid w:val="00614FEC"/>
    <w:rsid w:val="00617B73"/>
    <w:rsid w:val="00624730"/>
    <w:rsid w:val="006315E3"/>
    <w:rsid w:val="00632CDD"/>
    <w:rsid w:val="006370D2"/>
    <w:rsid w:val="0064710A"/>
    <w:rsid w:val="00654EF8"/>
    <w:rsid w:val="0065675F"/>
    <w:rsid w:val="00667500"/>
    <w:rsid w:val="0067039D"/>
    <w:rsid w:val="00674E0A"/>
    <w:rsid w:val="00694BDC"/>
    <w:rsid w:val="00695F48"/>
    <w:rsid w:val="006A1397"/>
    <w:rsid w:val="006D1548"/>
    <w:rsid w:val="006D2612"/>
    <w:rsid w:val="006E4360"/>
    <w:rsid w:val="006E4BBC"/>
    <w:rsid w:val="006F23DA"/>
    <w:rsid w:val="006F6100"/>
    <w:rsid w:val="006F78D8"/>
    <w:rsid w:val="00714A56"/>
    <w:rsid w:val="007160D2"/>
    <w:rsid w:val="00717301"/>
    <w:rsid w:val="007209C8"/>
    <w:rsid w:val="00722095"/>
    <w:rsid w:val="00725B4D"/>
    <w:rsid w:val="00731CF7"/>
    <w:rsid w:val="00735D4E"/>
    <w:rsid w:val="00742FBD"/>
    <w:rsid w:val="0074415C"/>
    <w:rsid w:val="007441C5"/>
    <w:rsid w:val="00751AAB"/>
    <w:rsid w:val="00753525"/>
    <w:rsid w:val="00756422"/>
    <w:rsid w:val="00763A87"/>
    <w:rsid w:val="0076614C"/>
    <w:rsid w:val="00766873"/>
    <w:rsid w:val="007673BE"/>
    <w:rsid w:val="00777B58"/>
    <w:rsid w:val="00780C40"/>
    <w:rsid w:val="0078209A"/>
    <w:rsid w:val="00787329"/>
    <w:rsid w:val="007D38EF"/>
    <w:rsid w:val="007D7C3E"/>
    <w:rsid w:val="007E46AC"/>
    <w:rsid w:val="007E56A1"/>
    <w:rsid w:val="0080748E"/>
    <w:rsid w:val="00812568"/>
    <w:rsid w:val="00815C03"/>
    <w:rsid w:val="0082582B"/>
    <w:rsid w:val="00835EDF"/>
    <w:rsid w:val="0084723D"/>
    <w:rsid w:val="00856095"/>
    <w:rsid w:val="00862A20"/>
    <w:rsid w:val="00891165"/>
    <w:rsid w:val="0089116B"/>
    <w:rsid w:val="00892677"/>
    <w:rsid w:val="008A3743"/>
    <w:rsid w:val="008A7187"/>
    <w:rsid w:val="008B1D78"/>
    <w:rsid w:val="008D2DAC"/>
    <w:rsid w:val="008D560D"/>
    <w:rsid w:val="008E1406"/>
    <w:rsid w:val="008E41CF"/>
    <w:rsid w:val="008E4707"/>
    <w:rsid w:val="008F3CE5"/>
    <w:rsid w:val="008F46E7"/>
    <w:rsid w:val="00902DF2"/>
    <w:rsid w:val="009156ED"/>
    <w:rsid w:val="00916F0C"/>
    <w:rsid w:val="00917E16"/>
    <w:rsid w:val="00924DC4"/>
    <w:rsid w:val="0093318E"/>
    <w:rsid w:val="009331A3"/>
    <w:rsid w:val="00937148"/>
    <w:rsid w:val="009406A9"/>
    <w:rsid w:val="00943005"/>
    <w:rsid w:val="00946DB1"/>
    <w:rsid w:val="00947DF2"/>
    <w:rsid w:val="00951464"/>
    <w:rsid w:val="00956493"/>
    <w:rsid w:val="009611BD"/>
    <w:rsid w:val="0096524C"/>
    <w:rsid w:val="009779FD"/>
    <w:rsid w:val="009969E6"/>
    <w:rsid w:val="009A4119"/>
    <w:rsid w:val="009B04BF"/>
    <w:rsid w:val="009B73D1"/>
    <w:rsid w:val="009C6FCB"/>
    <w:rsid w:val="009D04C8"/>
    <w:rsid w:val="009D6D2D"/>
    <w:rsid w:val="009E2668"/>
    <w:rsid w:val="009E30F3"/>
    <w:rsid w:val="009F619F"/>
    <w:rsid w:val="00A11E64"/>
    <w:rsid w:val="00A14F1F"/>
    <w:rsid w:val="00A1651B"/>
    <w:rsid w:val="00A21885"/>
    <w:rsid w:val="00A256FD"/>
    <w:rsid w:val="00A32778"/>
    <w:rsid w:val="00A40E98"/>
    <w:rsid w:val="00A430E9"/>
    <w:rsid w:val="00A46CC5"/>
    <w:rsid w:val="00A47A1E"/>
    <w:rsid w:val="00A528DE"/>
    <w:rsid w:val="00A5756E"/>
    <w:rsid w:val="00A60C60"/>
    <w:rsid w:val="00A70811"/>
    <w:rsid w:val="00A717DE"/>
    <w:rsid w:val="00A813F7"/>
    <w:rsid w:val="00A83C88"/>
    <w:rsid w:val="00A908B9"/>
    <w:rsid w:val="00A91292"/>
    <w:rsid w:val="00A921B0"/>
    <w:rsid w:val="00AB277D"/>
    <w:rsid w:val="00AB2EDD"/>
    <w:rsid w:val="00AC0C41"/>
    <w:rsid w:val="00AC39EB"/>
    <w:rsid w:val="00AD34C4"/>
    <w:rsid w:val="00AD42AD"/>
    <w:rsid w:val="00AD51C0"/>
    <w:rsid w:val="00AE201D"/>
    <w:rsid w:val="00AE35ED"/>
    <w:rsid w:val="00AE65E2"/>
    <w:rsid w:val="00AF0AD3"/>
    <w:rsid w:val="00AF0EC5"/>
    <w:rsid w:val="00AF6A4F"/>
    <w:rsid w:val="00B0178B"/>
    <w:rsid w:val="00B23402"/>
    <w:rsid w:val="00B23746"/>
    <w:rsid w:val="00B25205"/>
    <w:rsid w:val="00B31C48"/>
    <w:rsid w:val="00B34E49"/>
    <w:rsid w:val="00B46D75"/>
    <w:rsid w:val="00B47799"/>
    <w:rsid w:val="00B60E5D"/>
    <w:rsid w:val="00B61DE9"/>
    <w:rsid w:val="00B659B5"/>
    <w:rsid w:val="00B733F8"/>
    <w:rsid w:val="00B742F6"/>
    <w:rsid w:val="00B8175C"/>
    <w:rsid w:val="00B83983"/>
    <w:rsid w:val="00B8589B"/>
    <w:rsid w:val="00B8707E"/>
    <w:rsid w:val="00B87844"/>
    <w:rsid w:val="00B96900"/>
    <w:rsid w:val="00BA302D"/>
    <w:rsid w:val="00BB1F12"/>
    <w:rsid w:val="00BC18F7"/>
    <w:rsid w:val="00BD5870"/>
    <w:rsid w:val="00BE027E"/>
    <w:rsid w:val="00BE4EB2"/>
    <w:rsid w:val="00BE527A"/>
    <w:rsid w:val="00BE71AB"/>
    <w:rsid w:val="00BF51E4"/>
    <w:rsid w:val="00C0424B"/>
    <w:rsid w:val="00C05657"/>
    <w:rsid w:val="00C07933"/>
    <w:rsid w:val="00C10F63"/>
    <w:rsid w:val="00C22E95"/>
    <w:rsid w:val="00C27D77"/>
    <w:rsid w:val="00C3079A"/>
    <w:rsid w:val="00C33C15"/>
    <w:rsid w:val="00C358D1"/>
    <w:rsid w:val="00C421D3"/>
    <w:rsid w:val="00C45F6E"/>
    <w:rsid w:val="00C50C5D"/>
    <w:rsid w:val="00C600D3"/>
    <w:rsid w:val="00C605D7"/>
    <w:rsid w:val="00C61FF6"/>
    <w:rsid w:val="00C65C2B"/>
    <w:rsid w:val="00C74889"/>
    <w:rsid w:val="00C820ED"/>
    <w:rsid w:val="00C901A5"/>
    <w:rsid w:val="00CA7453"/>
    <w:rsid w:val="00CA7D76"/>
    <w:rsid w:val="00CB2ACB"/>
    <w:rsid w:val="00CC458D"/>
    <w:rsid w:val="00CD4EA6"/>
    <w:rsid w:val="00CD7239"/>
    <w:rsid w:val="00CE343B"/>
    <w:rsid w:val="00CF43C3"/>
    <w:rsid w:val="00D16475"/>
    <w:rsid w:val="00D17C4C"/>
    <w:rsid w:val="00D2408C"/>
    <w:rsid w:val="00D351A3"/>
    <w:rsid w:val="00D72F10"/>
    <w:rsid w:val="00D760E8"/>
    <w:rsid w:val="00D82A1A"/>
    <w:rsid w:val="00D87849"/>
    <w:rsid w:val="00D92483"/>
    <w:rsid w:val="00DA151C"/>
    <w:rsid w:val="00DA6D01"/>
    <w:rsid w:val="00DA7466"/>
    <w:rsid w:val="00DB2919"/>
    <w:rsid w:val="00DD2AA3"/>
    <w:rsid w:val="00DD7208"/>
    <w:rsid w:val="00DD7BD7"/>
    <w:rsid w:val="00DE32DB"/>
    <w:rsid w:val="00DF2F7C"/>
    <w:rsid w:val="00DF3968"/>
    <w:rsid w:val="00E05AEF"/>
    <w:rsid w:val="00E05CDF"/>
    <w:rsid w:val="00E11BA0"/>
    <w:rsid w:val="00E12758"/>
    <w:rsid w:val="00E1752C"/>
    <w:rsid w:val="00E179C7"/>
    <w:rsid w:val="00E20CB1"/>
    <w:rsid w:val="00E32881"/>
    <w:rsid w:val="00E354ED"/>
    <w:rsid w:val="00E36C4D"/>
    <w:rsid w:val="00E36D96"/>
    <w:rsid w:val="00E479C3"/>
    <w:rsid w:val="00E52026"/>
    <w:rsid w:val="00E623E6"/>
    <w:rsid w:val="00E6246F"/>
    <w:rsid w:val="00E637B7"/>
    <w:rsid w:val="00E7049B"/>
    <w:rsid w:val="00E75985"/>
    <w:rsid w:val="00E80447"/>
    <w:rsid w:val="00E81C35"/>
    <w:rsid w:val="00E851A6"/>
    <w:rsid w:val="00E93297"/>
    <w:rsid w:val="00EA49AF"/>
    <w:rsid w:val="00EA4AD3"/>
    <w:rsid w:val="00EA6EFC"/>
    <w:rsid w:val="00EB15EA"/>
    <w:rsid w:val="00EB44F9"/>
    <w:rsid w:val="00EB48AA"/>
    <w:rsid w:val="00EB4BC3"/>
    <w:rsid w:val="00EC37EF"/>
    <w:rsid w:val="00ED638E"/>
    <w:rsid w:val="00ED6B7E"/>
    <w:rsid w:val="00EE2ED0"/>
    <w:rsid w:val="00EE498F"/>
    <w:rsid w:val="00EF0018"/>
    <w:rsid w:val="00EF44D4"/>
    <w:rsid w:val="00EF49BF"/>
    <w:rsid w:val="00F015C5"/>
    <w:rsid w:val="00F0519F"/>
    <w:rsid w:val="00F057AD"/>
    <w:rsid w:val="00F16A45"/>
    <w:rsid w:val="00F179EE"/>
    <w:rsid w:val="00F3177E"/>
    <w:rsid w:val="00F32CA5"/>
    <w:rsid w:val="00F44D98"/>
    <w:rsid w:val="00F5565D"/>
    <w:rsid w:val="00F937F9"/>
    <w:rsid w:val="00F94EAA"/>
    <w:rsid w:val="00F97ECA"/>
    <w:rsid w:val="00FA30EC"/>
    <w:rsid w:val="00FA686E"/>
    <w:rsid w:val="00FB15DC"/>
    <w:rsid w:val="00FB1DB3"/>
    <w:rsid w:val="00FB26C8"/>
    <w:rsid w:val="00FB7DD2"/>
    <w:rsid w:val="00FC2415"/>
    <w:rsid w:val="00FC2F62"/>
    <w:rsid w:val="00FC6E41"/>
    <w:rsid w:val="00FD36DB"/>
    <w:rsid w:val="00FE0D18"/>
    <w:rsid w:val="012064D3"/>
    <w:rsid w:val="012D479D"/>
    <w:rsid w:val="01E16AB2"/>
    <w:rsid w:val="0212471E"/>
    <w:rsid w:val="030E3A3D"/>
    <w:rsid w:val="030F60AD"/>
    <w:rsid w:val="0389389E"/>
    <w:rsid w:val="038D6FC8"/>
    <w:rsid w:val="04385253"/>
    <w:rsid w:val="04C3141B"/>
    <w:rsid w:val="04EB76C2"/>
    <w:rsid w:val="05132001"/>
    <w:rsid w:val="06057289"/>
    <w:rsid w:val="07CC27E0"/>
    <w:rsid w:val="082333EB"/>
    <w:rsid w:val="086D1F6C"/>
    <w:rsid w:val="092E2FE0"/>
    <w:rsid w:val="0A795CEF"/>
    <w:rsid w:val="0B8969EF"/>
    <w:rsid w:val="0DD12221"/>
    <w:rsid w:val="0DDE06D5"/>
    <w:rsid w:val="0E347D8E"/>
    <w:rsid w:val="0E9E1DF6"/>
    <w:rsid w:val="0EEA0007"/>
    <w:rsid w:val="0F275D57"/>
    <w:rsid w:val="0F3B1796"/>
    <w:rsid w:val="0F3B4206"/>
    <w:rsid w:val="0F662787"/>
    <w:rsid w:val="0FD66C52"/>
    <w:rsid w:val="102C3D7E"/>
    <w:rsid w:val="10516711"/>
    <w:rsid w:val="10583B58"/>
    <w:rsid w:val="10A125DE"/>
    <w:rsid w:val="10A44AD8"/>
    <w:rsid w:val="11313C88"/>
    <w:rsid w:val="1132262E"/>
    <w:rsid w:val="12933CF6"/>
    <w:rsid w:val="13EE260A"/>
    <w:rsid w:val="15A57C41"/>
    <w:rsid w:val="165E2E89"/>
    <w:rsid w:val="17066EDE"/>
    <w:rsid w:val="17562080"/>
    <w:rsid w:val="18FE616A"/>
    <w:rsid w:val="1A623F7A"/>
    <w:rsid w:val="1A653C81"/>
    <w:rsid w:val="1A8A18EB"/>
    <w:rsid w:val="1ABF69D6"/>
    <w:rsid w:val="1B1172E5"/>
    <w:rsid w:val="1B6E4F14"/>
    <w:rsid w:val="1C1103E3"/>
    <w:rsid w:val="1E2F1BEB"/>
    <w:rsid w:val="1E722BA1"/>
    <w:rsid w:val="1ED81636"/>
    <w:rsid w:val="1EDD26A8"/>
    <w:rsid w:val="1F6A5AA1"/>
    <w:rsid w:val="20616146"/>
    <w:rsid w:val="206C6EF0"/>
    <w:rsid w:val="210D179A"/>
    <w:rsid w:val="21514E5B"/>
    <w:rsid w:val="21A56FE5"/>
    <w:rsid w:val="222A213F"/>
    <w:rsid w:val="23751B91"/>
    <w:rsid w:val="237A0EA4"/>
    <w:rsid w:val="242B3E7A"/>
    <w:rsid w:val="24650C4B"/>
    <w:rsid w:val="24DC1BF4"/>
    <w:rsid w:val="250B708D"/>
    <w:rsid w:val="252E154C"/>
    <w:rsid w:val="25612297"/>
    <w:rsid w:val="266C4CB8"/>
    <w:rsid w:val="26AC3A6A"/>
    <w:rsid w:val="27BD4A69"/>
    <w:rsid w:val="27F5026B"/>
    <w:rsid w:val="28810954"/>
    <w:rsid w:val="28C41519"/>
    <w:rsid w:val="28D52E43"/>
    <w:rsid w:val="28E02AE8"/>
    <w:rsid w:val="29321468"/>
    <w:rsid w:val="293C46D4"/>
    <w:rsid w:val="298E3B37"/>
    <w:rsid w:val="29D46E34"/>
    <w:rsid w:val="2A1F257C"/>
    <w:rsid w:val="2B0F716F"/>
    <w:rsid w:val="2B267E53"/>
    <w:rsid w:val="2B482914"/>
    <w:rsid w:val="2B82101E"/>
    <w:rsid w:val="2BB76ED8"/>
    <w:rsid w:val="2BE0339C"/>
    <w:rsid w:val="2C2A3F7F"/>
    <w:rsid w:val="2CC30CD7"/>
    <w:rsid w:val="2E38018A"/>
    <w:rsid w:val="2E6725F0"/>
    <w:rsid w:val="2F0320CD"/>
    <w:rsid w:val="2F416D00"/>
    <w:rsid w:val="2F55173C"/>
    <w:rsid w:val="2F9D7DB2"/>
    <w:rsid w:val="318468A8"/>
    <w:rsid w:val="323B2EB3"/>
    <w:rsid w:val="32A44FF2"/>
    <w:rsid w:val="338A3EE6"/>
    <w:rsid w:val="33AB6CE0"/>
    <w:rsid w:val="33BB5931"/>
    <w:rsid w:val="3408637E"/>
    <w:rsid w:val="349121A4"/>
    <w:rsid w:val="349362C5"/>
    <w:rsid w:val="34E47257"/>
    <w:rsid w:val="3696733C"/>
    <w:rsid w:val="36A22C9F"/>
    <w:rsid w:val="37470093"/>
    <w:rsid w:val="37F1079D"/>
    <w:rsid w:val="3851417C"/>
    <w:rsid w:val="385C3473"/>
    <w:rsid w:val="39C51821"/>
    <w:rsid w:val="3A3A3CFE"/>
    <w:rsid w:val="3A8E528F"/>
    <w:rsid w:val="3B80367F"/>
    <w:rsid w:val="3BD91D17"/>
    <w:rsid w:val="3C2126FB"/>
    <w:rsid w:val="3C333E47"/>
    <w:rsid w:val="3C487E80"/>
    <w:rsid w:val="3C6C2709"/>
    <w:rsid w:val="3CF643B0"/>
    <w:rsid w:val="3CFC1221"/>
    <w:rsid w:val="3D563335"/>
    <w:rsid w:val="3EBD5912"/>
    <w:rsid w:val="3EE32FE9"/>
    <w:rsid w:val="3F3023A3"/>
    <w:rsid w:val="3FB81CE7"/>
    <w:rsid w:val="3FBC3707"/>
    <w:rsid w:val="400E0EDD"/>
    <w:rsid w:val="40D849B8"/>
    <w:rsid w:val="411A68FA"/>
    <w:rsid w:val="42203234"/>
    <w:rsid w:val="424F6B75"/>
    <w:rsid w:val="42547074"/>
    <w:rsid w:val="4344571B"/>
    <w:rsid w:val="43ED0DC6"/>
    <w:rsid w:val="441A0008"/>
    <w:rsid w:val="446B2DAE"/>
    <w:rsid w:val="451F459B"/>
    <w:rsid w:val="454755CE"/>
    <w:rsid w:val="45D264C6"/>
    <w:rsid w:val="463356FA"/>
    <w:rsid w:val="4733173E"/>
    <w:rsid w:val="47565285"/>
    <w:rsid w:val="478B0A95"/>
    <w:rsid w:val="484A0F8C"/>
    <w:rsid w:val="487F4BD1"/>
    <w:rsid w:val="4A8E2E42"/>
    <w:rsid w:val="4AFB116A"/>
    <w:rsid w:val="4B583A7D"/>
    <w:rsid w:val="4B6C225F"/>
    <w:rsid w:val="4CAC7A71"/>
    <w:rsid w:val="4D0C0CF4"/>
    <w:rsid w:val="4DFA25C9"/>
    <w:rsid w:val="4E422E51"/>
    <w:rsid w:val="4E5020DD"/>
    <w:rsid w:val="4E596E64"/>
    <w:rsid w:val="4EB53B1E"/>
    <w:rsid w:val="4ECD3D1C"/>
    <w:rsid w:val="4F211D1F"/>
    <w:rsid w:val="4F5E7115"/>
    <w:rsid w:val="4FA964E9"/>
    <w:rsid w:val="4FEE77E7"/>
    <w:rsid w:val="50EF7E09"/>
    <w:rsid w:val="510C536A"/>
    <w:rsid w:val="51D25264"/>
    <w:rsid w:val="51EA3604"/>
    <w:rsid w:val="523D6E46"/>
    <w:rsid w:val="52525C01"/>
    <w:rsid w:val="52682B1D"/>
    <w:rsid w:val="52AA6936"/>
    <w:rsid w:val="53172B10"/>
    <w:rsid w:val="533B097A"/>
    <w:rsid w:val="536A1E57"/>
    <w:rsid w:val="54C9046B"/>
    <w:rsid w:val="54EA70B5"/>
    <w:rsid w:val="54F73E2E"/>
    <w:rsid w:val="55027E0C"/>
    <w:rsid w:val="55752738"/>
    <w:rsid w:val="562F7E1A"/>
    <w:rsid w:val="565B1933"/>
    <w:rsid w:val="56CD5AE2"/>
    <w:rsid w:val="56F672DE"/>
    <w:rsid w:val="583D3ABD"/>
    <w:rsid w:val="586609E9"/>
    <w:rsid w:val="5911614E"/>
    <w:rsid w:val="5B0A4242"/>
    <w:rsid w:val="5BC30933"/>
    <w:rsid w:val="5CA95565"/>
    <w:rsid w:val="5CE46AB5"/>
    <w:rsid w:val="5D4C58EE"/>
    <w:rsid w:val="5D7509CD"/>
    <w:rsid w:val="5DE55405"/>
    <w:rsid w:val="5DE87AE6"/>
    <w:rsid w:val="5E01273F"/>
    <w:rsid w:val="5E6E5EBB"/>
    <w:rsid w:val="5F105BB1"/>
    <w:rsid w:val="600E14DC"/>
    <w:rsid w:val="601954DC"/>
    <w:rsid w:val="60257E1C"/>
    <w:rsid w:val="60C66A9B"/>
    <w:rsid w:val="61C962D2"/>
    <w:rsid w:val="62A907B5"/>
    <w:rsid w:val="63452684"/>
    <w:rsid w:val="63713DD4"/>
    <w:rsid w:val="641D37F7"/>
    <w:rsid w:val="64AF0FD0"/>
    <w:rsid w:val="64CA346F"/>
    <w:rsid w:val="650A755C"/>
    <w:rsid w:val="65C27C05"/>
    <w:rsid w:val="65E6703A"/>
    <w:rsid w:val="66982F46"/>
    <w:rsid w:val="66B645E3"/>
    <w:rsid w:val="671E39AE"/>
    <w:rsid w:val="67323183"/>
    <w:rsid w:val="67E81EC1"/>
    <w:rsid w:val="681813A2"/>
    <w:rsid w:val="68442E05"/>
    <w:rsid w:val="6B4C0725"/>
    <w:rsid w:val="6BA71EC2"/>
    <w:rsid w:val="6C102593"/>
    <w:rsid w:val="6C11750A"/>
    <w:rsid w:val="6C447EDB"/>
    <w:rsid w:val="6CAE1BD2"/>
    <w:rsid w:val="6CFB6181"/>
    <w:rsid w:val="6D4D0561"/>
    <w:rsid w:val="6D573B7A"/>
    <w:rsid w:val="6D885AB1"/>
    <w:rsid w:val="6DE31AE5"/>
    <w:rsid w:val="6E935C91"/>
    <w:rsid w:val="6EAD1AD1"/>
    <w:rsid w:val="6EE34CD2"/>
    <w:rsid w:val="6FC35856"/>
    <w:rsid w:val="6FD32149"/>
    <w:rsid w:val="7084106C"/>
    <w:rsid w:val="723D4915"/>
    <w:rsid w:val="72B3540C"/>
    <w:rsid w:val="72F1646D"/>
    <w:rsid w:val="72F22E9E"/>
    <w:rsid w:val="74020DAF"/>
    <w:rsid w:val="753C5780"/>
    <w:rsid w:val="753E6DD7"/>
    <w:rsid w:val="75911F91"/>
    <w:rsid w:val="76144F29"/>
    <w:rsid w:val="764F75B3"/>
    <w:rsid w:val="767F029B"/>
    <w:rsid w:val="7682308B"/>
    <w:rsid w:val="76A2645F"/>
    <w:rsid w:val="76A61C34"/>
    <w:rsid w:val="76AD6C7C"/>
    <w:rsid w:val="76B46C0A"/>
    <w:rsid w:val="76D15CE7"/>
    <w:rsid w:val="771F6F0D"/>
    <w:rsid w:val="783340AB"/>
    <w:rsid w:val="78DB4B00"/>
    <w:rsid w:val="792F24E1"/>
    <w:rsid w:val="79480349"/>
    <w:rsid w:val="7AEF7E73"/>
    <w:rsid w:val="7B0C70C5"/>
    <w:rsid w:val="7B291921"/>
    <w:rsid w:val="7B457C36"/>
    <w:rsid w:val="7B5E6391"/>
    <w:rsid w:val="7C2D22F8"/>
    <w:rsid w:val="7C9642AB"/>
    <w:rsid w:val="7E153BCF"/>
    <w:rsid w:val="7E6871C3"/>
    <w:rsid w:val="7EDB5290"/>
    <w:rsid w:val="7F336F33"/>
    <w:rsid w:val="7F6252A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1"/>
    <w:qFormat/>
    <w:uiPriority w:val="0"/>
    <w:pPr>
      <w:keepNext/>
      <w:keepLines/>
      <w:spacing w:beforeLines="50" w:afterLines="150"/>
      <w:jc w:val="center"/>
      <w:outlineLvl w:val="0"/>
    </w:pPr>
    <w:rPr>
      <w:rFonts w:ascii="Times New Roman" w:hAnsi="Times New Roman" w:cs="Times New Roman"/>
      <w:b/>
      <w:kern w:val="44"/>
      <w:sz w:val="48"/>
      <w:szCs w:val="20"/>
    </w:rPr>
  </w:style>
  <w:style w:type="paragraph" w:styleId="3">
    <w:name w:val="heading 2"/>
    <w:basedOn w:val="1"/>
    <w:next w:val="1"/>
    <w:link w:val="22"/>
    <w:unhideWhenUsed/>
    <w:qFormat/>
    <w:uiPriority w:val="0"/>
    <w:pPr>
      <w:keepNext/>
      <w:keepLines/>
      <w:spacing w:before="260" w:after="260"/>
      <w:jc w:val="center"/>
      <w:outlineLvl w:val="1"/>
    </w:pPr>
    <w:rPr>
      <w:rFonts w:ascii="Arial" w:hAnsi="Arial" w:eastAsia="黑体"/>
      <w:b/>
      <w:sz w:val="32"/>
    </w:rPr>
  </w:style>
  <w:style w:type="paragraph" w:styleId="4">
    <w:name w:val="heading 3"/>
    <w:basedOn w:val="1"/>
    <w:next w:val="1"/>
    <w:link w:val="29"/>
    <w:unhideWhenUsed/>
    <w:qFormat/>
    <w:uiPriority w:val="0"/>
    <w:pPr>
      <w:keepNext/>
      <w:keepLines/>
      <w:ind w:left="420" w:leftChars="200" w:firstLine="880" w:firstLineChars="200"/>
      <w:jc w:val="left"/>
      <w:outlineLvl w:val="2"/>
    </w:pPr>
    <w:rPr>
      <w:rFonts w:ascii="Calibri" w:hAnsi="Calibri" w:eastAsia="黑体"/>
      <w:b/>
      <w:kern w:val="0"/>
      <w:sz w:val="28"/>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2">
    <w:name w:val="列出段落1"/>
    <w:basedOn w:val="1"/>
    <w:qFormat/>
    <w:uiPriority w:val="0"/>
    <w:pPr>
      <w:adjustRightInd w:val="0"/>
      <w:spacing w:line="312" w:lineRule="atLeast"/>
      <w:ind w:firstLine="420" w:firstLineChars="200"/>
    </w:pPr>
    <w:rPr>
      <w:rFonts w:ascii="等线" w:hAnsi="等线" w:eastAsia="等线" w:cs="Times New Roman"/>
      <w:szCs w:val="22"/>
    </w:rPr>
  </w:style>
  <w:style w:type="paragraph" w:customStyle="1" w:styleId="13">
    <w:name w:val="_Style 2"/>
    <w:basedOn w:val="1"/>
    <w:qFormat/>
    <w:uiPriority w:val="0"/>
    <w:pPr>
      <w:ind w:firstLine="420" w:firstLineChars="200"/>
    </w:pPr>
    <w:rPr>
      <w:rFonts w:ascii="Calibri" w:hAnsi="Calibri" w:eastAsia="宋体" w:cs="Times New Roman"/>
    </w:rPr>
  </w:style>
  <w:style w:type="paragraph" w:customStyle="1" w:styleId="14">
    <w:name w:val="_Style 3"/>
    <w:basedOn w:val="1"/>
    <w:qFormat/>
    <w:uiPriority w:val="0"/>
    <w:pPr>
      <w:ind w:firstLine="420" w:firstLineChars="200"/>
    </w:pPr>
    <w:rPr>
      <w:rFonts w:ascii="Calibri" w:hAnsi="Calibri" w:eastAsia="宋体" w:cs="Times New Roman"/>
    </w:rPr>
  </w:style>
  <w:style w:type="paragraph" w:customStyle="1" w:styleId="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6">
    <w:name w:val="页眉 Char"/>
    <w:basedOn w:val="10"/>
    <w:link w:val="7"/>
    <w:qFormat/>
    <w:uiPriority w:val="0"/>
    <w:rPr>
      <w:rFonts w:asciiTheme="minorHAnsi" w:hAnsiTheme="minorHAnsi" w:eastAsiaTheme="minorEastAsia" w:cstheme="minorBidi"/>
      <w:kern w:val="2"/>
      <w:sz w:val="18"/>
      <w:szCs w:val="18"/>
    </w:rPr>
  </w:style>
  <w:style w:type="character" w:customStyle="1" w:styleId="17">
    <w:name w:val="批注框文本 Char"/>
    <w:basedOn w:val="10"/>
    <w:link w:val="5"/>
    <w:qFormat/>
    <w:uiPriority w:val="0"/>
    <w:rPr>
      <w:rFonts w:asciiTheme="minorHAnsi" w:hAnsiTheme="minorHAnsi" w:eastAsiaTheme="minorEastAsia" w:cstheme="minorBidi"/>
      <w:kern w:val="2"/>
      <w:sz w:val="18"/>
      <w:szCs w:val="18"/>
    </w:rPr>
  </w:style>
  <w:style w:type="character" w:customStyle="1" w:styleId="18">
    <w:name w:val="标题 3 Char"/>
    <w:basedOn w:val="10"/>
    <w:qFormat/>
    <w:uiPriority w:val="0"/>
    <w:rPr>
      <w:rFonts w:eastAsia="黑体" w:cstheme="minorBidi"/>
      <w:b/>
      <w:sz w:val="28"/>
      <w:szCs w:val="32"/>
    </w:rPr>
  </w:style>
  <w:style w:type="paragraph" w:styleId="19">
    <w:name w:val="List Paragraph"/>
    <w:basedOn w:val="1"/>
    <w:unhideWhenUsed/>
    <w:qFormat/>
    <w:uiPriority w:val="99"/>
    <w:pPr>
      <w:ind w:firstLine="420" w:firstLineChars="200"/>
    </w:pPr>
  </w:style>
  <w:style w:type="paragraph" w:customStyle="1" w:styleId="20">
    <w:name w:val="p0"/>
    <w:basedOn w:val="1"/>
    <w:qFormat/>
    <w:uiPriority w:val="0"/>
    <w:pPr>
      <w:widowControl/>
      <w:spacing w:line="360" w:lineRule="auto"/>
    </w:pPr>
    <w:rPr>
      <w:kern w:val="0"/>
      <w:szCs w:val="21"/>
    </w:rPr>
  </w:style>
  <w:style w:type="character" w:customStyle="1" w:styleId="21">
    <w:name w:val="标题 1 Char"/>
    <w:basedOn w:val="10"/>
    <w:link w:val="2"/>
    <w:qFormat/>
    <w:uiPriority w:val="0"/>
    <w:rPr>
      <w:rFonts w:ascii="Times New Roman" w:hAnsi="Times New Roman" w:eastAsiaTheme="minorEastAsia"/>
      <w:b/>
      <w:kern w:val="44"/>
      <w:sz w:val="48"/>
    </w:rPr>
  </w:style>
  <w:style w:type="character" w:customStyle="1" w:styleId="22">
    <w:name w:val="标题 2 Char"/>
    <w:basedOn w:val="10"/>
    <w:link w:val="3"/>
    <w:qFormat/>
    <w:uiPriority w:val="0"/>
    <w:rPr>
      <w:rFonts w:ascii="Arial" w:hAnsi="Arial" w:eastAsia="黑体" w:cstheme="minorBidi"/>
      <w:b/>
      <w:kern w:val="2"/>
      <w:sz w:val="32"/>
      <w:szCs w:val="24"/>
    </w:rPr>
  </w:style>
  <w:style w:type="paragraph" w:customStyle="1" w:styleId="23">
    <w:name w:val="备注"/>
    <w:basedOn w:val="1"/>
    <w:link w:val="24"/>
    <w:qFormat/>
    <w:uiPriority w:val="0"/>
    <w:pPr>
      <w:autoSpaceDE w:val="0"/>
      <w:autoSpaceDN w:val="0"/>
      <w:adjustRightInd w:val="0"/>
      <w:jc w:val="left"/>
    </w:pPr>
    <w:rPr>
      <w:rFonts w:ascii="微软雅黑" w:cs="微软雅黑"/>
      <w:color w:val="000000"/>
      <w:kern w:val="0"/>
      <w:sz w:val="18"/>
    </w:rPr>
  </w:style>
  <w:style w:type="character" w:customStyle="1" w:styleId="24">
    <w:name w:val="备注 Char"/>
    <w:basedOn w:val="10"/>
    <w:link w:val="23"/>
    <w:qFormat/>
    <w:uiPriority w:val="0"/>
    <w:rPr>
      <w:rFonts w:ascii="微软雅黑" w:cs="微软雅黑" w:hAnsiTheme="minorHAnsi" w:eastAsiaTheme="minorEastAsia"/>
      <w:color w:val="000000"/>
      <w:sz w:val="18"/>
      <w:szCs w:val="24"/>
    </w:rPr>
  </w:style>
  <w:style w:type="character" w:customStyle="1" w:styleId="25">
    <w:name w:val="font11"/>
    <w:basedOn w:val="10"/>
    <w:qFormat/>
    <w:uiPriority w:val="0"/>
    <w:rPr>
      <w:rFonts w:hint="eastAsia" w:ascii="宋体" w:hAnsi="宋体" w:eastAsia="宋体" w:cs="宋体"/>
      <w:color w:val="000000"/>
      <w:sz w:val="22"/>
      <w:szCs w:val="22"/>
      <w:u w:val="none"/>
    </w:rPr>
  </w:style>
  <w:style w:type="character" w:customStyle="1" w:styleId="26">
    <w:name w:val="font01"/>
    <w:basedOn w:val="10"/>
    <w:qFormat/>
    <w:uiPriority w:val="0"/>
    <w:rPr>
      <w:rFonts w:hint="eastAsia" w:ascii="宋体" w:hAnsi="宋体" w:eastAsia="宋体" w:cs="宋体"/>
      <w:color w:val="000000"/>
      <w:sz w:val="22"/>
      <w:szCs w:val="22"/>
      <w:u w:val="none"/>
    </w:rPr>
  </w:style>
  <w:style w:type="paragraph" w:customStyle="1" w:styleId="27">
    <w:name w:val="7.正文"/>
    <w:qFormat/>
    <w:uiPriority w:val="0"/>
    <w:pPr>
      <w:spacing w:line="360" w:lineRule="auto"/>
      <w:ind w:firstLine="200" w:firstLineChars="200"/>
      <w:jc w:val="both"/>
    </w:pPr>
    <w:rPr>
      <w:rFonts w:ascii="Times New Roman" w:hAnsi="Times New Roman" w:eastAsiaTheme="minorEastAsia" w:cstheme="minorBidi"/>
      <w:kern w:val="2"/>
      <w:sz w:val="24"/>
      <w:szCs w:val="21"/>
      <w:lang w:val="en-US" w:eastAsia="zh-CN" w:bidi="ar-SA"/>
    </w:rPr>
  </w:style>
  <w:style w:type="character" w:customStyle="1" w:styleId="28">
    <w:name w:val="标题 3 字符"/>
    <w:qFormat/>
    <w:uiPriority w:val="0"/>
    <w:rPr>
      <w:rFonts w:ascii="Calibri" w:hAnsi="Calibri" w:eastAsia="黑体"/>
      <w:b/>
      <w:kern w:val="0"/>
      <w:sz w:val="28"/>
      <w:szCs w:val="32"/>
    </w:rPr>
  </w:style>
  <w:style w:type="character" w:customStyle="1" w:styleId="29">
    <w:name w:val="标题 3 Char1"/>
    <w:link w:val="4"/>
    <w:qFormat/>
    <w:uiPriority w:val="0"/>
    <w:rPr>
      <w:rFonts w:ascii="Calibri" w:hAnsi="Calibri" w:eastAsia="黑体"/>
      <w:b/>
      <w:kern w:val="0"/>
      <w:sz w:val="28"/>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20.jpeg"/><Relationship Id="rId22" Type="http://schemas.openxmlformats.org/officeDocument/2006/relationships/image" Target="media/image19.pn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4DCF1E-FA10-46BC-9F06-6514C1980251}">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12295</Words>
  <Characters>13829</Characters>
  <Lines>106</Lines>
  <Paragraphs>29</Paragraphs>
  <TotalTime>2</TotalTime>
  <ScaleCrop>false</ScaleCrop>
  <LinksUpToDate>false</LinksUpToDate>
  <CharactersWithSpaces>13908</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2022-07-23T02:09:00Z</dcterms:created>
  <dc:creator>Administrator</dc:creator>
  <cp:lastModifiedBy>杨烨</cp:lastModifiedBy>
  <cp:lastPrinted>2021-04-08T08:13:00Z</cp:lastPrinted>
  <dcterms:modified xsi:type="dcterms:W3CDTF">2022-11-02T00:42:53Z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FA2E32B947BB460D9EAA9F9210CA2BB0</vt:lpwstr>
  </property>
  <property fmtid="{D5CDD505-2E9C-101B-9397-08002B2CF9AE}" pid="4" name="commondata">
    <vt:lpwstr>eyJoZGlkIjoiNGZjZjg0MDE5MDAwMjdmMDYxZGFmODAwYjVjYmNiNDMifQ==</vt:lpwstr>
  </property>
</Properties>
</file>