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880" w:firstLineChars="200"/>
        <w:jc w:val="center"/>
        <w:rPr>
          <w:rFonts w:ascii="宋体" w:hAnsi="宋体"/>
          <w:color w:val="000000"/>
          <w:sz w:val="44"/>
          <w:szCs w:val="44"/>
        </w:rPr>
      </w:pPr>
      <w:r>
        <w:rPr>
          <w:rFonts w:hint="eastAsia" w:ascii="宋体" w:hAnsi="宋体"/>
          <w:color w:val="000000"/>
          <w:sz w:val="44"/>
          <w:szCs w:val="44"/>
        </w:rPr>
        <w:t>商城嘉美广场商铺及车位买卖合同</w:t>
      </w:r>
    </w:p>
    <w:p>
      <w:pPr>
        <w:ind w:firstLine="420" w:firstLineChars="200"/>
        <w:rPr>
          <w:color w:val="000000"/>
        </w:rPr>
      </w:pP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出卖人（以下简称“甲方”）：</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通讯地址：</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联系电话：</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法定代表人：</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合同经办人：</w:t>
      </w:r>
    </w:p>
    <w:p>
      <w:pPr>
        <w:spacing w:line="500" w:lineRule="exact"/>
        <w:ind w:firstLine="480" w:firstLineChars="200"/>
        <w:rPr>
          <w:rFonts w:ascii="宋体" w:hAnsi="宋体"/>
          <w:color w:val="000000"/>
          <w:sz w:val="24"/>
          <w:szCs w:val="24"/>
        </w:rPr>
      </w:pP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买受人（以下简称“乙方”）：</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通讯地址：</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联系电话：</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法定代表人：</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合同经办人：</w:t>
      </w:r>
    </w:p>
    <w:p>
      <w:pPr>
        <w:spacing w:line="500" w:lineRule="exact"/>
        <w:ind w:firstLine="480" w:firstLineChars="200"/>
        <w:rPr>
          <w:rFonts w:ascii="宋体" w:hAnsi="宋体"/>
          <w:color w:val="000000"/>
          <w:sz w:val="24"/>
          <w:szCs w:val="24"/>
        </w:rPr>
      </w:pP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甲乙双方根据《中华人民共和国民法典》等有关法律规定，遵循平等、自愿、公平的原则，就义乌市商城嘉美广场商铺及车位使用权买卖事宜达成如下协议，共同遵守。</w:t>
      </w:r>
    </w:p>
    <w:p>
      <w:pPr>
        <w:spacing w:line="500" w:lineRule="exact"/>
        <w:ind w:firstLine="482" w:firstLineChars="200"/>
        <w:rPr>
          <w:rFonts w:ascii="宋体" w:hAnsi="宋体"/>
          <w:b/>
          <w:color w:val="000000"/>
          <w:sz w:val="24"/>
          <w:szCs w:val="24"/>
        </w:rPr>
      </w:pPr>
      <w:r>
        <w:rPr>
          <w:rFonts w:hint="eastAsia" w:ascii="宋体" w:hAnsi="宋体"/>
          <w:b/>
          <w:color w:val="000000"/>
          <w:sz w:val="24"/>
          <w:szCs w:val="24"/>
        </w:rPr>
        <w:t>第一条 基本内容</w:t>
      </w:r>
    </w:p>
    <w:p>
      <w:pPr>
        <w:autoSpaceDE w:val="0"/>
        <w:autoSpaceDN w:val="0"/>
        <w:spacing w:line="560" w:lineRule="exact"/>
        <w:ind w:firstLine="480" w:firstLineChars="200"/>
        <w:rPr>
          <w:rFonts w:ascii="宋体" w:hAnsi="宋体"/>
          <w:color w:val="000000"/>
          <w:sz w:val="24"/>
          <w:szCs w:val="24"/>
        </w:rPr>
      </w:pPr>
      <w:r>
        <w:rPr>
          <w:rFonts w:hint="eastAsia" w:ascii="宋体" w:hAnsi="宋体"/>
          <w:color w:val="000000"/>
          <w:sz w:val="24"/>
          <w:szCs w:val="24"/>
        </w:rPr>
        <w:t xml:space="preserve">1.1甲方位于义乌市北苑街道雪峰西路南侧（黄杨梅村北侧）沿街商服地块（嘉美广场）未售商铺及车位使用权（车位使用权以下简称“车位”）一次性打包出售，其中商铺 </w:t>
      </w:r>
      <w:r>
        <w:rPr>
          <w:rFonts w:hint="eastAsia" w:ascii="宋体" w:hAnsi="宋体"/>
          <w:color w:val="000000"/>
          <w:sz w:val="24"/>
          <w:szCs w:val="24"/>
          <w:u w:val="single"/>
        </w:rPr>
        <w:t xml:space="preserve"> 57   </w:t>
      </w:r>
      <w:r>
        <w:rPr>
          <w:rFonts w:hint="eastAsia" w:ascii="宋体" w:hAnsi="宋体"/>
          <w:color w:val="000000"/>
          <w:sz w:val="24"/>
          <w:szCs w:val="24"/>
        </w:rPr>
        <w:t xml:space="preserve"> 间（建筑面积</w:t>
      </w:r>
      <w:r>
        <w:rPr>
          <w:rFonts w:hint="eastAsia" w:ascii="宋体" w:hAnsi="宋体"/>
          <w:color w:val="000000"/>
          <w:sz w:val="24"/>
          <w:szCs w:val="24"/>
          <w:u w:val="single"/>
        </w:rPr>
        <w:t xml:space="preserve"> 10158.74㎡</w:t>
      </w:r>
      <w:r>
        <w:rPr>
          <w:rFonts w:hint="eastAsia" w:ascii="宋体" w:hAnsi="宋体"/>
          <w:color w:val="000000"/>
          <w:sz w:val="24"/>
          <w:szCs w:val="24"/>
        </w:rPr>
        <w:t>）</w:t>
      </w:r>
      <w:r>
        <w:rPr>
          <w:rFonts w:hint="eastAsia" w:ascii="宋体" w:hAnsi="宋体"/>
          <w:color w:val="000000"/>
          <w:sz w:val="24"/>
          <w:szCs w:val="24"/>
          <w:u w:val="single"/>
        </w:rPr>
        <w:t>，</w:t>
      </w:r>
      <w:r>
        <w:rPr>
          <w:rFonts w:hint="eastAsia" w:ascii="宋体" w:hAnsi="宋体"/>
          <w:color w:val="000000"/>
          <w:sz w:val="24"/>
          <w:szCs w:val="24"/>
        </w:rPr>
        <w:t>车位</w:t>
      </w:r>
      <w:r>
        <w:rPr>
          <w:rFonts w:hint="eastAsia" w:ascii="宋体" w:hAnsi="宋体"/>
          <w:color w:val="000000"/>
          <w:sz w:val="24"/>
          <w:szCs w:val="24"/>
          <w:u w:val="single"/>
        </w:rPr>
        <w:t xml:space="preserve">   288   </w:t>
      </w:r>
      <w:r>
        <w:rPr>
          <w:rFonts w:hint="eastAsia" w:ascii="宋体" w:hAnsi="宋体"/>
          <w:color w:val="000000"/>
          <w:sz w:val="24"/>
          <w:szCs w:val="24"/>
        </w:rPr>
        <w:t>个（本合同中所有一次性打包出售的商铺及车位使用权，以下统称：“标的物”），具体内容详见附件一《商铺明细表》和附件二《车位明细表》；</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1.2甲方已取得本项目的相关批文、预售许可证等相关证件，符合出售条件；</w:t>
      </w:r>
    </w:p>
    <w:p>
      <w:pPr>
        <w:spacing w:line="500" w:lineRule="exact"/>
        <w:ind w:firstLine="480" w:firstLineChars="200"/>
        <w:rPr>
          <w:rFonts w:ascii="宋体" w:hAnsi="宋体"/>
          <w:color w:val="FF0000"/>
          <w:sz w:val="24"/>
          <w:szCs w:val="24"/>
        </w:rPr>
      </w:pPr>
      <w:r>
        <w:rPr>
          <w:rFonts w:hint="eastAsia" w:ascii="宋体" w:hAnsi="宋体"/>
          <w:color w:val="000000"/>
          <w:sz w:val="24"/>
          <w:szCs w:val="24"/>
        </w:rPr>
        <w:t>1.3商铺</w:t>
      </w:r>
      <w:r>
        <w:rPr>
          <w:rFonts w:ascii="宋体" w:hAnsi="宋体"/>
          <w:color w:val="000000"/>
          <w:sz w:val="24"/>
          <w:szCs w:val="24"/>
        </w:rPr>
        <w:t>、</w:t>
      </w:r>
      <w:r>
        <w:rPr>
          <w:rFonts w:hint="eastAsia" w:ascii="宋体" w:hAnsi="宋体"/>
          <w:color w:val="000000"/>
          <w:sz w:val="24"/>
          <w:szCs w:val="24"/>
        </w:rPr>
        <w:t>车位按现状销售，乙方在购买前已完成实地踏勘，同时对商铺</w:t>
      </w:r>
      <w:r>
        <w:rPr>
          <w:rFonts w:ascii="宋体" w:hAnsi="宋体"/>
          <w:color w:val="000000"/>
          <w:sz w:val="24"/>
          <w:szCs w:val="24"/>
        </w:rPr>
        <w:t>、</w:t>
      </w:r>
      <w:r>
        <w:rPr>
          <w:rFonts w:hint="eastAsia" w:ascii="宋体" w:hAnsi="宋体"/>
          <w:color w:val="000000"/>
          <w:sz w:val="24"/>
          <w:szCs w:val="24"/>
        </w:rPr>
        <w:t>车位构造及相关规定以及周边市政道路等设施施工情况也充分了解，对商铺</w:t>
      </w:r>
      <w:r>
        <w:rPr>
          <w:rFonts w:ascii="宋体" w:hAnsi="宋体"/>
          <w:color w:val="000000"/>
          <w:sz w:val="24"/>
          <w:szCs w:val="24"/>
        </w:rPr>
        <w:t>、</w:t>
      </w:r>
      <w:r>
        <w:rPr>
          <w:rFonts w:hint="eastAsia" w:ascii="宋体" w:hAnsi="宋体"/>
          <w:color w:val="000000"/>
          <w:sz w:val="24"/>
          <w:szCs w:val="24"/>
        </w:rPr>
        <w:t>车位现状</w:t>
      </w:r>
      <w:r>
        <w:rPr>
          <w:rFonts w:ascii="宋体" w:hAnsi="宋体"/>
          <w:color w:val="000000"/>
          <w:sz w:val="24"/>
          <w:szCs w:val="24"/>
        </w:rPr>
        <w:t>、</w:t>
      </w:r>
      <w:r>
        <w:rPr>
          <w:rFonts w:hint="eastAsia" w:ascii="宋体" w:hAnsi="宋体"/>
          <w:color w:val="000000"/>
          <w:sz w:val="24"/>
          <w:szCs w:val="24"/>
        </w:rPr>
        <w:t>构造及相关使用规定、出租情况无异议，同意按现状一次性打包购买上述标的物；网签备</w:t>
      </w:r>
      <w:r>
        <w:rPr>
          <w:rFonts w:hint="eastAsia" w:ascii="宋体" w:hAnsi="宋体"/>
          <w:color w:val="auto"/>
          <w:sz w:val="24"/>
          <w:szCs w:val="24"/>
        </w:rPr>
        <w:t>案版《商品房买卖合同》约定与本条款不一致的，以本条款约定为准。</w:t>
      </w:r>
      <w:r>
        <w:rPr>
          <w:rFonts w:hint="eastAsia" w:ascii="宋体" w:hAnsi="宋体"/>
          <w:color w:val="auto"/>
          <w:sz w:val="24"/>
          <w:szCs w:val="24"/>
          <w:lang w:eastAsia="zh-CN"/>
        </w:rPr>
        <w:t>乙方按本合同</w:t>
      </w:r>
      <w:r>
        <w:rPr>
          <w:rFonts w:hint="eastAsia" w:ascii="宋体" w:hAnsi="宋体"/>
          <w:color w:val="auto"/>
          <w:sz w:val="24"/>
          <w:szCs w:val="24"/>
          <w:lang w:val="en-US" w:eastAsia="zh-CN"/>
        </w:rPr>
        <w:t>6.3条将商铺/车位出售给第三方购买人的，</w:t>
      </w:r>
      <w:r>
        <w:rPr>
          <w:rFonts w:hint="eastAsia" w:ascii="宋体" w:hAnsi="宋体"/>
          <w:color w:val="auto"/>
          <w:sz w:val="24"/>
          <w:szCs w:val="24"/>
        </w:rPr>
        <w:t>乙方应当将商铺</w:t>
      </w:r>
      <w:r>
        <w:rPr>
          <w:rFonts w:ascii="宋体" w:hAnsi="宋体"/>
          <w:color w:val="auto"/>
          <w:sz w:val="24"/>
          <w:szCs w:val="24"/>
        </w:rPr>
        <w:t>、</w:t>
      </w:r>
      <w:r>
        <w:rPr>
          <w:rFonts w:hint="eastAsia" w:ascii="宋体" w:hAnsi="宋体"/>
          <w:color w:val="auto"/>
          <w:sz w:val="24"/>
          <w:szCs w:val="24"/>
        </w:rPr>
        <w:t>车位现状如实告知第三方，如果乙方未如实披露上述情况，导致第三方向甲方索赔的</w:t>
      </w:r>
      <w:r>
        <w:rPr>
          <w:rFonts w:hint="eastAsia" w:ascii="宋体" w:hAnsi="宋体"/>
          <w:color w:val="000000"/>
          <w:sz w:val="24"/>
          <w:szCs w:val="24"/>
        </w:rPr>
        <w:t>或者追究责任的，甲方有权向乙方追偿全部损失。</w:t>
      </w:r>
    </w:p>
    <w:p>
      <w:pPr>
        <w:spacing w:line="500" w:lineRule="exact"/>
        <w:ind w:firstLine="480" w:firstLineChars="200"/>
        <w:rPr>
          <w:rFonts w:ascii="宋体" w:hAnsi="宋体"/>
          <w:color w:val="000000"/>
          <w:sz w:val="24"/>
          <w:szCs w:val="24"/>
        </w:rPr>
      </w:pPr>
      <w:r>
        <w:rPr>
          <w:sz w:val="24"/>
        </w:rPr>
        <w:drawing>
          <wp:anchor distT="0" distB="0" distL="114300" distR="114300" simplePos="0" relativeHeight="251659264" behindDoc="0" locked="0" layoutInCell="1" allowOverlap="1">
            <wp:simplePos x="0" y="0"/>
            <wp:positionH relativeFrom="column">
              <wp:posOffset>832485</wp:posOffset>
            </wp:positionH>
            <wp:positionV relativeFrom="paragraph">
              <wp:posOffset>183515</wp:posOffset>
            </wp:positionV>
            <wp:extent cx="635" cy="635"/>
            <wp:effectExtent l="0" t="0" r="0" b="0"/>
            <wp:wrapNone/>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5"/>
                    <a:stretch>
                      <a:fillRect/>
                    </a:stretch>
                  </pic:blipFill>
                  <pic:spPr>
                    <a:xfrm>
                      <a:off x="0" y="0"/>
                      <a:ext cx="635" cy="635"/>
                    </a:xfrm>
                    <a:prstGeom prst="rect">
                      <a:avLst/>
                    </a:prstGeom>
                    <a:noFill/>
                    <a:ln>
                      <a:noFill/>
                    </a:ln>
                  </pic:spPr>
                </pic:pic>
              </a:graphicData>
            </a:graphic>
          </wp:anchor>
        </w:drawing>
      </w:r>
      <w:r>
        <w:rPr>
          <w:rFonts w:hint="eastAsia" w:ascii="宋体" w:hAnsi="宋体"/>
          <w:color w:val="000000"/>
          <w:sz w:val="24"/>
          <w:szCs w:val="24"/>
        </w:rPr>
        <w:t>1.4本合同涉及的具体释义，双方完全理解和认可，均无异议。</w:t>
      </w:r>
    </w:p>
    <w:p>
      <w:pPr>
        <w:autoSpaceDE w:val="0"/>
        <w:autoSpaceDN w:val="0"/>
        <w:spacing w:line="560" w:lineRule="exact"/>
        <w:ind w:right="3545" w:firstLine="482" w:firstLineChars="200"/>
        <w:rPr>
          <w:rFonts w:ascii="宋体" w:hAnsi="宋体"/>
          <w:color w:val="000000"/>
          <w:sz w:val="24"/>
          <w:szCs w:val="24"/>
        </w:rPr>
      </w:pPr>
      <w:r>
        <w:rPr>
          <w:rFonts w:hint="eastAsia" w:ascii="宋体" w:hAnsi="宋体"/>
          <w:b/>
          <w:color w:val="000000"/>
          <w:sz w:val="24"/>
          <w:szCs w:val="24"/>
        </w:rPr>
        <w:t xml:space="preserve">第二条  </w:t>
      </w:r>
      <w:r>
        <w:rPr>
          <w:b/>
          <w:color w:val="000000"/>
          <w:sz w:val="24"/>
        </w:rPr>
        <w:t>销售依据</w:t>
      </w:r>
    </w:p>
    <w:p>
      <w:pPr>
        <w:pStyle w:val="21"/>
        <w:tabs>
          <w:tab w:val="left" w:pos="962"/>
          <w:tab w:val="left" w:pos="2278"/>
          <w:tab w:val="left" w:pos="2574"/>
          <w:tab w:val="left" w:pos="4832"/>
          <w:tab w:val="left" w:pos="5925"/>
          <w:tab w:val="left" w:pos="6119"/>
          <w:tab w:val="left" w:pos="7747"/>
          <w:tab w:val="left" w:pos="8227"/>
        </w:tabs>
        <w:autoSpaceDE w:val="0"/>
        <w:autoSpaceDN w:val="0"/>
        <w:spacing w:line="560" w:lineRule="exact"/>
        <w:ind w:left="0" w:right="227" w:firstLineChars="200"/>
        <w:rPr>
          <w:color w:val="000000"/>
          <w:sz w:val="24"/>
          <w:szCs w:val="24"/>
          <w:lang w:val="en-US" w:bidi="ar-SA"/>
        </w:rPr>
      </w:pPr>
      <w:r>
        <w:rPr>
          <w:rFonts w:hint="eastAsia"/>
          <w:sz w:val="24"/>
          <w:lang w:val="en-US"/>
        </w:rPr>
        <w:t>2</w:t>
      </w:r>
      <w:r>
        <w:rPr>
          <w:rFonts w:hint="eastAsia"/>
          <w:color w:val="000000"/>
          <w:sz w:val="24"/>
          <w:szCs w:val="24"/>
          <w:lang w:val="en-US" w:bidi="ar-SA"/>
        </w:rPr>
        <w:t>.1 甲方以出让方式取得坐落于北苑街道雪峰西路南侧商服地块（嘉美广场）的建设用地使用权。该地块不动产权证号：浙（2018）义乌市不动产权第002184。乙方购买的标的物所占用的土地用途为</w:t>
      </w:r>
      <w:bookmarkStart w:id="3" w:name="_GoBack"/>
      <w:bookmarkEnd w:id="3"/>
      <w:r>
        <w:rPr>
          <w:rFonts w:hint="eastAsia"/>
          <w:color w:val="000000"/>
          <w:sz w:val="24"/>
          <w:szCs w:val="24"/>
          <w:lang w:val="en-US" w:bidi="ar-SA"/>
        </w:rPr>
        <w:t>商服</w:t>
      </w:r>
      <w:r>
        <w:rPr>
          <w:rFonts w:hint="eastAsia"/>
          <w:color w:val="000000"/>
          <w:sz w:val="24"/>
          <w:szCs w:val="24"/>
          <w:lang w:val="en-US" w:eastAsia="zh-CN" w:bidi="ar-SA"/>
        </w:rPr>
        <w:t>、住宅</w:t>
      </w:r>
      <w:r>
        <w:rPr>
          <w:rFonts w:hint="eastAsia"/>
          <w:color w:val="000000"/>
          <w:sz w:val="24"/>
          <w:szCs w:val="24"/>
          <w:lang w:val="en-US" w:bidi="ar-SA"/>
        </w:rPr>
        <w:t>用地，土地使用权终止日期为2057年12月24日 。</w:t>
      </w:r>
    </w:p>
    <w:p>
      <w:pPr>
        <w:pStyle w:val="21"/>
        <w:tabs>
          <w:tab w:val="left" w:pos="962"/>
          <w:tab w:val="left" w:pos="2278"/>
          <w:tab w:val="left" w:pos="2574"/>
          <w:tab w:val="left" w:pos="4832"/>
          <w:tab w:val="left" w:pos="5925"/>
          <w:tab w:val="left" w:pos="6119"/>
          <w:tab w:val="left" w:pos="7747"/>
          <w:tab w:val="left" w:pos="8227"/>
        </w:tabs>
        <w:autoSpaceDE w:val="0"/>
        <w:autoSpaceDN w:val="0"/>
        <w:spacing w:line="560" w:lineRule="exact"/>
        <w:ind w:left="0" w:right="227" w:firstLineChars="200"/>
        <w:rPr>
          <w:color w:val="000000"/>
          <w:sz w:val="24"/>
          <w:szCs w:val="24"/>
          <w:lang w:val="en-US" w:bidi="ar-SA"/>
        </w:rPr>
      </w:pPr>
      <w:r>
        <w:rPr>
          <w:rFonts w:hint="eastAsia"/>
          <w:sz w:val="24"/>
          <w:lang w:val="en-US"/>
        </w:rPr>
        <w:t>2</w:t>
      </w:r>
      <w:r>
        <w:rPr>
          <w:rFonts w:hint="eastAsia"/>
          <w:color w:val="000000"/>
          <w:sz w:val="24"/>
          <w:szCs w:val="24"/>
          <w:lang w:val="en-US" w:bidi="ar-SA"/>
        </w:rPr>
        <w:t>.2 乙方购买的商铺为现售商品房，预售商品房批准机关为义乌市住建局，预售许可证号为义售许字（2019）0011号/义售许字（2019）0036号。</w:t>
      </w:r>
    </w:p>
    <w:p>
      <w:pPr>
        <w:spacing w:line="500" w:lineRule="exact"/>
        <w:ind w:firstLine="482" w:firstLineChars="200"/>
        <w:rPr>
          <w:rFonts w:ascii="宋体" w:hAnsi="宋体"/>
          <w:b/>
          <w:color w:val="000000"/>
          <w:sz w:val="24"/>
          <w:szCs w:val="24"/>
        </w:rPr>
      </w:pPr>
      <w:r>
        <w:rPr>
          <w:rFonts w:hint="eastAsia" w:ascii="宋体" w:hAnsi="宋体"/>
          <w:b/>
          <w:color w:val="000000"/>
          <w:sz w:val="24"/>
          <w:szCs w:val="24"/>
        </w:rPr>
        <w:t>第三条 合同价款</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本合同约定的</w:t>
      </w:r>
      <w:r>
        <w:rPr>
          <w:rFonts w:hint="eastAsia" w:ascii="宋体" w:hAnsi="宋体"/>
          <w:color w:val="000000"/>
          <w:sz w:val="24"/>
          <w:szCs w:val="24"/>
          <w:u w:val="single"/>
        </w:rPr>
        <w:t xml:space="preserve">57 </w:t>
      </w:r>
      <w:r>
        <w:rPr>
          <w:rFonts w:hint="eastAsia" w:ascii="宋体" w:hAnsi="宋体"/>
          <w:color w:val="000000"/>
          <w:sz w:val="24"/>
          <w:szCs w:val="24"/>
        </w:rPr>
        <w:t>间商铺、</w:t>
      </w:r>
      <w:r>
        <w:rPr>
          <w:rFonts w:hint="eastAsia" w:ascii="宋体" w:hAnsi="宋体"/>
          <w:color w:val="000000"/>
          <w:sz w:val="24"/>
          <w:szCs w:val="24"/>
          <w:u w:val="single"/>
        </w:rPr>
        <w:t xml:space="preserve"> 288 </w:t>
      </w:r>
      <w:r>
        <w:rPr>
          <w:rFonts w:hint="eastAsia" w:ascii="宋体" w:hAnsi="宋体"/>
          <w:color w:val="000000"/>
          <w:sz w:val="24"/>
          <w:szCs w:val="24"/>
        </w:rPr>
        <w:t>个车位总价款为人民币万元 （大写：【】元），其中商铺万元，商铺单价元/㎡，车位万元，车位单价万元/个。由本合同产生的税费自理。</w:t>
      </w:r>
    </w:p>
    <w:p>
      <w:pPr>
        <w:numPr>
          <w:ilvl w:val="255"/>
          <w:numId w:val="0"/>
        </w:numPr>
        <w:spacing w:line="500" w:lineRule="exact"/>
        <w:ind w:firstLine="482" w:firstLineChars="200"/>
        <w:rPr>
          <w:rFonts w:ascii="宋体" w:hAnsi="宋体"/>
          <w:b/>
          <w:color w:val="000000"/>
          <w:sz w:val="24"/>
          <w:szCs w:val="24"/>
        </w:rPr>
      </w:pPr>
      <w:r>
        <w:rPr>
          <w:rFonts w:hint="eastAsia" w:ascii="宋体" w:hAnsi="宋体"/>
          <w:b/>
          <w:color w:val="000000"/>
          <w:sz w:val="24"/>
          <w:szCs w:val="24"/>
        </w:rPr>
        <w:t>第四条付款方式及期限</w:t>
      </w:r>
    </w:p>
    <w:p>
      <w:pPr>
        <w:spacing w:line="500" w:lineRule="exact"/>
        <w:ind w:firstLine="482" w:firstLineChars="200"/>
        <w:rPr>
          <w:rFonts w:ascii="宋体" w:hAnsi="宋体"/>
          <w:b/>
          <w:color w:val="000000"/>
          <w:sz w:val="24"/>
          <w:szCs w:val="24"/>
        </w:rPr>
      </w:pPr>
      <w:r>
        <w:rPr>
          <w:rFonts w:hint="eastAsia" w:ascii="宋体" w:hAnsi="宋体"/>
          <w:b/>
          <w:color w:val="000000"/>
          <w:sz w:val="24"/>
          <w:szCs w:val="24"/>
        </w:rPr>
        <w:t xml:space="preserve">4.1 </w:t>
      </w:r>
      <w:r>
        <w:rPr>
          <w:rFonts w:hint="eastAsia" w:ascii="宋体" w:hAnsi="宋体"/>
          <w:b/>
          <w:color w:val="000000"/>
          <w:sz w:val="24"/>
          <w:szCs w:val="24"/>
          <w:lang w:eastAsia="zh-CN"/>
        </w:rPr>
        <w:t>本合同款项</w:t>
      </w:r>
      <w:r>
        <w:rPr>
          <w:rFonts w:hint="eastAsia" w:ascii="宋体" w:hAnsi="宋体"/>
          <w:b/>
          <w:color w:val="000000"/>
          <w:sz w:val="24"/>
          <w:szCs w:val="24"/>
        </w:rPr>
        <w:t>分三个阶段进行支付：</w:t>
      </w:r>
    </w:p>
    <w:p>
      <w:pPr>
        <w:spacing w:line="500" w:lineRule="exact"/>
        <w:ind w:firstLine="482" w:firstLineChars="200"/>
        <w:rPr>
          <w:rFonts w:ascii="宋体" w:hAnsi="宋体"/>
          <w:color w:val="000000"/>
          <w:sz w:val="24"/>
          <w:szCs w:val="24"/>
          <w:u w:val="single"/>
        </w:rPr>
      </w:pPr>
      <w:r>
        <w:rPr>
          <w:rFonts w:hint="eastAsia" w:ascii="宋体" w:hAnsi="宋体"/>
          <w:b/>
          <w:color w:val="000000"/>
          <w:sz w:val="24"/>
          <w:szCs w:val="24"/>
        </w:rPr>
        <w:t>第一阶段：</w:t>
      </w:r>
      <w:r>
        <w:rPr>
          <w:rFonts w:hint="eastAsia" w:ascii="宋体" w:hAnsi="宋体"/>
          <w:color w:val="000000"/>
          <w:sz w:val="24"/>
          <w:szCs w:val="24"/>
        </w:rPr>
        <w:t>签订本</w:t>
      </w:r>
      <w:r>
        <w:rPr>
          <w:rFonts w:hint="eastAsia" w:ascii="宋体" w:hAnsi="宋体"/>
          <w:color w:val="000000"/>
          <w:sz w:val="24"/>
          <w:szCs w:val="24"/>
          <w:lang w:eastAsia="zh-CN"/>
        </w:rPr>
        <w:t>合同</w:t>
      </w:r>
      <w:r>
        <w:rPr>
          <w:rFonts w:hint="eastAsia" w:ascii="宋体" w:hAnsi="宋体"/>
          <w:color w:val="000000"/>
          <w:sz w:val="24"/>
          <w:szCs w:val="24"/>
        </w:rPr>
        <w:t>前支付标的物总价款的30%（即支付至每单间商铺与单个车位成交价的30%），即人民币     万元；</w:t>
      </w:r>
    </w:p>
    <w:p>
      <w:pPr>
        <w:spacing w:line="500" w:lineRule="exact"/>
        <w:ind w:firstLine="482" w:firstLineChars="200"/>
        <w:rPr>
          <w:rFonts w:ascii="宋体" w:hAnsi="宋体"/>
          <w:color w:val="000000"/>
          <w:sz w:val="24"/>
          <w:szCs w:val="24"/>
        </w:rPr>
      </w:pPr>
      <w:r>
        <w:rPr>
          <w:rFonts w:hint="eastAsia" w:ascii="宋体" w:hAnsi="宋体"/>
          <w:b/>
          <w:color w:val="000000"/>
          <w:sz w:val="24"/>
          <w:szCs w:val="24"/>
        </w:rPr>
        <w:t>第二阶段：2023年10月31日前，乙方支付</w:t>
      </w:r>
      <w:r>
        <w:rPr>
          <w:rFonts w:hint="eastAsia" w:ascii="宋体" w:hAnsi="宋体"/>
          <w:b/>
          <w:color w:val="000000"/>
          <w:sz w:val="24"/>
          <w:szCs w:val="24"/>
          <w:lang w:eastAsia="zh-CN"/>
        </w:rPr>
        <w:t>至</w:t>
      </w:r>
      <w:r>
        <w:rPr>
          <w:rFonts w:hint="eastAsia" w:ascii="宋体" w:hAnsi="宋体"/>
          <w:b/>
          <w:color w:val="000000"/>
          <w:sz w:val="24"/>
          <w:szCs w:val="24"/>
        </w:rPr>
        <w:t>标的物总价款的80%</w:t>
      </w:r>
      <w:r>
        <w:rPr>
          <w:rFonts w:hint="eastAsia" w:ascii="宋体" w:hAnsi="宋体"/>
          <w:color w:val="000000"/>
          <w:sz w:val="24"/>
          <w:szCs w:val="24"/>
        </w:rPr>
        <w:t>（即支付至每单间商铺与单个车位成交价的80%），即人民币     万元；</w:t>
      </w:r>
    </w:p>
    <w:p>
      <w:pPr>
        <w:spacing w:line="500" w:lineRule="exact"/>
        <w:ind w:firstLine="482" w:firstLineChars="200"/>
        <w:rPr>
          <w:rFonts w:hint="eastAsia" w:ascii="宋体" w:hAnsi="宋体"/>
          <w:color w:val="000000"/>
          <w:sz w:val="24"/>
          <w:szCs w:val="24"/>
        </w:rPr>
      </w:pPr>
      <w:r>
        <w:rPr>
          <w:rFonts w:hint="eastAsia" w:ascii="宋体" w:hAnsi="宋体"/>
          <w:b/>
          <w:color w:val="000000"/>
          <w:sz w:val="24"/>
          <w:szCs w:val="24"/>
        </w:rPr>
        <w:t>第三阶段：</w:t>
      </w:r>
      <w:r>
        <w:rPr>
          <w:rFonts w:hint="eastAsia" w:ascii="宋体" w:hAnsi="宋体"/>
          <w:color w:val="000000"/>
          <w:sz w:val="24"/>
          <w:szCs w:val="24"/>
        </w:rPr>
        <w:t>2023年12月25日前付清所有款项（即支付至每单间商铺与单个车位成交价的100%），即人民币万元。</w:t>
      </w:r>
    </w:p>
    <w:p>
      <w:pPr>
        <w:pStyle w:val="2"/>
        <w:rPr>
          <w:rFonts w:hint="eastAsia" w:hAnsi="宋体"/>
          <w:color w:val="000000"/>
          <w:sz w:val="24"/>
          <w:szCs w:val="24"/>
          <w:highlight w:val="none"/>
          <w:lang w:eastAsia="zh-CN"/>
        </w:rPr>
      </w:pPr>
      <w:r>
        <w:rPr>
          <w:rFonts w:hint="eastAsia" w:hAnsi="宋体"/>
          <w:b/>
          <w:bCs/>
          <w:color w:val="000000"/>
          <w:sz w:val="24"/>
          <w:szCs w:val="24"/>
          <w:lang w:val="en-US" w:eastAsia="zh-CN"/>
        </w:rPr>
        <w:t>4.2</w:t>
      </w:r>
      <w:r>
        <w:rPr>
          <w:rFonts w:hint="eastAsia" w:hAnsi="宋体"/>
          <w:color w:val="000000"/>
          <w:sz w:val="24"/>
          <w:szCs w:val="24"/>
          <w:lang w:val="en-US" w:eastAsia="zh-CN"/>
        </w:rPr>
        <w:t xml:space="preserve"> </w:t>
      </w:r>
      <w:r>
        <w:rPr>
          <w:rFonts w:hint="eastAsia" w:hAnsi="宋体"/>
          <w:color w:val="000000"/>
          <w:sz w:val="24"/>
          <w:szCs w:val="24"/>
          <w:highlight w:val="none"/>
          <w:lang w:eastAsia="zh-CN"/>
        </w:rPr>
        <w:t>如乙方要求甲方协助办理网签办证的，乙方应付清该单间商铺全款后方可办理。</w:t>
      </w:r>
    </w:p>
    <w:p>
      <w:pPr>
        <w:pStyle w:val="2"/>
        <w:rPr>
          <w:rFonts w:hint="default" w:eastAsia="宋体"/>
          <w:lang w:val="en-US" w:eastAsia="zh-CN"/>
        </w:rPr>
      </w:pPr>
      <w:r>
        <w:rPr>
          <w:rFonts w:hint="eastAsia" w:hAnsi="宋体"/>
          <w:b/>
          <w:bCs/>
          <w:color w:val="000000"/>
          <w:sz w:val="24"/>
          <w:szCs w:val="24"/>
          <w:highlight w:val="none"/>
          <w:lang w:val="en-US" w:eastAsia="zh-CN"/>
        </w:rPr>
        <w:t>4.3</w:t>
      </w:r>
      <w:r>
        <w:rPr>
          <w:rFonts w:hint="eastAsia" w:hAnsi="宋体"/>
          <w:color w:val="000000"/>
          <w:sz w:val="24"/>
          <w:szCs w:val="24"/>
          <w:highlight w:val="none"/>
          <w:lang w:val="en-US" w:eastAsia="zh-CN"/>
        </w:rPr>
        <w:t xml:space="preserve"> 乙方完成第一阶段付款后，如要求</w:t>
      </w:r>
      <w:r>
        <w:rPr>
          <w:rFonts w:hint="eastAsia" w:hAnsi="宋体"/>
          <w:color w:val="000000"/>
          <w:sz w:val="24"/>
          <w:szCs w:val="24"/>
          <w:highlight w:val="none"/>
          <w:lang w:eastAsia="zh-CN"/>
        </w:rPr>
        <w:t>提前交付商铺及车位的（按本协议约定作销售展厅使用的商铺除外），对该部分商铺及车位，乙方应当在下一付款阶段付款时按成交价的100%支付。</w:t>
      </w:r>
    </w:p>
    <w:p>
      <w:pPr>
        <w:spacing w:line="500" w:lineRule="exact"/>
        <w:ind w:firstLine="482" w:firstLineChars="200"/>
        <w:rPr>
          <w:rFonts w:ascii="宋体" w:hAnsi="宋体"/>
          <w:b/>
          <w:color w:val="000000"/>
          <w:sz w:val="24"/>
          <w:szCs w:val="24"/>
        </w:rPr>
      </w:pPr>
      <w:r>
        <w:rPr>
          <w:rFonts w:hint="eastAsia" w:ascii="宋体" w:hAnsi="宋体"/>
          <w:b/>
          <w:color w:val="000000"/>
          <w:sz w:val="24"/>
          <w:szCs w:val="24"/>
        </w:rPr>
        <w:t>4.</w:t>
      </w:r>
      <w:r>
        <w:rPr>
          <w:rFonts w:hint="eastAsia" w:ascii="宋体" w:hAnsi="宋体"/>
          <w:b/>
          <w:color w:val="000000"/>
          <w:sz w:val="24"/>
          <w:szCs w:val="24"/>
          <w:lang w:val="en-US" w:eastAsia="zh-CN"/>
        </w:rPr>
        <w:t>4</w:t>
      </w:r>
      <w:r>
        <w:rPr>
          <w:rFonts w:hint="eastAsia" w:ascii="宋体" w:hAnsi="宋体"/>
          <w:b/>
          <w:color w:val="000000"/>
          <w:sz w:val="24"/>
          <w:szCs w:val="24"/>
        </w:rPr>
        <w:t xml:space="preserve"> 延期付款的约定：</w:t>
      </w:r>
    </w:p>
    <w:p>
      <w:pPr>
        <w:spacing w:line="500" w:lineRule="exact"/>
        <w:ind w:firstLine="480" w:firstLineChars="200"/>
        <w:rPr>
          <w:rFonts w:ascii="宋体" w:hAnsi="宋体"/>
          <w:color w:val="auto"/>
          <w:sz w:val="24"/>
          <w:szCs w:val="24"/>
          <w:highlight w:val="none"/>
        </w:rPr>
      </w:pPr>
      <w:r>
        <w:rPr>
          <w:rFonts w:hint="eastAsia" w:ascii="宋体" w:hAnsi="宋体"/>
          <w:color w:val="000000"/>
          <w:sz w:val="24"/>
          <w:szCs w:val="24"/>
          <w:highlight w:val="none"/>
        </w:rPr>
        <w:t>考虑到本项目标的较大，乙方在第二阶段实际付款过程中如筹措资金需延期付款的，可以书面形</w:t>
      </w:r>
      <w:r>
        <w:rPr>
          <w:rFonts w:hint="eastAsia" w:ascii="宋体" w:hAnsi="宋体"/>
          <w:color w:val="auto"/>
          <w:sz w:val="24"/>
          <w:szCs w:val="24"/>
          <w:highlight w:val="none"/>
        </w:rPr>
        <w:t>式进行申请，甲方收到书面申请后予以延期，但最长不得超过45日历天，其他付款阶段不得延期，否则视为乙方违约。乙方延期付款的，乙方应以本期应付款项按同期银行贷款利率（年利率）按日计算利息支付给甲方。</w:t>
      </w:r>
    </w:p>
    <w:p>
      <w:pPr>
        <w:spacing w:line="500" w:lineRule="exact"/>
        <w:ind w:firstLine="482" w:firstLineChars="200"/>
        <w:rPr>
          <w:rFonts w:ascii="宋体" w:hAnsi="宋体"/>
          <w:b/>
          <w:color w:val="auto"/>
          <w:sz w:val="24"/>
          <w:szCs w:val="24"/>
          <w:highlight w:val="none"/>
        </w:rPr>
      </w:pPr>
      <w:r>
        <w:rPr>
          <w:rFonts w:hint="eastAsia" w:ascii="宋体" w:hAnsi="宋体"/>
          <w:b/>
          <w:color w:val="auto"/>
          <w:sz w:val="24"/>
          <w:szCs w:val="24"/>
          <w:highlight w:val="none"/>
        </w:rPr>
        <w:t>第五条 租赁情况</w:t>
      </w:r>
    </w:p>
    <w:p>
      <w:pPr>
        <w:autoSpaceDE w:val="0"/>
        <w:autoSpaceDN w:val="0"/>
        <w:spacing w:line="560" w:lineRule="exact"/>
        <w:ind w:firstLine="480" w:firstLineChars="200"/>
        <w:rPr>
          <w:rFonts w:ascii="宋体" w:hAnsi="宋体"/>
          <w:color w:val="000000"/>
          <w:sz w:val="24"/>
          <w:szCs w:val="24"/>
        </w:rPr>
      </w:pPr>
      <w:r>
        <w:rPr>
          <w:rFonts w:hint="eastAsia" w:ascii="宋体" w:hAnsi="宋体"/>
          <w:color w:val="auto"/>
          <w:sz w:val="24"/>
          <w:szCs w:val="24"/>
          <w:highlight w:val="none"/>
        </w:rPr>
        <w:t>本项目中有部分商铺已出租，租赁商铺不动产权证办理</w:t>
      </w:r>
      <w:r>
        <w:rPr>
          <w:rFonts w:hint="eastAsia" w:ascii="宋体" w:hAnsi="宋体"/>
          <w:color w:val="000000"/>
          <w:sz w:val="24"/>
          <w:szCs w:val="24"/>
          <w:highlight w:val="none"/>
        </w:rPr>
        <w:t>前上述租赁商铺租金收益归甲方所有，租赁商铺不动产权证办理后，如该租赁商铺租期未到期，则租赁商铺剩余租期的租金收益归乙方所有（如产权人为不同主体的，按建筑面积进行租金收取和分配），乙方须概括受让甲方与租户签订的租赁协议，享有并承担</w:t>
      </w:r>
      <w:r>
        <w:rPr>
          <w:rFonts w:hint="eastAsia" w:ascii="宋体" w:hAnsi="宋体"/>
          <w:color w:val="000000"/>
          <w:sz w:val="24"/>
          <w:szCs w:val="24"/>
        </w:rPr>
        <w:t>租赁协议约定的权利及义务。具体内容详见附件三《嘉美广场出租商铺明细表》。</w:t>
      </w:r>
    </w:p>
    <w:p>
      <w:pPr>
        <w:spacing w:line="500" w:lineRule="exact"/>
        <w:ind w:firstLine="482" w:firstLineChars="200"/>
        <w:rPr>
          <w:rFonts w:ascii="宋体" w:hAnsi="宋体"/>
          <w:b/>
          <w:color w:val="000000"/>
          <w:sz w:val="24"/>
          <w:szCs w:val="24"/>
        </w:rPr>
      </w:pPr>
      <w:r>
        <w:rPr>
          <w:rFonts w:hint="eastAsia" w:ascii="宋体" w:hAnsi="宋体"/>
          <w:b/>
          <w:color w:val="000000"/>
          <w:sz w:val="24"/>
          <w:szCs w:val="24"/>
        </w:rPr>
        <w:t>第六条  权利和义务</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6.1甲方向乙方提供本项目相关背景资料，保证资料的真实合法性，保证拥有标的物的合法处置权。</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6.2甲方配合办理网签及权属证书办理等工作并授权专人与乙方联络并全权负责《商品房买卖合同》签订、办理网签手续和不动产权证等相关手续，以保证双方沟通协调和手续办理。</w:t>
      </w:r>
    </w:p>
    <w:p>
      <w:pPr>
        <w:pStyle w:val="2"/>
        <w:ind w:firstLine="464"/>
        <w:rPr>
          <w:color w:val="000000"/>
        </w:rPr>
      </w:pPr>
      <w:r>
        <w:rPr>
          <w:rFonts w:hint="eastAsia" w:hAnsi="宋体"/>
          <w:color w:val="000000"/>
          <w:szCs w:val="24"/>
        </w:rPr>
        <w:t>甲方人员名单：</w:t>
      </w:r>
    </w:p>
    <w:p>
      <w:pPr>
        <w:pStyle w:val="2"/>
        <w:ind w:firstLine="464"/>
        <w:rPr>
          <w:rFonts w:hAnsi="宋体"/>
          <w:color w:val="000000"/>
          <w:szCs w:val="24"/>
          <w:u w:val="single"/>
        </w:rPr>
      </w:pPr>
      <w:r>
        <w:rPr>
          <w:rFonts w:hint="eastAsia" w:hAnsi="宋体"/>
          <w:color w:val="000000"/>
          <w:szCs w:val="24"/>
        </w:rPr>
        <w:t>姓名电话</w:t>
      </w:r>
    </w:p>
    <w:p>
      <w:pPr>
        <w:pStyle w:val="2"/>
        <w:ind w:firstLine="464"/>
        <w:rPr>
          <w:rFonts w:hAnsi="宋体"/>
          <w:color w:val="000000"/>
          <w:szCs w:val="24"/>
          <w:u w:val="single"/>
        </w:rPr>
      </w:pPr>
      <w:r>
        <w:rPr>
          <w:rFonts w:hint="eastAsia" w:hAnsi="宋体"/>
          <w:color w:val="000000"/>
          <w:szCs w:val="24"/>
        </w:rPr>
        <w:t>姓名电话</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6.3乙方指定第三方购买人（以下简称“第三</w:t>
      </w:r>
      <w:r>
        <w:rPr>
          <w:rFonts w:hint="eastAsia" w:ascii="宋体" w:hAnsi="宋体"/>
          <w:color w:val="000000"/>
          <w:sz w:val="24"/>
          <w:szCs w:val="24"/>
          <w:highlight w:val="none"/>
        </w:rPr>
        <w:t>方”）</w:t>
      </w:r>
      <w:r>
        <w:rPr>
          <w:rFonts w:hint="eastAsia" w:ascii="宋体" w:hAnsi="宋体"/>
          <w:color w:val="000000"/>
          <w:sz w:val="24"/>
          <w:szCs w:val="24"/>
        </w:rPr>
        <w:t>，并负责第三方签约、办证、付款等相关权属手续办理，乙方对第三方的行为向甲方承担责任，如果第三方违约的，乙方承担连带保证责任，</w:t>
      </w:r>
      <w:r>
        <w:rPr>
          <w:rFonts w:hint="eastAsia" w:ascii="宋体" w:hAnsi="宋体"/>
          <w:color w:val="000000"/>
          <w:sz w:val="24"/>
          <w:szCs w:val="24"/>
          <w:lang w:eastAsia="zh-CN"/>
        </w:rPr>
        <w:t>保证</w:t>
      </w:r>
      <w:r>
        <w:rPr>
          <w:rFonts w:hint="eastAsia" w:ascii="宋体" w:hAnsi="宋体"/>
          <w:color w:val="000000"/>
          <w:sz w:val="24"/>
          <w:szCs w:val="24"/>
        </w:rPr>
        <w:t>期限为3年。</w:t>
      </w:r>
    </w:p>
    <w:p>
      <w:pPr>
        <w:spacing w:line="500" w:lineRule="exact"/>
        <w:ind w:firstLine="480" w:firstLineChars="200"/>
        <w:rPr>
          <w:rFonts w:ascii="宋体" w:hAnsi="宋体"/>
          <w:color w:val="000000"/>
          <w:sz w:val="24"/>
          <w:szCs w:val="24"/>
          <w:highlight w:val="none"/>
        </w:rPr>
      </w:pPr>
      <w:r>
        <w:rPr>
          <w:rFonts w:hint="eastAsia" w:ascii="宋体" w:hAnsi="宋体"/>
          <w:color w:val="000000"/>
          <w:sz w:val="24"/>
          <w:szCs w:val="24"/>
        </w:rPr>
        <w:t>6.3.1</w:t>
      </w:r>
      <w:r>
        <w:rPr>
          <w:rFonts w:hint="eastAsia" w:ascii="宋体" w:hAnsi="宋体"/>
          <w:color w:val="000000"/>
          <w:sz w:val="24"/>
          <w:szCs w:val="24"/>
          <w:lang w:eastAsia="zh-CN"/>
        </w:rPr>
        <w:t>基于乙方的自身要求，甲方同意，</w:t>
      </w:r>
      <w:r>
        <w:rPr>
          <w:rFonts w:hint="eastAsia" w:ascii="宋体" w:hAnsi="宋体"/>
          <w:color w:val="000000"/>
          <w:sz w:val="24"/>
          <w:szCs w:val="24"/>
        </w:rPr>
        <w:t>乙方在付清第一阶段款项后，才可指定第三方</w:t>
      </w:r>
      <w:r>
        <w:rPr>
          <w:rFonts w:hint="eastAsia" w:ascii="宋体" w:hAnsi="宋体"/>
          <w:color w:val="000000"/>
          <w:sz w:val="24"/>
          <w:szCs w:val="24"/>
          <w:lang w:eastAsia="zh-CN"/>
        </w:rPr>
        <w:t>与</w:t>
      </w:r>
      <w:r>
        <w:rPr>
          <w:rFonts w:hint="eastAsia" w:ascii="宋体" w:hAnsi="宋体"/>
          <w:color w:val="000000"/>
          <w:sz w:val="24"/>
          <w:szCs w:val="24"/>
        </w:rPr>
        <w:t>甲方</w:t>
      </w:r>
      <w:r>
        <w:rPr>
          <w:rFonts w:hint="eastAsia" w:ascii="宋体" w:hAnsi="宋体"/>
          <w:color w:val="000000"/>
          <w:sz w:val="24"/>
          <w:szCs w:val="24"/>
          <w:lang w:eastAsia="zh-CN"/>
        </w:rPr>
        <w:t>逐间</w:t>
      </w:r>
      <w:r>
        <w:rPr>
          <w:rFonts w:hint="eastAsia" w:ascii="宋体" w:hAnsi="宋体"/>
          <w:color w:val="000000"/>
          <w:sz w:val="24"/>
          <w:szCs w:val="24"/>
          <w:lang w:val="en-US" w:eastAsia="zh-CN"/>
        </w:rPr>
        <w:t>/个签订《商品房买卖合同》及其他相关签约文件（以下简称：签约文件）</w:t>
      </w:r>
      <w:r>
        <w:rPr>
          <w:rFonts w:hint="eastAsia" w:ascii="宋体" w:hAnsi="宋体"/>
          <w:color w:val="000000"/>
          <w:sz w:val="24"/>
          <w:szCs w:val="24"/>
          <w:highlight w:val="none"/>
        </w:rPr>
        <w:t>，但该商铺及车位网签及备案等手续须待相应单间商铺及车位全部款项如期付清后方可办理。本合同所有商铺及车位乙方必须在2024年12月31日前完成网签及备案，对于乙方</w:t>
      </w:r>
      <w:r>
        <w:rPr>
          <w:rFonts w:hint="eastAsia" w:ascii="宋体" w:hAnsi="宋体"/>
          <w:color w:val="000000"/>
          <w:sz w:val="24"/>
          <w:szCs w:val="24"/>
          <w:highlight w:val="none"/>
          <w:lang w:eastAsia="zh-CN"/>
        </w:rPr>
        <w:t>未指定</w:t>
      </w:r>
      <w:r>
        <w:rPr>
          <w:rFonts w:hint="eastAsia" w:ascii="宋体" w:hAnsi="宋体"/>
          <w:color w:val="000000"/>
          <w:sz w:val="24"/>
          <w:szCs w:val="24"/>
          <w:highlight w:val="none"/>
        </w:rPr>
        <w:t>第三方</w:t>
      </w:r>
      <w:r>
        <w:rPr>
          <w:rFonts w:hint="eastAsia" w:ascii="宋体" w:hAnsi="宋体"/>
          <w:color w:val="000000"/>
          <w:sz w:val="24"/>
          <w:szCs w:val="24"/>
          <w:highlight w:val="none"/>
          <w:lang w:eastAsia="zh-CN"/>
        </w:rPr>
        <w:t>与甲方签订签约文件的</w:t>
      </w:r>
      <w:r>
        <w:rPr>
          <w:rFonts w:hint="eastAsia" w:ascii="宋体" w:hAnsi="宋体"/>
          <w:color w:val="000000"/>
          <w:sz w:val="24"/>
          <w:szCs w:val="24"/>
          <w:highlight w:val="none"/>
        </w:rPr>
        <w:t>商铺和车位，均办理至乙方名下（甲方收到全款为前提）。在此期间，如因网签政策</w:t>
      </w:r>
      <w:r>
        <w:rPr>
          <w:rFonts w:ascii="宋体" w:hAnsi="宋体"/>
          <w:color w:val="000000"/>
          <w:sz w:val="24"/>
          <w:szCs w:val="24"/>
          <w:highlight w:val="none"/>
        </w:rPr>
        <w:t>、</w:t>
      </w:r>
      <w:r>
        <w:rPr>
          <w:rFonts w:hint="eastAsia" w:ascii="宋体" w:hAnsi="宋体"/>
          <w:color w:val="000000"/>
          <w:sz w:val="24"/>
          <w:szCs w:val="24"/>
          <w:highlight w:val="none"/>
        </w:rPr>
        <w:t>税务政策发生变化的，由乙方承担相应责任。</w:t>
      </w:r>
    </w:p>
    <w:p>
      <w:pPr>
        <w:pStyle w:val="2"/>
        <w:ind w:firstLine="464"/>
        <w:rPr>
          <w:rFonts w:hAnsi="宋体" w:cs="宋体"/>
          <w:color w:val="000000"/>
          <w:szCs w:val="24"/>
          <w:highlight w:val="none"/>
        </w:rPr>
      </w:pPr>
      <w:r>
        <w:rPr>
          <w:rFonts w:hint="eastAsia" w:hAnsi="宋体"/>
          <w:color w:val="000000"/>
          <w:szCs w:val="24"/>
          <w:highlight w:val="none"/>
        </w:rPr>
        <w:t>6.3</w:t>
      </w:r>
      <w:r>
        <w:rPr>
          <w:rFonts w:hint="eastAsia" w:hAnsi="宋体" w:cs="宋体"/>
          <w:color w:val="000000"/>
          <w:szCs w:val="24"/>
          <w:highlight w:val="none"/>
        </w:rPr>
        <w:t>.2甲方接受乙方一次性付款或按揭付款，具体方式在甲方与乙方或第三方签订的《商品房买卖合同》等</w:t>
      </w:r>
      <w:r>
        <w:rPr>
          <w:rFonts w:hint="eastAsia" w:hAnsi="宋体" w:cs="宋体"/>
          <w:color w:val="000000"/>
          <w:szCs w:val="24"/>
          <w:highlight w:val="none"/>
          <w:lang w:eastAsia="zh-CN"/>
        </w:rPr>
        <w:t>签约文件</w:t>
      </w:r>
      <w:r>
        <w:rPr>
          <w:rFonts w:hint="eastAsia" w:hAnsi="宋体" w:cs="宋体"/>
          <w:color w:val="000000"/>
          <w:szCs w:val="24"/>
          <w:highlight w:val="none"/>
        </w:rPr>
        <w:t>中进行约定，乙方</w:t>
      </w:r>
      <w:r>
        <w:rPr>
          <w:rFonts w:hint="eastAsia" w:hAnsi="宋体" w:cs="宋体"/>
          <w:color w:val="000000"/>
          <w:szCs w:val="24"/>
          <w:highlight w:val="none"/>
          <w:lang w:eastAsia="zh-CN"/>
        </w:rPr>
        <w:t>与</w:t>
      </w:r>
      <w:r>
        <w:rPr>
          <w:rFonts w:hint="eastAsia" w:hAnsi="宋体" w:cs="宋体"/>
          <w:color w:val="000000"/>
          <w:szCs w:val="24"/>
          <w:highlight w:val="none"/>
        </w:rPr>
        <w:t>第三方</w:t>
      </w:r>
      <w:r>
        <w:rPr>
          <w:rFonts w:hint="eastAsia" w:hAnsi="宋体" w:cs="宋体"/>
          <w:color w:val="000000"/>
          <w:szCs w:val="24"/>
          <w:highlight w:val="none"/>
          <w:lang w:eastAsia="zh-CN"/>
        </w:rPr>
        <w:t>就全部款项承担共同付款义务</w:t>
      </w:r>
      <w:r>
        <w:rPr>
          <w:rFonts w:hint="eastAsia" w:hAnsi="宋体" w:cs="宋体"/>
          <w:color w:val="000000"/>
          <w:szCs w:val="24"/>
          <w:highlight w:val="none"/>
        </w:rPr>
        <w:t>：</w:t>
      </w:r>
    </w:p>
    <w:p>
      <w:pPr>
        <w:pStyle w:val="2"/>
        <w:ind w:firstLine="464"/>
        <w:rPr>
          <w:rFonts w:hAnsi="宋体" w:cs="宋体"/>
          <w:color w:val="000000"/>
          <w:szCs w:val="24"/>
        </w:rPr>
      </w:pPr>
      <w:r>
        <w:rPr>
          <w:rFonts w:hint="eastAsia" w:hAnsi="宋体"/>
          <w:color w:val="000000"/>
          <w:szCs w:val="24"/>
        </w:rPr>
        <w:t>（1）</w:t>
      </w:r>
      <w:r>
        <w:rPr>
          <w:rFonts w:hint="eastAsia" w:hAnsi="宋体" w:cs="宋体"/>
          <w:color w:val="000000"/>
          <w:szCs w:val="24"/>
        </w:rPr>
        <w:t>一次性付款方式（本合同第三阶段款项支付前）：</w:t>
      </w:r>
    </w:p>
    <w:p>
      <w:pPr>
        <w:pStyle w:val="2"/>
        <w:ind w:firstLine="464"/>
        <w:rPr>
          <w:rFonts w:hAnsi="宋体" w:cs="宋体"/>
          <w:color w:val="000000"/>
          <w:szCs w:val="24"/>
        </w:rPr>
      </w:pPr>
      <w:r>
        <w:rPr>
          <w:rFonts w:hint="eastAsia" w:hAnsi="宋体" w:cs="宋体"/>
          <w:color w:val="000000"/>
          <w:szCs w:val="24"/>
        </w:rPr>
        <w:t>乙方按照本合同约定按时足额支付第一阶段或第二阶段款项，乙方或第三方将相应单间商铺/车位的剩余款项直接支付甲方，即该单间商铺/车位所有款项付清。</w:t>
      </w:r>
    </w:p>
    <w:p>
      <w:pPr>
        <w:pStyle w:val="2"/>
        <w:ind w:firstLine="464"/>
        <w:rPr>
          <w:rFonts w:hAnsi="宋体" w:cs="宋体"/>
          <w:color w:val="000000"/>
          <w:szCs w:val="24"/>
        </w:rPr>
      </w:pPr>
      <w:r>
        <w:rPr>
          <w:rFonts w:hint="eastAsia" w:hAnsi="宋体"/>
          <w:color w:val="000000"/>
          <w:szCs w:val="24"/>
        </w:rPr>
        <w:t>（2）</w:t>
      </w:r>
      <w:r>
        <w:rPr>
          <w:rFonts w:hint="eastAsia" w:hAnsi="宋体" w:cs="宋体"/>
          <w:color w:val="000000"/>
          <w:szCs w:val="24"/>
        </w:rPr>
        <w:t>按揭付款方式（仅限于第二阶段款项支付前办理）：</w:t>
      </w:r>
    </w:p>
    <w:p>
      <w:pPr>
        <w:pStyle w:val="2"/>
        <w:ind w:firstLine="464"/>
        <w:rPr>
          <w:rFonts w:hAnsi="宋体" w:cs="宋体"/>
          <w:color w:val="000000"/>
          <w:szCs w:val="24"/>
        </w:rPr>
      </w:pPr>
      <w:r>
        <w:rPr>
          <w:rFonts w:hint="eastAsia" w:hAnsi="宋体" w:cs="宋体"/>
          <w:color w:val="000000"/>
          <w:szCs w:val="24"/>
        </w:rPr>
        <w:t>乙方已按期足额完成第一阶段付款，乙方或第三方须再向甲方支付不少于相应单间商铺成交价的20%，剩余款项由乙方或第三方通过办理按揭贷款方式支付甲方（仅商铺接受按揭付款</w:t>
      </w:r>
      <w:r>
        <w:rPr>
          <w:rFonts w:hint="eastAsia" w:hAnsi="宋体" w:cs="宋体"/>
          <w:color w:val="000000"/>
          <w:szCs w:val="24"/>
          <w:lang w:eastAsia="zh-CN"/>
        </w:rPr>
        <w:t>；</w:t>
      </w:r>
      <w:r>
        <w:rPr>
          <w:rFonts w:hint="eastAsia" w:hAnsi="宋体" w:cs="宋体"/>
          <w:color w:val="000000"/>
          <w:szCs w:val="24"/>
        </w:rPr>
        <w:t>车位须一次性付清</w:t>
      </w:r>
      <w:r>
        <w:rPr>
          <w:rFonts w:hint="eastAsia" w:hAnsi="宋体" w:cs="宋体"/>
          <w:color w:val="000000"/>
          <w:szCs w:val="24"/>
          <w:lang w:eastAsia="zh-CN"/>
        </w:rPr>
        <w:t>，</w:t>
      </w:r>
      <w:r>
        <w:rPr>
          <w:rFonts w:hint="eastAsia" w:hAnsi="宋体" w:cs="宋体"/>
          <w:color w:val="000000"/>
          <w:szCs w:val="24"/>
        </w:rPr>
        <w:t>不接受按揭付款），甲方收到银行的按揭贷款款项后即该单间商铺所有款项付清。</w:t>
      </w:r>
    </w:p>
    <w:p>
      <w:pPr>
        <w:pStyle w:val="2"/>
        <w:ind w:firstLine="464"/>
        <w:rPr>
          <w:rFonts w:hAnsi="宋体" w:cs="宋体"/>
          <w:color w:val="000000"/>
          <w:szCs w:val="24"/>
        </w:rPr>
      </w:pPr>
      <w:r>
        <w:rPr>
          <w:rFonts w:hint="eastAsia" w:hAnsi="宋体"/>
          <w:color w:val="000000"/>
          <w:szCs w:val="24"/>
        </w:rPr>
        <w:t>（3）</w:t>
      </w:r>
      <w:r>
        <w:rPr>
          <w:rFonts w:hint="eastAsia" w:hAnsi="宋体" w:cs="宋体"/>
          <w:color w:val="000000"/>
          <w:szCs w:val="24"/>
        </w:rPr>
        <w:t>第二阶段款项支付后，乙方或第三方需办理按揭的，须经甲方同意后方可办理。</w:t>
      </w:r>
    </w:p>
    <w:p>
      <w:pPr>
        <w:pStyle w:val="2"/>
        <w:ind w:firstLine="464"/>
        <w:rPr>
          <w:rFonts w:hAnsi="宋体" w:cs="宋体"/>
          <w:color w:val="000000"/>
          <w:szCs w:val="24"/>
        </w:rPr>
      </w:pPr>
      <w:r>
        <w:rPr>
          <w:rFonts w:hint="eastAsia" w:hAnsi="宋体"/>
          <w:color w:val="000000"/>
          <w:szCs w:val="24"/>
        </w:rPr>
        <w:t>6.3</w:t>
      </w:r>
      <w:r>
        <w:rPr>
          <w:rFonts w:hint="eastAsia" w:hAnsi="宋体" w:cs="宋体"/>
          <w:color w:val="000000"/>
          <w:szCs w:val="24"/>
        </w:rPr>
        <w:t>.3权属相关手续办理：</w:t>
      </w:r>
    </w:p>
    <w:p>
      <w:pPr>
        <w:spacing w:line="360" w:lineRule="auto"/>
        <w:ind w:firstLine="480" w:firstLineChars="200"/>
        <w:rPr>
          <w:rFonts w:ascii="宋体" w:hAnsi="宋体"/>
          <w:color w:val="000000"/>
          <w:sz w:val="24"/>
          <w:szCs w:val="24"/>
        </w:rPr>
      </w:pPr>
      <w:r>
        <w:rPr>
          <w:rFonts w:hint="eastAsia" w:ascii="宋体" w:hAnsi="宋体"/>
          <w:color w:val="000000"/>
          <w:sz w:val="24"/>
          <w:szCs w:val="24"/>
        </w:rPr>
        <w:t>乙方或第三方向甲方付清相应单间商铺/车位成交价款后，甲方须在十个工作日内（如遇节假日顺延）与乙方或第三方签订《商品房买卖合同》</w:t>
      </w:r>
      <w:r>
        <w:rPr>
          <w:rFonts w:hint="eastAsia" w:ascii="宋体" w:hAnsi="宋体"/>
          <w:color w:val="000000"/>
          <w:sz w:val="24"/>
          <w:szCs w:val="24"/>
          <w:lang w:eastAsia="zh-CN"/>
        </w:rPr>
        <w:t>等签约文件</w:t>
      </w:r>
      <w:r>
        <w:rPr>
          <w:rFonts w:hint="eastAsia" w:ascii="宋体" w:hAnsi="宋体"/>
          <w:color w:val="000000"/>
          <w:sz w:val="24"/>
          <w:szCs w:val="24"/>
        </w:rPr>
        <w:t>，《商品房买卖合同》</w:t>
      </w:r>
      <w:r>
        <w:rPr>
          <w:rFonts w:hint="eastAsia" w:ascii="宋体" w:hAnsi="宋体"/>
          <w:color w:val="000000"/>
          <w:sz w:val="24"/>
          <w:szCs w:val="24"/>
          <w:lang w:eastAsia="zh-CN"/>
        </w:rPr>
        <w:t>等签约文件</w:t>
      </w:r>
      <w:r>
        <w:rPr>
          <w:rFonts w:hint="eastAsia" w:ascii="宋体" w:hAnsi="宋体"/>
          <w:b/>
          <w:bCs/>
          <w:color w:val="000000"/>
          <w:sz w:val="24"/>
          <w:szCs w:val="24"/>
        </w:rPr>
        <w:t>签订的价格以本合同约定单价为准</w:t>
      </w:r>
      <w:r>
        <w:rPr>
          <w:rFonts w:hint="eastAsia" w:ascii="宋体" w:hAnsi="宋体"/>
          <w:color w:val="000000"/>
          <w:sz w:val="24"/>
          <w:szCs w:val="24"/>
        </w:rPr>
        <w:t>，同时向乙方或第三方开具购房发票（</w:t>
      </w:r>
      <w:r>
        <w:rPr>
          <w:rFonts w:hint="eastAsia" w:hAnsi="宋体"/>
          <w:color w:val="000000"/>
          <w:sz w:val="24"/>
          <w:szCs w:val="24"/>
        </w:rPr>
        <w:t>按</w:t>
      </w:r>
      <w:r>
        <w:rPr>
          <w:rFonts w:hint="eastAsia" w:ascii="宋体" w:hAnsi="宋体"/>
          <w:color w:val="000000"/>
          <w:sz w:val="24"/>
          <w:szCs w:val="24"/>
        </w:rPr>
        <w:t>照签订的《商品房买卖合同》的价格开具发票）、配合办理网签手续以及不动产权证手续。</w:t>
      </w:r>
    </w:p>
    <w:p>
      <w:pPr>
        <w:spacing w:line="360" w:lineRule="auto"/>
        <w:ind w:firstLine="480" w:firstLineChars="200"/>
        <w:rPr>
          <w:color w:val="000000"/>
          <w:sz w:val="24"/>
          <w:szCs w:val="24"/>
          <w:highlight w:val="none"/>
        </w:rPr>
      </w:pPr>
      <w:r>
        <w:rPr>
          <w:rFonts w:hint="eastAsia" w:ascii="宋体" w:hAnsi="宋体"/>
          <w:color w:val="000000"/>
          <w:sz w:val="24"/>
          <w:szCs w:val="24"/>
        </w:rPr>
        <w:t>6.4乙方或第三方的行为或意思表示均视为他们的共同真实意思表示。本协议项下应支付给甲方的款项，不限定为乙方账户支付，可由乙方或第三方账户支付给甲方；乙方未指定第三方向甲方支付款项的，均由乙方进行支付。乙方与第三方之间的内部付款比例、决策比例、管理模式和纠纷均与甲方</w:t>
      </w:r>
      <w:r>
        <w:rPr>
          <w:rFonts w:hint="eastAsia" w:ascii="宋体" w:hAnsi="宋体"/>
          <w:color w:val="000000"/>
          <w:sz w:val="24"/>
          <w:szCs w:val="24"/>
          <w:highlight w:val="none"/>
        </w:rPr>
        <w:t>无关（乙方指定购买商铺的第三方和该间商铺的产权登记人须是同一主体）。</w:t>
      </w:r>
    </w:p>
    <w:p>
      <w:pPr>
        <w:spacing w:line="500" w:lineRule="exact"/>
        <w:ind w:firstLine="480" w:firstLineChars="200"/>
        <w:rPr>
          <w:highlight w:val="none"/>
        </w:rPr>
      </w:pPr>
      <w:r>
        <w:rPr>
          <w:rFonts w:hint="eastAsia" w:ascii="宋体" w:hAnsi="宋体"/>
          <w:color w:val="000000"/>
          <w:sz w:val="24"/>
          <w:szCs w:val="24"/>
          <w:highlight w:val="none"/>
        </w:rPr>
        <w:t>6.5乙方在遵守本协议各项约定的前提下，可在支付</w:t>
      </w:r>
      <w:r>
        <w:rPr>
          <w:rFonts w:hint="eastAsia" w:ascii="宋体" w:hAnsi="宋体"/>
          <w:color w:val="000000"/>
          <w:sz w:val="24"/>
          <w:szCs w:val="24"/>
          <w:highlight w:val="none"/>
          <w:lang w:eastAsia="zh-CN"/>
        </w:rPr>
        <w:t>第一阶段款项</w:t>
      </w:r>
      <w:r>
        <w:rPr>
          <w:rFonts w:hint="eastAsia" w:ascii="宋体" w:hAnsi="宋体"/>
          <w:color w:val="000000"/>
          <w:sz w:val="24"/>
          <w:szCs w:val="24"/>
          <w:highlight w:val="none"/>
        </w:rPr>
        <w:t>后至所有款项付清前享有甲方指定的不超过500㎡商铺的免费使用权利，该商铺仅限于作为销售展厅使</w:t>
      </w:r>
      <w:r>
        <w:rPr>
          <w:rFonts w:hint="eastAsia" w:ascii="宋体" w:hAnsi="宋体"/>
          <w:color w:val="000000"/>
          <w:sz w:val="24"/>
          <w:szCs w:val="24"/>
        </w:rPr>
        <w:t>用，使用期限不得超过2023年12月 31日，且乙方</w:t>
      </w:r>
      <w:r>
        <w:rPr>
          <w:rFonts w:hint="eastAsia" w:ascii="宋体" w:hAnsi="宋体"/>
          <w:color w:val="000000"/>
          <w:sz w:val="24"/>
          <w:szCs w:val="24"/>
          <w:lang w:eastAsia="zh-CN"/>
        </w:rPr>
        <w:t>应</w:t>
      </w:r>
      <w:r>
        <w:rPr>
          <w:rFonts w:hint="eastAsia" w:ascii="宋体" w:hAnsi="宋体"/>
          <w:color w:val="000000"/>
          <w:sz w:val="24"/>
          <w:szCs w:val="24"/>
          <w:lang w:val="en-US" w:eastAsia="zh-CN"/>
        </w:rPr>
        <w:t>不</w:t>
      </w:r>
      <w:r>
        <w:rPr>
          <w:rFonts w:hint="eastAsia" w:ascii="宋体" w:hAnsi="宋体"/>
          <w:color w:val="000000"/>
          <w:sz w:val="24"/>
          <w:szCs w:val="24"/>
        </w:rPr>
        <w:t>迟于2023年12月</w:t>
      </w:r>
      <w:r>
        <w:rPr>
          <w:rFonts w:hint="eastAsia" w:ascii="宋体" w:hAnsi="宋体"/>
          <w:color w:val="000000"/>
          <w:sz w:val="24"/>
          <w:szCs w:val="24"/>
          <w:lang w:val="en-US" w:eastAsia="zh-CN"/>
        </w:rPr>
        <w:t>25</w:t>
      </w:r>
      <w:r>
        <w:rPr>
          <w:rFonts w:hint="eastAsia" w:ascii="宋体" w:hAnsi="宋体"/>
          <w:color w:val="000000"/>
          <w:sz w:val="24"/>
          <w:szCs w:val="24"/>
        </w:rPr>
        <w:t>日前付清该</w:t>
      </w:r>
      <w:r>
        <w:rPr>
          <w:rFonts w:hint="eastAsia" w:ascii="宋体" w:hAnsi="宋体"/>
          <w:color w:val="000000"/>
          <w:sz w:val="24"/>
          <w:szCs w:val="24"/>
          <w:highlight w:val="none"/>
          <w:lang w:eastAsia="zh-CN"/>
        </w:rPr>
        <w:t>商铺</w:t>
      </w:r>
      <w:r>
        <w:rPr>
          <w:rFonts w:hint="eastAsia" w:ascii="宋体" w:hAnsi="宋体"/>
          <w:color w:val="000000"/>
          <w:sz w:val="24"/>
          <w:szCs w:val="24"/>
          <w:highlight w:val="none"/>
        </w:rPr>
        <w:t>尾款。</w:t>
      </w:r>
    </w:p>
    <w:p>
      <w:pPr>
        <w:spacing w:line="500" w:lineRule="exact"/>
        <w:ind w:firstLine="480" w:firstLineChars="200"/>
        <w:rPr>
          <w:highlight w:val="none"/>
        </w:rPr>
      </w:pPr>
      <w:r>
        <w:rPr>
          <w:rFonts w:hint="eastAsia" w:ascii="宋体" w:hAnsi="宋体"/>
          <w:color w:val="000000"/>
          <w:sz w:val="24"/>
          <w:szCs w:val="24"/>
          <w:highlight w:val="none"/>
        </w:rPr>
        <w:t>6.6本合同约定标的物物业费2023年12月31日前由甲方承担，2024年1月1日起由乙方承担。</w:t>
      </w:r>
    </w:p>
    <w:p>
      <w:pPr>
        <w:pStyle w:val="2"/>
        <w:ind w:firstLine="464"/>
        <w:rPr>
          <w:rFonts w:hAnsi="宋体"/>
          <w:color w:val="000000"/>
          <w:szCs w:val="24"/>
          <w:highlight w:val="none"/>
        </w:rPr>
      </w:pPr>
      <w:r>
        <w:rPr>
          <w:rFonts w:hint="eastAsia"/>
          <w:highlight w:val="none"/>
        </w:rPr>
        <w:t>6.7乙方如需提前使用商铺的（甲方指定用作展厅的商铺除外），使用商铺视为甲方已销售，乙方已实际购买，乙方可直接向甲方支付该使用商铺的剩余应付款项或同意甲方在乙方</w:t>
      </w:r>
      <w:r>
        <w:rPr>
          <w:rFonts w:hint="eastAsia"/>
          <w:highlight w:val="none"/>
          <w:u w:val="single"/>
        </w:rPr>
        <w:t>已支付</w:t>
      </w:r>
      <w:r>
        <w:rPr>
          <w:rFonts w:hint="eastAsia"/>
          <w:highlight w:val="none"/>
          <w:u w:val="single"/>
          <w:lang w:eastAsia="zh-CN"/>
        </w:rPr>
        <w:t>款项</w:t>
      </w:r>
      <w:r>
        <w:rPr>
          <w:rFonts w:hint="eastAsia"/>
          <w:highlight w:val="none"/>
          <w:u w:val="single"/>
        </w:rPr>
        <w:t>中扣除</w:t>
      </w:r>
      <w:r>
        <w:rPr>
          <w:rFonts w:hint="eastAsia"/>
          <w:highlight w:val="none"/>
        </w:rPr>
        <w:t>，且扣除部分不得高于</w:t>
      </w:r>
      <w:r>
        <w:rPr>
          <w:rFonts w:hint="eastAsia"/>
          <w:highlight w:val="none"/>
          <w:lang w:eastAsia="zh-CN"/>
        </w:rPr>
        <w:t>已支付</w:t>
      </w:r>
      <w:r>
        <w:rPr>
          <w:rFonts w:hint="eastAsia"/>
          <w:highlight w:val="none"/>
        </w:rPr>
        <w:t>款项的80%，乙方须在下一付款阶段付款时将所扣除款项予以补足，未予补足的，视同未完成该阶段付款义务，并承担违约责任。乙方提前使用的商铺，物业</w:t>
      </w:r>
      <w:r>
        <w:rPr>
          <w:rFonts w:hint="eastAsia"/>
        </w:rPr>
        <w:t>费、水</w:t>
      </w:r>
      <w:r>
        <w:rPr>
          <w:rFonts w:hint="eastAsia" w:hAnsi="宋体"/>
          <w:color w:val="000000"/>
          <w:szCs w:val="24"/>
        </w:rPr>
        <w:t>电费等费用由乙方支付，水电等相关手续由乙方负责办理。乙方提前使用的商铺须合法经营，乙方提前使</w:t>
      </w:r>
      <w:r>
        <w:rPr>
          <w:rFonts w:hint="eastAsia" w:hAnsi="宋体"/>
          <w:color w:val="000000"/>
          <w:szCs w:val="24"/>
          <w:highlight w:val="none"/>
        </w:rPr>
        <w:t>用的商铺一切责任（包含但不限于：安全，法律，纠纷）由乙方负责，与甲方无关。</w:t>
      </w:r>
    </w:p>
    <w:p>
      <w:pPr>
        <w:pStyle w:val="2"/>
        <w:ind w:firstLine="464"/>
        <w:rPr>
          <w:rFonts w:hAnsi="宋体" w:cs="宋体"/>
          <w:highlight w:val="none"/>
        </w:rPr>
      </w:pPr>
      <w:r>
        <w:rPr>
          <w:rFonts w:hAnsi="宋体"/>
          <w:color w:val="000000"/>
          <w:szCs w:val="24"/>
          <w:highlight w:val="none"/>
        </w:rPr>
        <w:t>6.8</w:t>
      </w:r>
      <w:r>
        <w:rPr>
          <w:rFonts w:hint="eastAsia" w:hAnsi="宋体" w:cs="宋体"/>
          <w:highlight w:val="none"/>
        </w:rPr>
        <w:t>乙方在宣传与推广过程中，不得有任何虚假宣传、欺诈等行为。只能在甲方允许的范围内进行宣传，否则造成的社会不良影响及甲方</w:t>
      </w:r>
      <w:r>
        <w:rPr>
          <w:rFonts w:hint="eastAsia" w:hAnsi="宋体" w:cs="宋体"/>
          <w:highlight w:val="none"/>
          <w:lang w:eastAsia="zh-CN"/>
        </w:rPr>
        <w:t>或者其他任何主体</w:t>
      </w:r>
      <w:r>
        <w:rPr>
          <w:rFonts w:hint="eastAsia" w:hAnsi="宋体" w:cs="宋体"/>
          <w:highlight w:val="none"/>
        </w:rPr>
        <w:t>的损失由乙方承担。乙方在对外宣传和销售过程中所使用的宣发物料、认购协议等文本资料须经甲方审核通过后方可使用。本条款独立存在，长期有效，不因本协议的终止或解除而失效。</w:t>
      </w:r>
    </w:p>
    <w:p>
      <w:pPr>
        <w:spacing w:line="360" w:lineRule="auto"/>
        <w:ind w:firstLine="464" w:firstLineChars="200"/>
        <w:rPr>
          <w:rFonts w:ascii="宋体" w:hAnsi="宋体"/>
          <w:spacing w:val="-4"/>
          <w:sz w:val="24"/>
          <w:highlight w:val="none"/>
        </w:rPr>
      </w:pPr>
      <w:r>
        <w:rPr>
          <w:rFonts w:ascii="宋体" w:hAnsi="宋体"/>
          <w:spacing w:val="-4"/>
          <w:sz w:val="24"/>
          <w:highlight w:val="none"/>
        </w:rPr>
        <w:t>6.9</w:t>
      </w:r>
      <w:r>
        <w:rPr>
          <w:rFonts w:hint="eastAsia" w:ascii="宋体" w:hAnsi="宋体"/>
          <w:spacing w:val="-4"/>
          <w:sz w:val="24"/>
          <w:highlight w:val="none"/>
        </w:rPr>
        <w:t>乙方及乙方人员在向第三方转让商铺的过程中，应当向第三方表明自己的出售方身份和职责范畴，不得以任何方式误导他人或令他人产生误解，不得以甲方或甲方人员的名义从事任何业务活动。甲方以自身名义与第三方签署相关协议，仅是配合乙方更名。</w:t>
      </w:r>
    </w:p>
    <w:p>
      <w:pPr>
        <w:spacing w:line="360" w:lineRule="auto"/>
        <w:ind w:firstLine="464" w:firstLineChars="200"/>
        <w:rPr>
          <w:rFonts w:hAnsi="宋体"/>
          <w:highlight w:val="none"/>
        </w:rPr>
      </w:pPr>
      <w:r>
        <w:rPr>
          <w:rFonts w:ascii="宋体" w:hAnsi="宋体"/>
          <w:spacing w:val="-4"/>
          <w:sz w:val="24"/>
          <w:highlight w:val="none"/>
        </w:rPr>
        <w:t>6.10</w:t>
      </w:r>
      <w:r>
        <w:rPr>
          <w:rFonts w:hint="eastAsia" w:ascii="宋体" w:hAnsi="宋体"/>
          <w:spacing w:val="-4"/>
          <w:sz w:val="24"/>
          <w:highlight w:val="none"/>
        </w:rPr>
        <w:t>乙方自愿承担市场等不确定性风险，甲方无须向乙方支付任何费用。乙方不得自行向第三方收取商铺价款，如乙方向第三方收取商铺价款之外的其他费用，乙方承诺会明确告知第三方该部分费用的金额及性质，并由乙方向第三方对该笔费用开票。该笔费用不属于商铺价款的一部分，且在乙方和第三方签署的服务费协议中明确，乙方不得在甲方销售场所洽谈、收取该笔费用。如因任何原因导致甲方向第三方退还了该笔费用的或者承担其它法律后果，甲方有权向乙方追偿。</w:t>
      </w:r>
    </w:p>
    <w:p>
      <w:pPr>
        <w:ind w:firstLine="464"/>
        <w:rPr>
          <w:rFonts w:hAnsi="宋体"/>
          <w:highlight w:val="none"/>
        </w:rPr>
      </w:pPr>
      <w:r>
        <w:rPr>
          <w:rFonts w:ascii="宋体" w:hAnsi="宋体"/>
          <w:spacing w:val="-4"/>
          <w:sz w:val="24"/>
          <w:highlight w:val="none"/>
        </w:rPr>
        <w:t>6.11</w:t>
      </w:r>
      <w:r>
        <w:rPr>
          <w:rFonts w:hint="eastAsia" w:ascii="宋体" w:hAnsi="宋体"/>
          <w:spacing w:val="-4"/>
          <w:sz w:val="24"/>
          <w:highlight w:val="none"/>
        </w:rPr>
        <w:t>乙方实际销售过程中产生的成交信息须及时向甲方报备，具体方式、频次等由双方另行约定。</w:t>
      </w:r>
    </w:p>
    <w:p>
      <w:pPr>
        <w:tabs>
          <w:tab w:val="left" w:pos="6600"/>
        </w:tabs>
        <w:spacing w:line="500" w:lineRule="exact"/>
        <w:rPr>
          <w:rFonts w:ascii="宋体" w:hAnsi="宋体"/>
          <w:color w:val="000000"/>
          <w:sz w:val="24"/>
          <w:szCs w:val="24"/>
        </w:rPr>
      </w:pPr>
      <w:r>
        <w:rPr>
          <w:rFonts w:hint="eastAsia" w:ascii="宋体" w:hAnsi="宋体"/>
          <w:color w:val="000000"/>
          <w:sz w:val="24"/>
          <w:szCs w:val="24"/>
          <w:highlight w:val="none"/>
        </w:rPr>
        <w:t>6.12乙方承诺具备履行本合同所应具有的合法资质</w:t>
      </w:r>
      <w:r>
        <w:rPr>
          <w:rFonts w:hint="eastAsia" w:ascii="宋体" w:hAnsi="宋体"/>
          <w:color w:val="000000"/>
          <w:sz w:val="24"/>
          <w:szCs w:val="24"/>
        </w:rPr>
        <w:t>。</w:t>
      </w:r>
      <w:r>
        <w:rPr>
          <w:rFonts w:hint="eastAsia" w:ascii="宋体" w:hAnsi="宋体"/>
          <w:color w:val="000000"/>
          <w:sz w:val="24"/>
          <w:szCs w:val="24"/>
        </w:rPr>
        <w:tab/>
      </w:r>
    </w:p>
    <w:p>
      <w:pPr>
        <w:spacing w:line="500" w:lineRule="exact"/>
        <w:ind w:firstLine="482" w:firstLineChars="200"/>
        <w:rPr>
          <w:rFonts w:ascii="宋体" w:hAnsi="宋体"/>
          <w:b/>
          <w:color w:val="000000"/>
          <w:sz w:val="24"/>
          <w:szCs w:val="24"/>
        </w:rPr>
      </w:pPr>
      <w:r>
        <w:rPr>
          <w:rFonts w:hint="eastAsia" w:ascii="宋体" w:hAnsi="宋体"/>
          <w:b/>
          <w:color w:val="000000"/>
          <w:sz w:val="24"/>
          <w:szCs w:val="24"/>
        </w:rPr>
        <w:t>第七条 保密责任</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 xml:space="preserve">    甲乙双方同意无论任一方提供的有关信息情报、资料、合同等均是商业机密文件，未经过双方许可，任何一方不得向</w:t>
      </w:r>
      <w:r>
        <w:rPr>
          <w:rFonts w:hint="eastAsia" w:ascii="宋体" w:hAnsi="宋体"/>
          <w:color w:val="000000"/>
          <w:sz w:val="24"/>
          <w:szCs w:val="24"/>
          <w:lang w:eastAsia="zh-CN"/>
        </w:rPr>
        <w:t>其他任何主体</w:t>
      </w:r>
      <w:r>
        <w:rPr>
          <w:rFonts w:hint="eastAsia" w:ascii="宋体" w:hAnsi="宋体"/>
          <w:color w:val="000000"/>
          <w:sz w:val="24"/>
          <w:szCs w:val="24"/>
        </w:rPr>
        <w:t>出示。</w:t>
      </w:r>
    </w:p>
    <w:p>
      <w:pPr>
        <w:spacing w:line="500" w:lineRule="exact"/>
        <w:ind w:firstLine="482" w:firstLineChars="200"/>
        <w:rPr>
          <w:rFonts w:ascii="宋体" w:hAnsi="宋体"/>
          <w:b/>
          <w:color w:val="000000"/>
          <w:sz w:val="24"/>
          <w:szCs w:val="24"/>
        </w:rPr>
      </w:pPr>
      <w:r>
        <w:rPr>
          <w:rFonts w:hint="eastAsia" w:ascii="宋体" w:hAnsi="宋体"/>
          <w:b/>
          <w:color w:val="000000"/>
          <w:sz w:val="24"/>
          <w:szCs w:val="24"/>
        </w:rPr>
        <w:t>第八条 违约责任</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8.1非因法定事由乙方不得单方终止本合同及/或乙方不得违反本协议约定，否则，乙方已支付的款项不予退回，且乙方应按本合同总价款30%的标准向甲方支付违约金。</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8.2 乙方应按时支付各阶段款项，如乙方或第三方未按时支付款项，乙方应按照逾期未付金额的千分之一/日向甲方支付违约金直至款项付清之日止。逾期90日后仍未足额支付的，甲方有权解除本合同。甲方选择解除本合同的，乙方已支付的款项不予退回，乙方还需按本合同总价款30%的标准向甲方支付违约金，违约金不足以赔偿甲方损失的，甲方可继续向乙方追偿。</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8.3因不可抗力的因素或政府行政行为因素造成本合同无法继续履行，由双方各自承担损失互不追究责任。</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8.4如出现其它违约责任，守约方可依法追究违约方的违约责任。</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8.5如甲方未按网签约定时间交付房屋的，在乙方出具函告后拒不履行交付义务的行为，则视为违约行为，乙方有权按合同总价款千分之一/日的标准追究甲方违约金，以网签合同约定结算日期起计算。如甲方无故拒绝办理更名手续或签订《商品房买卖合同》的，则乙方有权解除本合同；在本合同解除后，甲方应退还乙方已支付的所有款项。</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8.6乙方在购买商铺及车位后应与其他已售物业处理好各项关系，如因此产生纠纷由乙方自行解决。</w:t>
      </w:r>
    </w:p>
    <w:p>
      <w:pPr>
        <w:spacing w:line="500" w:lineRule="exact"/>
        <w:ind w:firstLine="482" w:firstLineChars="200"/>
        <w:rPr>
          <w:rFonts w:ascii="宋体" w:hAnsi="宋体"/>
          <w:b/>
          <w:color w:val="000000"/>
          <w:sz w:val="24"/>
          <w:szCs w:val="24"/>
        </w:rPr>
      </w:pPr>
      <w:r>
        <w:rPr>
          <w:rFonts w:hint="eastAsia" w:ascii="宋体" w:hAnsi="宋体"/>
          <w:b/>
          <w:color w:val="000000"/>
          <w:sz w:val="24"/>
          <w:szCs w:val="24"/>
        </w:rPr>
        <w:t>第九条 其他条款</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9.1本合同如有未尽事宜，双方协商签订补充协议。</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9.2本合同在履行过程中发生纠纷，双方应及时协商解决。协商不成时，任何一方均可向甲方所在地有管辖权的人民法院提起诉讼。违约方应当承担守约方为此支出的</w:t>
      </w:r>
      <w:r>
        <w:rPr>
          <w:rFonts w:hint="eastAsia" w:ascii="宋体" w:hAnsi="宋体"/>
          <w:color w:val="000000"/>
          <w:sz w:val="24"/>
          <w:szCs w:val="24"/>
          <w:lang w:eastAsia="zh-CN"/>
        </w:rPr>
        <w:t>包括但不限于</w:t>
      </w:r>
      <w:r>
        <w:rPr>
          <w:rFonts w:hint="eastAsia" w:ascii="宋体" w:hAnsi="宋体"/>
          <w:color w:val="000000"/>
          <w:sz w:val="24"/>
          <w:szCs w:val="24"/>
        </w:rPr>
        <w:t>诉讼费、律师费、调查费</w:t>
      </w:r>
      <w:r>
        <w:rPr>
          <w:rFonts w:hint="eastAsia" w:ascii="宋体" w:hAnsi="宋体"/>
          <w:color w:val="000000"/>
          <w:sz w:val="24"/>
          <w:szCs w:val="24"/>
          <w:lang w:eastAsia="zh-CN"/>
        </w:rPr>
        <w:t>、保全费、评估费、鉴定费</w:t>
      </w:r>
      <w:r>
        <w:rPr>
          <w:rFonts w:hint="eastAsia" w:ascii="宋体" w:hAnsi="宋体"/>
          <w:color w:val="000000"/>
          <w:sz w:val="24"/>
          <w:szCs w:val="24"/>
        </w:rPr>
        <w:t>等</w:t>
      </w:r>
      <w:r>
        <w:rPr>
          <w:rFonts w:hint="eastAsia" w:ascii="宋体" w:hAnsi="宋体"/>
          <w:color w:val="000000"/>
          <w:sz w:val="24"/>
          <w:szCs w:val="24"/>
          <w:lang w:eastAsia="zh-CN"/>
        </w:rPr>
        <w:t>费用</w:t>
      </w:r>
      <w:r>
        <w:rPr>
          <w:rFonts w:hint="eastAsia" w:ascii="宋体" w:hAnsi="宋体"/>
          <w:color w:val="000000"/>
          <w:sz w:val="24"/>
          <w:szCs w:val="24"/>
        </w:rPr>
        <w:t>。</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9.3本合同一式肆份，于双方签署并加盖公章后生效，甲乙双方各执贰份，具有同等法律效力。</w:t>
      </w:r>
    </w:p>
    <w:p>
      <w:pPr>
        <w:spacing w:line="500" w:lineRule="exact"/>
        <w:ind w:firstLine="482" w:firstLineChars="200"/>
        <w:rPr>
          <w:rFonts w:ascii="宋体" w:hAnsi="宋体"/>
          <w:b/>
          <w:color w:val="000000"/>
          <w:sz w:val="24"/>
          <w:szCs w:val="24"/>
        </w:rPr>
      </w:pPr>
      <w:r>
        <w:rPr>
          <w:rFonts w:hint="eastAsia" w:ascii="宋体" w:hAnsi="宋体"/>
          <w:b/>
          <w:color w:val="000000"/>
          <w:sz w:val="24"/>
          <w:szCs w:val="24"/>
        </w:rPr>
        <w:t>第十条 通知与送达</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10.1本合同内关于双方法定代表人或授权委托人、地址、联系电话、微信、传真等信息均系真实有效，为双方履行合同、解决合同争议时接收其他方商业文件信函或司法机关（法院、仲裁机构）诉讼、仲裁文书的地址和联系方式，且适用至本合同履行完毕或争议经过一审、二审至案件执行终结时止。如有变更，变更方应在变更后24小时内通知对方。</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10.2本合同一方按照本合同约定向另一方送达的任何文件、回复及其它任何联系，必须用书面形式，且采用挂号邮寄或直接送达的方式，送达本合同所列另一方的地址或另一方以本条所述方式通知更改后的地址。因一方变更前述法定代表人或授权委托人、地址、联系电话、传真等信息而未通知对方，对方可按原地址邮寄或直接送达。邮寄送达后如发生退件或拒收，视为已经送达。</w:t>
      </w:r>
    </w:p>
    <w:p>
      <w:pPr>
        <w:spacing w:line="500" w:lineRule="exact"/>
        <w:ind w:firstLine="480" w:firstLineChars="200"/>
        <w:rPr>
          <w:rFonts w:ascii="宋体" w:hAnsi="宋体"/>
          <w:color w:val="000000"/>
          <w:sz w:val="24"/>
          <w:szCs w:val="24"/>
        </w:rPr>
      </w:pPr>
    </w:p>
    <w:p>
      <w:pPr>
        <w:spacing w:line="500" w:lineRule="exact"/>
        <w:ind w:firstLine="480" w:firstLineChars="200"/>
        <w:rPr>
          <w:color w:val="000000"/>
        </w:rPr>
      </w:pPr>
      <w:r>
        <w:rPr>
          <w:rFonts w:hint="eastAsia" w:ascii="宋体" w:hAnsi="宋体"/>
          <w:color w:val="000000"/>
          <w:sz w:val="24"/>
          <w:szCs w:val="24"/>
        </w:rPr>
        <w:t>（本页以后无正文，为合同签署部分）</w:t>
      </w:r>
    </w:p>
    <w:p>
      <w:pPr>
        <w:spacing w:line="360" w:lineRule="auto"/>
        <w:ind w:firstLine="480" w:firstLineChars="200"/>
        <w:rPr>
          <w:rFonts w:ascii="宋体" w:hAnsi="宋体"/>
          <w:color w:val="000000"/>
          <w:sz w:val="24"/>
          <w:szCs w:val="24"/>
        </w:rPr>
      </w:pPr>
    </w:p>
    <w:p>
      <w:pPr>
        <w:spacing w:line="360" w:lineRule="auto"/>
        <w:ind w:firstLine="480" w:firstLineChars="200"/>
        <w:rPr>
          <w:rFonts w:ascii="宋体" w:hAnsi="宋体"/>
          <w:color w:val="000000"/>
          <w:sz w:val="24"/>
          <w:szCs w:val="24"/>
        </w:rPr>
      </w:pPr>
      <w:r>
        <w:rPr>
          <w:rFonts w:hint="eastAsia" w:ascii="宋体" w:hAnsi="宋体"/>
          <w:color w:val="000000"/>
          <w:sz w:val="24"/>
          <w:szCs w:val="24"/>
        </w:rPr>
        <w:t>出卖人（甲方）：（公章）                     买受人（乙方）：（公章）</w:t>
      </w:r>
    </w:p>
    <w:p>
      <w:pPr>
        <w:spacing w:line="360" w:lineRule="auto"/>
        <w:ind w:firstLine="420" w:firstLineChars="200"/>
        <w:rPr>
          <w:rFonts w:ascii="宋体" w:hAnsi="宋体"/>
          <w:color w:val="000000"/>
          <w:szCs w:val="21"/>
        </w:rPr>
      </w:pPr>
    </w:p>
    <w:p>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法定代表人/授权代表：                        法定代表人/授权代表：</w:t>
      </w:r>
    </w:p>
    <w:p>
      <w:pPr>
        <w:spacing w:line="360" w:lineRule="auto"/>
        <w:ind w:firstLine="480" w:firstLineChars="200"/>
        <w:rPr>
          <w:rFonts w:ascii="宋体" w:hAnsi="宋体"/>
          <w:color w:val="000000"/>
          <w:sz w:val="24"/>
          <w:szCs w:val="24"/>
        </w:rPr>
      </w:pPr>
    </w:p>
    <w:p>
      <w:pPr>
        <w:spacing w:line="360" w:lineRule="auto"/>
        <w:ind w:firstLine="480" w:firstLineChars="200"/>
        <w:rPr>
          <w:rFonts w:ascii="宋体" w:hAnsi="宋体"/>
          <w:color w:val="000000"/>
          <w:sz w:val="24"/>
          <w:szCs w:val="24"/>
        </w:rPr>
      </w:pPr>
      <w:r>
        <w:rPr>
          <w:rFonts w:hint="eastAsia" w:ascii="宋体" w:hAnsi="宋体"/>
          <w:color w:val="000000"/>
          <w:sz w:val="24"/>
          <w:szCs w:val="24"/>
        </w:rPr>
        <w:t>开户名：                                     开户名：</w:t>
      </w:r>
    </w:p>
    <w:p>
      <w:pPr>
        <w:pStyle w:val="25"/>
        <w:keepNext/>
        <w:keepLines/>
        <w:ind w:firstLine="480" w:firstLineChars="200"/>
        <w:rPr>
          <w:color w:val="000000"/>
          <w:sz w:val="24"/>
          <w:szCs w:val="24"/>
          <w:lang w:val="en-US" w:eastAsia="zh-CN" w:bidi="ar-SA"/>
        </w:rPr>
      </w:pPr>
      <w:bookmarkStart w:id="0" w:name="bookmark14"/>
      <w:bookmarkStart w:id="1" w:name="bookmark15"/>
      <w:bookmarkStart w:id="2" w:name="bookmark16"/>
    </w:p>
    <w:p>
      <w:pPr>
        <w:pStyle w:val="25"/>
        <w:keepNext/>
        <w:keepLines/>
        <w:ind w:firstLine="480" w:firstLineChars="200"/>
        <w:rPr>
          <w:color w:val="000000"/>
          <w:sz w:val="24"/>
          <w:szCs w:val="24"/>
          <w:lang w:val="en-US" w:eastAsia="zh-CN" w:bidi="ar-SA"/>
        </w:rPr>
      </w:pPr>
      <w:r>
        <w:rPr>
          <w:rFonts w:hint="eastAsia"/>
          <w:color w:val="000000"/>
          <w:sz w:val="24"/>
          <w:szCs w:val="24"/>
          <w:lang w:val="en-US" w:eastAsia="zh-CN" w:bidi="ar-SA"/>
        </w:rPr>
        <w:t>账号:</w:t>
      </w:r>
      <w:bookmarkEnd w:id="0"/>
      <w:bookmarkEnd w:id="1"/>
      <w:bookmarkEnd w:id="2"/>
      <w:r>
        <w:rPr>
          <w:rFonts w:hint="eastAsia"/>
          <w:color w:val="000000"/>
          <w:sz w:val="24"/>
          <w:szCs w:val="24"/>
          <w:lang w:val="en-US" w:eastAsia="zh-CN" w:bidi="ar-SA"/>
        </w:rPr>
        <w:t xml:space="preserve">                                        账号: </w:t>
      </w:r>
    </w:p>
    <w:p>
      <w:pPr>
        <w:pStyle w:val="22"/>
        <w:spacing w:line="454" w:lineRule="exact"/>
        <w:ind w:firstLine="480" w:firstLineChars="200"/>
        <w:rPr>
          <w:color w:val="000000"/>
          <w:sz w:val="24"/>
          <w:szCs w:val="24"/>
          <w:lang w:val="en-US" w:eastAsia="zh-CN" w:bidi="ar-SA"/>
        </w:rPr>
      </w:pPr>
    </w:p>
    <w:p>
      <w:pPr>
        <w:pStyle w:val="22"/>
        <w:spacing w:line="454" w:lineRule="exact"/>
        <w:ind w:firstLine="480" w:firstLineChars="200"/>
        <w:rPr>
          <w:color w:val="000000"/>
          <w:sz w:val="24"/>
          <w:szCs w:val="24"/>
          <w:lang w:val="en-US" w:eastAsia="zh-CN" w:bidi="ar-SA"/>
        </w:rPr>
      </w:pPr>
      <w:r>
        <w:rPr>
          <w:rFonts w:hint="eastAsia"/>
          <w:color w:val="000000"/>
          <w:sz w:val="24"/>
          <w:szCs w:val="24"/>
          <w:lang w:val="en-US" w:eastAsia="zh-CN" w:bidi="ar-SA"/>
        </w:rPr>
        <w:t>开户银行：                                   开户银行：</w:t>
      </w:r>
    </w:p>
    <w:p>
      <w:pPr>
        <w:spacing w:line="360" w:lineRule="auto"/>
        <w:ind w:firstLine="480" w:firstLineChars="200"/>
        <w:rPr>
          <w:rFonts w:ascii="宋体" w:hAnsi="宋体"/>
          <w:color w:val="000000"/>
          <w:sz w:val="24"/>
          <w:szCs w:val="24"/>
        </w:rPr>
      </w:pPr>
    </w:p>
    <w:p>
      <w:pPr>
        <w:spacing w:line="360" w:lineRule="auto"/>
        <w:ind w:firstLine="480" w:firstLineChars="200"/>
        <w:rPr>
          <w:rFonts w:ascii="宋体" w:hAnsi="宋体"/>
          <w:color w:val="000000"/>
          <w:sz w:val="24"/>
          <w:szCs w:val="24"/>
        </w:rPr>
      </w:pPr>
      <w:r>
        <w:rPr>
          <w:rFonts w:hint="eastAsia" w:ascii="宋体" w:hAnsi="宋体"/>
          <w:color w:val="000000"/>
          <w:sz w:val="24"/>
          <w:szCs w:val="24"/>
        </w:rPr>
        <w:t>签字日期：     年    月    日                 签字日期：      年    月    日</w:t>
      </w:r>
    </w:p>
    <w:p>
      <w:pPr>
        <w:pStyle w:val="2"/>
        <w:ind w:firstLine="464"/>
        <w:rPr>
          <w:color w:val="000000"/>
        </w:rPr>
      </w:pPr>
    </w:p>
    <w:p>
      <w:pPr>
        <w:pStyle w:val="2"/>
        <w:ind w:firstLine="464"/>
        <w:rPr>
          <w:color w:val="000000"/>
        </w:rPr>
      </w:pPr>
    </w:p>
    <w:p>
      <w:pPr>
        <w:pStyle w:val="2"/>
        <w:ind w:firstLine="464"/>
        <w:rPr>
          <w:color w:val="000000"/>
        </w:rPr>
      </w:pPr>
    </w:p>
    <w:p>
      <w:pPr>
        <w:pStyle w:val="2"/>
        <w:ind w:firstLine="464"/>
        <w:rPr>
          <w:color w:val="000000"/>
        </w:rPr>
      </w:pPr>
    </w:p>
    <w:p>
      <w:pPr>
        <w:pStyle w:val="2"/>
        <w:ind w:firstLine="464"/>
        <w:rPr>
          <w:color w:val="000000"/>
        </w:rPr>
      </w:pPr>
    </w:p>
    <w:p>
      <w:pPr>
        <w:pStyle w:val="2"/>
        <w:ind w:firstLine="464"/>
        <w:rPr>
          <w:color w:val="000000"/>
        </w:rPr>
      </w:pPr>
    </w:p>
    <w:p>
      <w:pPr>
        <w:ind w:firstLine="480" w:firstLineChars="200"/>
        <w:rPr>
          <w:rFonts w:ascii="微软雅黑" w:hAnsi="微软雅黑" w:eastAsia="微软雅黑" w:cs="微软雅黑"/>
          <w:color w:val="000000"/>
          <w:sz w:val="24"/>
          <w:szCs w:val="24"/>
        </w:rPr>
      </w:pPr>
      <w:r>
        <w:rPr>
          <w:rFonts w:hint="eastAsia" w:ascii="微软雅黑" w:hAnsi="微软雅黑" w:eastAsia="微软雅黑" w:cs="微软雅黑"/>
          <w:color w:val="000000"/>
          <w:sz w:val="24"/>
          <w:szCs w:val="24"/>
        </w:rPr>
        <w:t>附件一：《商铺明细表》</w:t>
      </w:r>
    </w:p>
    <w:p>
      <w:pPr>
        <w:pStyle w:val="2"/>
        <w:ind w:firstLine="464"/>
      </w:pPr>
    </w:p>
    <w:p>
      <w:pPr>
        <w:pStyle w:val="22"/>
        <w:spacing w:after="380" w:line="468" w:lineRule="exact"/>
        <w:ind w:firstLine="480" w:firstLineChars="200"/>
        <w:rPr>
          <w:rFonts w:ascii="微软雅黑" w:hAnsi="微软雅黑" w:eastAsia="微软雅黑" w:cs="微软雅黑"/>
          <w:color w:val="000000"/>
          <w:sz w:val="24"/>
          <w:szCs w:val="24"/>
          <w:lang w:val="en-US" w:eastAsia="zh-CN"/>
        </w:rPr>
      </w:pPr>
      <w:r>
        <w:rPr>
          <w:rFonts w:hint="eastAsia" w:ascii="微软雅黑" w:hAnsi="微软雅黑" w:eastAsia="微软雅黑" w:cs="微软雅黑"/>
          <w:color w:val="000000"/>
          <w:sz w:val="24"/>
          <w:szCs w:val="24"/>
          <w:lang w:val="en-US" w:eastAsia="zh-CN"/>
        </w:rPr>
        <w:t>附件二：《车位明细表》</w:t>
      </w:r>
    </w:p>
    <w:p>
      <w:pPr>
        <w:pStyle w:val="22"/>
        <w:spacing w:after="380" w:line="468" w:lineRule="exact"/>
        <w:ind w:firstLine="480" w:firstLineChars="200"/>
        <w:rPr>
          <w:color w:val="000000"/>
          <w:sz w:val="24"/>
          <w:szCs w:val="24"/>
        </w:rPr>
      </w:pPr>
      <w:r>
        <w:rPr>
          <w:rFonts w:hint="eastAsia" w:ascii="微软雅黑" w:hAnsi="微软雅黑" w:eastAsia="微软雅黑" w:cs="微软雅黑"/>
          <w:color w:val="000000"/>
          <w:sz w:val="24"/>
          <w:szCs w:val="24"/>
          <w:lang w:val="en-US" w:eastAsia="zh-CN"/>
        </w:rPr>
        <w:t>附件三：《嘉美广场出租商铺明细表》</w:t>
      </w:r>
    </w:p>
    <w:sectPr>
      <w:footerReference r:id="rId3" w:type="default"/>
      <w:pgSz w:w="11906" w:h="16838"/>
      <w:pgMar w:top="1531" w:right="1361" w:bottom="1531"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fldChar w:fldCharType="begin"/>
    </w:r>
    <w:r>
      <w:instrText xml:space="preserve"> PAGE   \* MERGEFORMAT </w:instrText>
    </w:r>
    <w:r>
      <w:fldChar w:fldCharType="separate"/>
    </w:r>
    <w:r>
      <w:rPr>
        <w:lang w:val="zh-CN"/>
      </w:rPr>
      <w:t>8</w:t>
    </w:r>
    <w:r>
      <w:rPr>
        <w:lang w:val="zh-CN"/>
      </w:rPr>
      <w:fldChar w:fldCharType="end"/>
    </w:r>
  </w:p>
  <w:p>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zNjk4YmRmMzczNGYwZDI3OWMxNmQxNzc1Yjk0NGYifQ=="/>
  </w:docVars>
  <w:rsids>
    <w:rsidRoot w:val="00781678"/>
    <w:rsid w:val="00003353"/>
    <w:rsid w:val="000B6D2C"/>
    <w:rsid w:val="000D23D1"/>
    <w:rsid w:val="001B21BB"/>
    <w:rsid w:val="001B49AD"/>
    <w:rsid w:val="001D2D92"/>
    <w:rsid w:val="0028180B"/>
    <w:rsid w:val="002B4DC3"/>
    <w:rsid w:val="004333AD"/>
    <w:rsid w:val="005D26CB"/>
    <w:rsid w:val="005D4E81"/>
    <w:rsid w:val="00781678"/>
    <w:rsid w:val="008315A5"/>
    <w:rsid w:val="00893B6D"/>
    <w:rsid w:val="009143C6"/>
    <w:rsid w:val="009452E2"/>
    <w:rsid w:val="00AD0995"/>
    <w:rsid w:val="00C75092"/>
    <w:rsid w:val="00D83FB5"/>
    <w:rsid w:val="00E06822"/>
    <w:rsid w:val="00F65A3C"/>
    <w:rsid w:val="00F65FE9"/>
    <w:rsid w:val="00FF58A5"/>
    <w:rsid w:val="02467384"/>
    <w:rsid w:val="02F82082"/>
    <w:rsid w:val="03AB7B6C"/>
    <w:rsid w:val="04027969"/>
    <w:rsid w:val="04917F76"/>
    <w:rsid w:val="06965CA6"/>
    <w:rsid w:val="06DA38CF"/>
    <w:rsid w:val="07E5409F"/>
    <w:rsid w:val="084E678A"/>
    <w:rsid w:val="08597DA5"/>
    <w:rsid w:val="086521EE"/>
    <w:rsid w:val="08787943"/>
    <w:rsid w:val="08885C1F"/>
    <w:rsid w:val="08DD2784"/>
    <w:rsid w:val="091F2D9D"/>
    <w:rsid w:val="09332F57"/>
    <w:rsid w:val="095D3A60"/>
    <w:rsid w:val="0A221EE6"/>
    <w:rsid w:val="0A901A4D"/>
    <w:rsid w:val="0B064214"/>
    <w:rsid w:val="0B072C11"/>
    <w:rsid w:val="0B1A0653"/>
    <w:rsid w:val="0C44395D"/>
    <w:rsid w:val="0C9942FB"/>
    <w:rsid w:val="0CE92DFA"/>
    <w:rsid w:val="0DD36374"/>
    <w:rsid w:val="0E9F2EFB"/>
    <w:rsid w:val="0EC160C6"/>
    <w:rsid w:val="0F746C8B"/>
    <w:rsid w:val="10056DB6"/>
    <w:rsid w:val="108A75E6"/>
    <w:rsid w:val="1097230C"/>
    <w:rsid w:val="10EB4E1B"/>
    <w:rsid w:val="119266B0"/>
    <w:rsid w:val="11CB3BFE"/>
    <w:rsid w:val="12497A22"/>
    <w:rsid w:val="127356E5"/>
    <w:rsid w:val="12DF65E9"/>
    <w:rsid w:val="13C20EF5"/>
    <w:rsid w:val="14385781"/>
    <w:rsid w:val="15BC5B5D"/>
    <w:rsid w:val="168A13B6"/>
    <w:rsid w:val="172C4DFA"/>
    <w:rsid w:val="17FB1924"/>
    <w:rsid w:val="18C616E0"/>
    <w:rsid w:val="18F2402A"/>
    <w:rsid w:val="18F5189B"/>
    <w:rsid w:val="18FE40F8"/>
    <w:rsid w:val="19CE2D11"/>
    <w:rsid w:val="19EF40C6"/>
    <w:rsid w:val="1A542C0F"/>
    <w:rsid w:val="1B5A216D"/>
    <w:rsid w:val="1BF10A42"/>
    <w:rsid w:val="1C340C91"/>
    <w:rsid w:val="1C657A4B"/>
    <w:rsid w:val="1DBD4D0E"/>
    <w:rsid w:val="1E95623E"/>
    <w:rsid w:val="1EA7346A"/>
    <w:rsid w:val="204C01AE"/>
    <w:rsid w:val="235A0180"/>
    <w:rsid w:val="25052271"/>
    <w:rsid w:val="25853B30"/>
    <w:rsid w:val="25BF3561"/>
    <w:rsid w:val="2710701C"/>
    <w:rsid w:val="28AC1A73"/>
    <w:rsid w:val="2AFE4499"/>
    <w:rsid w:val="2C2007DD"/>
    <w:rsid w:val="2C3963A8"/>
    <w:rsid w:val="2D157E8F"/>
    <w:rsid w:val="2D6F1953"/>
    <w:rsid w:val="2E0B2A2D"/>
    <w:rsid w:val="2F11754B"/>
    <w:rsid w:val="2F4C672E"/>
    <w:rsid w:val="2F7B2A55"/>
    <w:rsid w:val="318E3C80"/>
    <w:rsid w:val="31BC68BC"/>
    <w:rsid w:val="31F363B5"/>
    <w:rsid w:val="32A20C9A"/>
    <w:rsid w:val="33F51565"/>
    <w:rsid w:val="347104A8"/>
    <w:rsid w:val="34CF43D8"/>
    <w:rsid w:val="35135123"/>
    <w:rsid w:val="355C07DA"/>
    <w:rsid w:val="360E7C24"/>
    <w:rsid w:val="360F0C2E"/>
    <w:rsid w:val="36733141"/>
    <w:rsid w:val="36FF1994"/>
    <w:rsid w:val="37205E40"/>
    <w:rsid w:val="38B32719"/>
    <w:rsid w:val="39E62997"/>
    <w:rsid w:val="3B6C1BFC"/>
    <w:rsid w:val="3B947F15"/>
    <w:rsid w:val="3BF849A3"/>
    <w:rsid w:val="3C9267EF"/>
    <w:rsid w:val="3CB632C0"/>
    <w:rsid w:val="3CFA0745"/>
    <w:rsid w:val="3EEA4E00"/>
    <w:rsid w:val="401B0359"/>
    <w:rsid w:val="406E7B77"/>
    <w:rsid w:val="407229FE"/>
    <w:rsid w:val="40D91117"/>
    <w:rsid w:val="41C87FAF"/>
    <w:rsid w:val="42CF27D1"/>
    <w:rsid w:val="43FF57C3"/>
    <w:rsid w:val="44C935E1"/>
    <w:rsid w:val="44E977E0"/>
    <w:rsid w:val="467E7F29"/>
    <w:rsid w:val="47397DB9"/>
    <w:rsid w:val="477E6D46"/>
    <w:rsid w:val="48B259B3"/>
    <w:rsid w:val="493F02E6"/>
    <w:rsid w:val="49B21A84"/>
    <w:rsid w:val="4A986D9D"/>
    <w:rsid w:val="4B284F97"/>
    <w:rsid w:val="4B857F7F"/>
    <w:rsid w:val="4C6B37AB"/>
    <w:rsid w:val="4C887393"/>
    <w:rsid w:val="4DF67155"/>
    <w:rsid w:val="4E42770F"/>
    <w:rsid w:val="4EFC3A63"/>
    <w:rsid w:val="4F1638C7"/>
    <w:rsid w:val="4F5848FE"/>
    <w:rsid w:val="4F712E54"/>
    <w:rsid w:val="4F7C5BA3"/>
    <w:rsid w:val="4FD71539"/>
    <w:rsid w:val="505240F4"/>
    <w:rsid w:val="50704CA2"/>
    <w:rsid w:val="50AB7D37"/>
    <w:rsid w:val="50CF3478"/>
    <w:rsid w:val="52C35B14"/>
    <w:rsid w:val="533B5C32"/>
    <w:rsid w:val="53E6797F"/>
    <w:rsid w:val="548073AD"/>
    <w:rsid w:val="554644B0"/>
    <w:rsid w:val="554B7C7E"/>
    <w:rsid w:val="58C26B2B"/>
    <w:rsid w:val="59895508"/>
    <w:rsid w:val="598D0C2A"/>
    <w:rsid w:val="5A4C2FD0"/>
    <w:rsid w:val="5B6B4F9B"/>
    <w:rsid w:val="5BA540EF"/>
    <w:rsid w:val="5BDA3C8D"/>
    <w:rsid w:val="5E2B0BD7"/>
    <w:rsid w:val="5ECF138D"/>
    <w:rsid w:val="5F10297D"/>
    <w:rsid w:val="5F1861FE"/>
    <w:rsid w:val="5F2F18DE"/>
    <w:rsid w:val="5F472F16"/>
    <w:rsid w:val="5FED06E7"/>
    <w:rsid w:val="60125B60"/>
    <w:rsid w:val="605B435E"/>
    <w:rsid w:val="621E68C3"/>
    <w:rsid w:val="62774B81"/>
    <w:rsid w:val="64C85E00"/>
    <w:rsid w:val="6593322E"/>
    <w:rsid w:val="65F91DC9"/>
    <w:rsid w:val="66CE323A"/>
    <w:rsid w:val="67225A4B"/>
    <w:rsid w:val="678061B5"/>
    <w:rsid w:val="67AC781F"/>
    <w:rsid w:val="681F5143"/>
    <w:rsid w:val="682140F7"/>
    <w:rsid w:val="689655D2"/>
    <w:rsid w:val="690F40F1"/>
    <w:rsid w:val="696D0DB3"/>
    <w:rsid w:val="6A3655C4"/>
    <w:rsid w:val="6A403ED9"/>
    <w:rsid w:val="6AFE1987"/>
    <w:rsid w:val="6B087B86"/>
    <w:rsid w:val="6B23178B"/>
    <w:rsid w:val="6B736DB5"/>
    <w:rsid w:val="6BA240C1"/>
    <w:rsid w:val="6BD6062C"/>
    <w:rsid w:val="6C4A3593"/>
    <w:rsid w:val="6EF8049C"/>
    <w:rsid w:val="6F916826"/>
    <w:rsid w:val="6FEC08D5"/>
    <w:rsid w:val="70BC38B5"/>
    <w:rsid w:val="71431B60"/>
    <w:rsid w:val="732A3F73"/>
    <w:rsid w:val="7474370C"/>
    <w:rsid w:val="74D6127F"/>
    <w:rsid w:val="76620FCD"/>
    <w:rsid w:val="77562AE3"/>
    <w:rsid w:val="77784870"/>
    <w:rsid w:val="77921335"/>
    <w:rsid w:val="78325272"/>
    <w:rsid w:val="793A0E79"/>
    <w:rsid w:val="79AF65B1"/>
    <w:rsid w:val="7AA5606E"/>
    <w:rsid w:val="7AF74E6E"/>
    <w:rsid w:val="7C6D6BE1"/>
    <w:rsid w:val="7D1F684F"/>
    <w:rsid w:val="7DED3159"/>
    <w:rsid w:val="7E653AB2"/>
    <w:rsid w:val="7EEC347E"/>
    <w:rsid w:val="7F990A0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4">
    <w:name w:val="heading 3"/>
    <w:basedOn w:val="1"/>
    <w:next w:val="1"/>
    <w:qFormat/>
    <w:uiPriority w:val="1"/>
    <w:pPr>
      <w:ind w:left="601"/>
      <w:outlineLvl w:val="2"/>
    </w:pPr>
    <w:rPr>
      <w:rFonts w:ascii="黑体" w:hAnsi="黑体" w:eastAsia="黑体" w:cs="黑体"/>
      <w:b/>
      <w:bCs/>
      <w:sz w:val="24"/>
      <w:szCs w:val="24"/>
      <w:lang w:val="zh-CN" w:bidi="zh-CN"/>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spacing w:line="360" w:lineRule="auto"/>
      <w:ind w:firstLine="420" w:firstLineChars="200"/>
    </w:pPr>
    <w:rPr>
      <w:rFonts w:hint="default" w:cs="Times New Roman"/>
      <w:sz w:val="24"/>
      <w:szCs w:val="22"/>
    </w:rPr>
  </w:style>
  <w:style w:type="paragraph" w:styleId="3">
    <w:name w:val="Body Text Indent"/>
    <w:basedOn w:val="1"/>
    <w:qFormat/>
    <w:uiPriority w:val="0"/>
    <w:pPr>
      <w:spacing w:line="200" w:lineRule="exact"/>
      <w:ind w:firstLine="301"/>
    </w:pPr>
    <w:rPr>
      <w:rFonts w:hint="eastAsia" w:ascii="宋体" w:hAnsi="Courier New"/>
      <w:spacing w:val="-4"/>
      <w:sz w:val="18"/>
      <w:szCs w:val="20"/>
    </w:rPr>
  </w:style>
  <w:style w:type="paragraph" w:styleId="5">
    <w:name w:val="annotation text"/>
    <w:basedOn w:val="1"/>
    <w:link w:val="17"/>
    <w:qFormat/>
    <w:uiPriority w:val="0"/>
    <w:pPr>
      <w:jc w:val="left"/>
    </w:pPr>
    <w:rPr>
      <w:rFonts w:cs="Times New Roman"/>
    </w:rPr>
  </w:style>
  <w:style w:type="paragraph" w:styleId="6">
    <w:name w:val="Body Text"/>
    <w:basedOn w:val="1"/>
    <w:qFormat/>
    <w:uiPriority w:val="1"/>
    <w:pPr>
      <w:ind w:left="118"/>
    </w:pPr>
    <w:rPr>
      <w:rFonts w:ascii="宋体" w:hAnsi="宋体"/>
      <w:sz w:val="24"/>
      <w:szCs w:val="24"/>
      <w:lang w:val="zh-CN" w:bidi="zh-CN"/>
    </w:rPr>
  </w:style>
  <w:style w:type="paragraph" w:styleId="7">
    <w:name w:val="Body Text Indent 2"/>
    <w:basedOn w:val="1"/>
    <w:link w:val="16"/>
    <w:qFormat/>
    <w:uiPriority w:val="0"/>
    <w:pPr>
      <w:spacing w:after="120" w:line="480" w:lineRule="auto"/>
      <w:ind w:left="200" w:leftChars="200"/>
    </w:pPr>
    <w:rPr>
      <w:rFonts w:cs="Times New Roman"/>
      <w:kern w:val="0"/>
      <w:sz w:val="20"/>
    </w:rPr>
  </w:style>
  <w:style w:type="paragraph" w:styleId="8">
    <w:name w:val="Balloon Text"/>
    <w:basedOn w:val="1"/>
    <w:link w:val="18"/>
    <w:qFormat/>
    <w:uiPriority w:val="99"/>
    <w:rPr>
      <w:sz w:val="18"/>
      <w:szCs w:val="18"/>
    </w:rPr>
  </w:style>
  <w:style w:type="paragraph" w:styleId="9">
    <w:name w:val="footer"/>
    <w:basedOn w:val="1"/>
    <w:link w:val="20"/>
    <w:qFormat/>
    <w:uiPriority w:val="99"/>
    <w:pPr>
      <w:tabs>
        <w:tab w:val="center" w:pos="4153"/>
        <w:tab w:val="right" w:pos="8306"/>
      </w:tabs>
      <w:snapToGrid w:val="0"/>
      <w:jc w:val="left"/>
    </w:pPr>
    <w:rPr>
      <w:sz w:val="18"/>
      <w:szCs w:val="18"/>
    </w:rPr>
  </w:style>
  <w:style w:type="paragraph" w:styleId="10">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5"/>
    <w:next w:val="5"/>
    <w:link w:val="27"/>
    <w:qFormat/>
    <w:uiPriority w:val="0"/>
    <w:rPr>
      <w:rFonts w:cs="宋体"/>
      <w:b/>
      <w:bCs/>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basedOn w:val="14"/>
    <w:qFormat/>
    <w:uiPriority w:val="99"/>
    <w:rPr>
      <w:sz w:val="21"/>
      <w:szCs w:val="21"/>
    </w:rPr>
  </w:style>
  <w:style w:type="character" w:customStyle="1" w:styleId="16">
    <w:name w:val="正文文本缩进 2 字符"/>
    <w:basedOn w:val="14"/>
    <w:link w:val="7"/>
    <w:qFormat/>
    <w:uiPriority w:val="0"/>
    <w:rPr>
      <w:rFonts w:ascii="Calibri" w:hAnsi="Calibri" w:eastAsia="宋体" w:cs="Times New Roman"/>
      <w:kern w:val="0"/>
      <w:sz w:val="20"/>
    </w:rPr>
  </w:style>
  <w:style w:type="character" w:customStyle="1" w:styleId="17">
    <w:name w:val="批注文字 字符"/>
    <w:basedOn w:val="14"/>
    <w:link w:val="5"/>
    <w:qFormat/>
    <w:uiPriority w:val="0"/>
    <w:rPr>
      <w:rFonts w:ascii="Calibri" w:hAnsi="Calibri" w:eastAsia="宋体" w:cs="Times New Roman"/>
    </w:rPr>
  </w:style>
  <w:style w:type="character" w:customStyle="1" w:styleId="18">
    <w:name w:val="批注框文本 字符"/>
    <w:basedOn w:val="14"/>
    <w:link w:val="8"/>
    <w:qFormat/>
    <w:uiPriority w:val="99"/>
    <w:rPr>
      <w:sz w:val="18"/>
      <w:szCs w:val="18"/>
    </w:rPr>
  </w:style>
  <w:style w:type="character" w:customStyle="1" w:styleId="19">
    <w:name w:val="页眉 字符"/>
    <w:basedOn w:val="14"/>
    <w:link w:val="10"/>
    <w:qFormat/>
    <w:uiPriority w:val="99"/>
    <w:rPr>
      <w:sz w:val="18"/>
      <w:szCs w:val="18"/>
    </w:rPr>
  </w:style>
  <w:style w:type="character" w:customStyle="1" w:styleId="20">
    <w:name w:val="页脚 字符"/>
    <w:basedOn w:val="14"/>
    <w:link w:val="9"/>
    <w:qFormat/>
    <w:uiPriority w:val="99"/>
    <w:rPr>
      <w:sz w:val="18"/>
      <w:szCs w:val="18"/>
    </w:rPr>
  </w:style>
  <w:style w:type="paragraph" w:styleId="21">
    <w:name w:val="List Paragraph"/>
    <w:basedOn w:val="1"/>
    <w:qFormat/>
    <w:uiPriority w:val="1"/>
    <w:pPr>
      <w:ind w:left="118" w:firstLine="480"/>
    </w:pPr>
    <w:rPr>
      <w:rFonts w:ascii="宋体" w:hAnsi="宋体"/>
      <w:lang w:val="zh-CN" w:bidi="zh-CN"/>
    </w:rPr>
  </w:style>
  <w:style w:type="paragraph" w:customStyle="1" w:styleId="22">
    <w:name w:val="Body text|1"/>
    <w:basedOn w:val="1"/>
    <w:qFormat/>
    <w:uiPriority w:val="0"/>
    <w:pPr>
      <w:spacing w:line="422" w:lineRule="auto"/>
      <w:ind w:firstLine="400"/>
    </w:pPr>
    <w:rPr>
      <w:rFonts w:ascii="宋体" w:hAnsi="宋体"/>
      <w:sz w:val="22"/>
      <w:lang w:val="zh-TW" w:eastAsia="zh-TW" w:bidi="zh-TW"/>
    </w:rPr>
  </w:style>
  <w:style w:type="paragraph" w:customStyle="1" w:styleId="23">
    <w:name w:val="Heading #1|1"/>
    <w:basedOn w:val="1"/>
    <w:qFormat/>
    <w:uiPriority w:val="0"/>
    <w:pPr>
      <w:spacing w:before="340" w:after="160"/>
      <w:jc w:val="center"/>
      <w:outlineLvl w:val="0"/>
    </w:pPr>
    <w:rPr>
      <w:rFonts w:ascii="宋体" w:hAnsi="宋体"/>
      <w:sz w:val="28"/>
      <w:szCs w:val="28"/>
      <w:lang w:val="zh-TW" w:eastAsia="zh-TW" w:bidi="zh-TW"/>
    </w:rPr>
  </w:style>
  <w:style w:type="paragraph" w:customStyle="1" w:styleId="24">
    <w:name w:val="Heading #3|1"/>
    <w:basedOn w:val="1"/>
    <w:qFormat/>
    <w:uiPriority w:val="0"/>
    <w:pPr>
      <w:spacing w:line="464" w:lineRule="exact"/>
      <w:ind w:firstLine="480"/>
      <w:outlineLvl w:val="2"/>
    </w:pPr>
    <w:rPr>
      <w:rFonts w:ascii="宋体" w:hAnsi="宋体"/>
      <w:b/>
      <w:bCs/>
      <w:sz w:val="22"/>
      <w:lang w:val="zh-TW" w:eastAsia="zh-TW" w:bidi="zh-TW"/>
    </w:rPr>
  </w:style>
  <w:style w:type="paragraph" w:customStyle="1" w:styleId="25">
    <w:name w:val="Heading #2|1"/>
    <w:basedOn w:val="1"/>
    <w:qFormat/>
    <w:uiPriority w:val="0"/>
    <w:pPr>
      <w:spacing w:line="454" w:lineRule="exact"/>
      <w:ind w:firstLine="460"/>
      <w:outlineLvl w:val="1"/>
    </w:pPr>
    <w:rPr>
      <w:rFonts w:ascii="宋体" w:hAnsi="宋体"/>
      <w:lang w:val="zh-TW" w:eastAsia="zh-TW" w:bidi="zh-TW"/>
    </w:rPr>
  </w:style>
  <w:style w:type="paragraph" w:customStyle="1" w:styleId="26">
    <w:name w:val="Table caption|1"/>
    <w:basedOn w:val="1"/>
    <w:qFormat/>
    <w:uiPriority w:val="0"/>
    <w:rPr>
      <w:rFonts w:ascii="宋体" w:hAnsi="宋体"/>
      <w:sz w:val="22"/>
      <w:lang w:val="zh-TW" w:eastAsia="zh-TW" w:bidi="zh-TW"/>
    </w:rPr>
  </w:style>
  <w:style w:type="character" w:customStyle="1" w:styleId="27">
    <w:name w:val="批注主题 字符"/>
    <w:basedOn w:val="17"/>
    <w:link w:val="11"/>
    <w:qFormat/>
    <w:uiPriority w:val="0"/>
    <w:rPr>
      <w:rFonts w:ascii="Calibri" w:hAnsi="Calibri" w:eastAsia="宋体" w:cs="宋体"/>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item1.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566929134" units="1/cm"/>
          <inkml:channelProperty channel="Y" name="resolution" value="28.3464566929134" units="1/cm"/>
        </inkml:channelProperties>
      </inkml:inkSource>
      <inkml:timestamp xml:id="ts0" timeString="2023-04-04T05:18:22"/>
    </inkml:context>
    <inkml:brush xml:id="br0">
      <inkml:brushProperty name="width" value="0.05292" units="cm"/>
      <inkml:brushProperty name="height" value="0.05292" units="cm"/>
      <inkml:brushProperty name="color" value="#f80600"/>
      <inkml:brushProperty name="ignorePressure" value="0"/>
    </inkml:brush>
  </inkml:definitions>
  <inkml:trace contextRef="#ctx0" brushRef="#br0">3241 24435,'0'-9,"0"9</inkml:trace>
</inkml:ink>
</file>

<file path=customXml/item2.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566929134" units="1/cm"/>
          <inkml:channelProperty channel="Y" name="resolution" value="28.3464566929134" units="1/cm"/>
        </inkml:channelProperties>
      </inkml:inkSource>
      <inkml:timestamp xml:id="ts0" timeString="2023-04-04T05:18:22"/>
    </inkml:context>
    <inkml:brush xml:id="br0">
      <inkml:brushProperty name="width" value="0.05292" units="cm"/>
      <inkml:brushProperty name="height" value="0.05292" units="cm"/>
      <inkml:brushProperty name="color" value="#f80600"/>
      <inkml:brushProperty name="ignorePressure" value="0"/>
    </inkml:brush>
  </inkml:definitions>
  <inkml:trace contextRef="#ctx0" brushRef="#br0">11891 27720,'0'-9,"0"1,9 8,16 0,0 0,16 0,1 0,16 0,-8 0,9 0,-18 0,-7 0,-1 0,-8 0,-17 0,1 0,-1 0,0 0,1 0,-1 0,0 0,1 0,-1-8,-8 8</inkml:trace>
</inkml:ink>
</file>

<file path=customXml/item3.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566929134" units="1/cm"/>
          <inkml:channelProperty channel="Y" name="resolution" value="28.3464566929134" units="1/cm"/>
        </inkml:channelProperties>
      </inkml:inkSource>
      <inkml:timestamp xml:id="ts0" timeString="2023-04-04T05:18:22"/>
    </inkml:context>
    <inkml:brush xml:id="br0">
      <inkml:brushProperty name="width" value="0.05292" units="cm"/>
      <inkml:brushProperty name="height" value="0.05292" units="cm"/>
      <inkml:brushProperty name="color" value="#f80600"/>
      <inkml:brushProperty name="ignorePressure" value="0"/>
    </inkml:brush>
  </inkml:definitions>
  <inkml:trace contextRef="#ctx0" brushRef="#br0">4700 13539,'0'0</inkml:trace>
</inkml:ink>
</file>

<file path=customXml/item4.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566929134" units="1/cm"/>
          <inkml:channelProperty channel="Y" name="resolution" value="28.3464566929134" units="1/cm"/>
        </inkml:channelProperties>
      </inkml:inkSource>
      <inkml:timestamp xml:id="ts0" timeString="2023-04-04T05:18:22"/>
    </inkml:context>
    <inkml:brush xml:id="br0">
      <inkml:brushProperty name="width" value="0.05292" units="cm"/>
      <inkml:brushProperty name="height" value="0.05292" units="cm"/>
      <inkml:brushProperty name="color" value="#f80600"/>
      <inkml:brushProperty name="ignorePressure" value="0"/>
    </inkml:brush>
  </inkml:definitions>
  <inkml:trace contextRef="#ctx0" brushRef="#br0">5508 14285,'0'0</inkml:trace>
</inkml:ink>
</file>

<file path=customXml/item5.xml><?xml version="1.0" encoding="utf-8"?>
<b:Sources xmlns:b="http://schemas.openxmlformats.org/officeDocument/2006/bibliography" xmlns="http://schemas.openxmlformats.org/officeDocument/2006/bibliography" SelectedStyle="" StyleName=""/>
</file>

<file path=customXml/item6.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566929134" units="1/cm"/>
          <inkml:channelProperty channel="Y" name="resolution" value="28.3464566929134" units="1/cm"/>
        </inkml:channelProperties>
      </inkml:inkSource>
      <inkml:timestamp xml:id="ts0" timeString="2023-04-04T05:18:22"/>
    </inkml:context>
    <inkml:brush xml:id="br0">
      <inkml:brushProperty name="width" value="0.05292" units="cm"/>
      <inkml:brushProperty name="height" value="0.05292" units="cm"/>
      <inkml:brushProperty name="color" value="#f80600"/>
      <inkml:brushProperty name="ignorePressure" value="0"/>
    </inkml:brush>
  </inkml:definitions>
  <inkml:trace contextRef="#ctx0" brushRef="#br0">5500 14302,'0'0</inkml:trace>
</inkml:ink>
</file>

<file path=customXml/item7.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566929134" units="1/cm"/>
          <inkml:channelProperty channel="Y" name="resolution" value="28.3464566929134" units="1/cm"/>
        </inkml:channelProperties>
      </inkml:inkSource>
      <inkml:timestamp xml:id="ts0" timeString="2023-04-04T05:18:22"/>
    </inkml:context>
    <inkml:brush xml:id="br0">
      <inkml:brushProperty name="width" value="0.05292" units="cm"/>
      <inkml:brushProperty name="height" value="0.05292" units="cm"/>
      <inkml:brushProperty name="color" value="#f80600"/>
      <inkml:brushProperty name="ignorePressure" value="0"/>
    </inkml:brush>
  </inkml:definitions>
  <inkml:trace contextRef="#ctx0" brushRef="#br0">5508 14285,'0'0</inkml:trace>
</inkml:ink>
</file>

<file path=customXml/item8.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566929134" units="1/cm"/>
          <inkml:channelProperty channel="Y" name="resolution" value="28.3464566929134" units="1/cm"/>
        </inkml:channelProperties>
      </inkml:inkSource>
      <inkml:timestamp xml:id="ts0" timeString="2023-04-04T05:18:22"/>
    </inkml:context>
    <inkml:brush xml:id="br0">
      <inkml:brushProperty name="width" value="0.05292" units="cm"/>
      <inkml:brushProperty name="height" value="0.05292" units="cm"/>
      <inkml:brushProperty name="color" value="#f80600"/>
      <inkml:brushProperty name="ignorePressure" value="0"/>
    </inkml:brush>
  </inkml:definitions>
  <inkml:trace contextRef="#ctx0" brushRef="#br0">5966 15194,'0'0</inkml:trace>
</inkml:ink>
</file>

<file path=customXml/item9.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566929134" units="1/cm"/>
          <inkml:channelProperty channel="Y" name="resolution" value="28.3464566929134" units="1/cm"/>
        </inkml:channelProperties>
      </inkml:inkSource>
      <inkml:timestamp xml:id="ts0" timeString="2023-04-04T05:18:22"/>
    </inkml:context>
    <inkml:brush xml:id="br0">
      <inkml:brushProperty name="width" value="0.05292" units="cm"/>
      <inkml:brushProperty name="height" value="0.05292" units="cm"/>
      <inkml:brushProperty name="color" value="#f80600"/>
      <inkml:brushProperty name="ignorePressure" value="0"/>
    </inkml:brush>
  </inkml:definitions>
  <inkml:trace contextRef="#ctx0" brushRef="#br0">3975 21248,'-17'0,"9"0,-9 0,9 0,-1 0,1 0,0 17,-9-17,9 17,-1-17,9 16,-16-7,7 7,1-16,8 9,-17 7,9-7,0-1,8 0,0 1,0-1,-9 0,1 9,8-9,0 1,0-1,0 9,0-1,0 1,-8 0,8 8,0 0,0 8,0-16,0-9,0 0,0 17,0-16,0-1,0 9,16-1,-16-7,9-9,-9 8,16 0,-7 9,-1 0,0-9,1 0,-1 1,0-1,1-8,-1 8,9-8,-9 0,0 9,1-9,24 8,-16 0,-9-8,9 0,8 0,-17 0,9 0,-1 0,9 0,0 0,0 0,0 0,0 0,0 0,0 0,0 0,0 0,-8 0,8 0,-8 0,-1 0,1 0,-9 0,1 0,16 0,-9 0,-7 0,7 0,1 0,8 0,-17 0,9 0,0 0,8 0,-9 0,1-8,-9 8,9-8,0 8,-9 0,9 0,-9-9,9 9,-1-8,-7 0,7 8,-7-9,7 9,1-8,-9 8,1-8,-1-1,0 9,1-8,-9 0,16-1,-7 9,-1-16,9 7,-9-7,0 7,9-7,-9-9,1 8,-1 0,0 1,1-9,-1 16,-8-7,0-9,0 16,8-7,-8 7,0-7,9 7,-9 1,0 0,0-1,0 1,0 0,0-1,0 1,-9 0,-7-1,-9 9,0 0,0-8,-9 0,9-1,-8 1,8 8,0 0,-8-8,16 8,-16 0,24 0,-16-9,17 9,-9 0,-8-8,9 8,-1 0,-8-8,8 8,9 0,-9-9,1 9,7 0,1 0,0 0,-9 0,9 0,-9 0,0 0,-8 0,17-8,-17 8,17 0,-1 0,-7 0,7 0,1 0,-9 0,1 0,7 0,1 0,-9 0,1 0,7 0,-7 0,-1 0,9 0,-9 0,9 0,-9 0,9 0,-9 0,0 0,17-8,-16 8,-1 0,0 0,9 0,0 0,-9 0,-8 0,8 0,9 0,0 0,-1 0,1 0,0 0,-1 0,1 0,8 0</inkml:trace>
</inkml:ink>
</file>

<file path=customXml/item10.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566929134" units="1/cm"/>
          <inkml:channelProperty channel="Y" name="resolution" value="28.3464566929134" units="1/cm"/>
        </inkml:channelProperties>
      </inkml:inkSource>
      <inkml:timestamp xml:id="ts0" timeString="2023-04-04T05:18:22"/>
    </inkml:context>
    <inkml:brush xml:id="br0">
      <inkml:brushProperty name="width" value="0.05292" units="cm"/>
      <inkml:brushProperty name="height" value="0.05292" units="cm"/>
      <inkml:brushProperty name="color" value="#f80600"/>
      <inkml:brushProperty name="ignorePressure" value="0"/>
    </inkml:brush>
  </inkml:definitions>
  <inkml:trace contextRef="#ctx0" brushRef="#br0">3400 21732,'25'0,"0"-9,8 9,-16-8,24 8,1-8,41-1,9 1,0-9,8 9,8 0,-8-1,0 1,-8-9,-1 9,-7 0,-1-1,-25 9,9-8,-9 8,1 0,-26 0,-8 0,-17 0,1 0,-18 0,34 0,-25 8,17-8,16 9,26 7,-9-7,-9-1,9 0,-16 1,7-1,-7-8,-9 0,-17 0,9 0,-9 0,9 0,8 0,0 8,0-8,0 0,0 0,8 0,-25 0,26 0,-18 0,9 0,-8 0,0 0,-1 0,1 0,-9 0,9 0,-9 0,1 9,-1-9,9 0,8 0,8 0,-16 0,-1 0,-7 0,16 0,-9 0,-7 0,-1 0,9 0,-9 0,0 0,9 0,-9 0,1 0,-1 0,0 0,1 0,-1 0,0 0,-8 0</inkml:trace>
</inkml:ink>
</file>

<file path=customXml/item11.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566929134" units="1/cm"/>
          <inkml:channelProperty channel="Y" name="resolution" value="28.3464566929134" units="1/cm"/>
        </inkml:channelProperties>
      </inkml:inkSource>
      <inkml:timestamp xml:id="ts0" timeString="2023-04-04T05:18:22"/>
    </inkml:context>
    <inkml:brush xml:id="br0">
      <inkml:brushProperty name="width" value="0.05292" units="cm"/>
      <inkml:brushProperty name="height" value="0.05292" units="cm"/>
      <inkml:brushProperty name="color" value="#f80600"/>
      <inkml:brushProperty name="ignorePressure" value="0"/>
    </inkml:brush>
  </inkml:definitions>
  <inkml:trace contextRef="#ctx0" brushRef="#br0">3208 28161,'0'-8,"8"0,9 8,16 0,-8 0,0 0,9-9,7 9,9-8,25 0,-8 8,25-9,-1 1,9-9,17 9,-17 8,-8 0,-9-8,-16-1,-9 1,-16 8,24-8,-24-1,16 9,-8-8,-8 8,8-8,0 8,-8 0,16 0,0 0,-8 0,-8 0,8 0,-8 0,8 0,-17 0,17 0,-17 0,1 0,7-9,-16 9,-8 0,8 0,0 0,0 0,17 0,-9 0,-8 0,17 0,-9 0,-8 0,0 0,0 9,0-1,-8-8,-1 0,-7 0,7 8,1-8,-9 0,9 0,0 9,-9-9,9 0,-17 0</inkml:trace>
</inkml:ink>
</file>

<file path=customXml/item12.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566929134" units="1/cm"/>
          <inkml:channelProperty channel="Y" name="resolution" value="28.3464566929134" units="1/cm"/>
        </inkml:channelProperties>
      </inkml:inkSource>
      <inkml:timestamp xml:id="ts0" timeString="2023-04-04T05:18:22"/>
    </inkml:context>
    <inkml:brush xml:id="br0">
      <inkml:brushProperty name="width" value="0.05292" units="cm"/>
      <inkml:brushProperty name="height" value="0.05292" units="cm"/>
      <inkml:brushProperty name="color" value="#f80600"/>
      <inkml:brushProperty name="ignorePressure" value="0"/>
    </inkml:brush>
  </inkml:definitions>
  <inkml:trace contextRef="#ctx0" brushRef="#br0">6175 21690,'8'0,"0"0,9 0,8 0,0 0,-8 0,8 0,8 0,9 0,-1 0,9 0,-8 0,8 0,8 0,1 0,-1-8,-8 8,8 0,1 0,-9 0,-9 0,9 0,-8 0,8 0,-17 0,-8 0,0 0,0 0,0 0,-8 0,8 0,-8 0,-1 0,1 0,0 0,-1 0,-7 0,7 0,1 0,-9 0,17 0,-16 0,7 0,1 0,-9 0,1 0,-1 0,0 0,9 0,-9 0,1 0,-1 0,17 0,-17 0,26 0,-18 0,9 0,0 0,0 0,9 0,-18 0,1 0,8 0,-17 0,26 0,-1 0,-25 0,9 0,0 0,-9 0,9 0,-9 0,0 0,1-9,-1 9,25 0,-16 0,66 0,-41 0,8 0,0 0,-8 0,16 0,-8 0,-8 0,8 0,-9 0,9 0,-8 0,0 0,-9 0,9 0,-1 0,-7 0,-1 0,17 9,0-9,-8 0,8 0,-9 0,9 0,-16 8,-1-8,0 8,-24-8,-1 0,0 0,1 0,7 0,9 0,34 0,-26 0,-16 0,16 0,0 0,1 0,16 9,0-9,-17 0,0 8,9-8,-9 8,-8-8,0 0,0 0,9 9,-9-9,16 8,-16-8,0 0,0 0,0 0,-8 0,8 0,0 0,0 0,8 0,1 0,7 0,1 0,8 0,-17 0,1 0,16 8,0-8,-9 0,-7 0,-9 9,8-9,-8 0,0 0,0 0,8 0,9 0,16 0,-8 0,9 0,-1 0,-8 0,0 0,8 0,1 0,7 0,-7 0,-26 0,17 0,-8 0,8 0,-25 0,0 0,-17 0,9 0,-9 0,-8 0</inkml:trace>
</inkml:ink>
</file>

<file path=customXml/item13.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566929134" units="1/cm"/>
          <inkml:channelProperty channel="Y" name="resolution" value="28.3464566929134" units="1/cm"/>
        </inkml:channelProperties>
      </inkml:inkSource>
      <inkml:timestamp xml:id="ts0" timeString="2023-04-04T05:18:22"/>
    </inkml:context>
    <inkml:brush xml:id="br0">
      <inkml:brushProperty name="width" value="0.05292" units="cm"/>
      <inkml:brushProperty name="height" value="0.05292" units="cm"/>
      <inkml:brushProperty name="color" value="#f80600"/>
      <inkml:brushProperty name="ignorePressure" value="0"/>
    </inkml:brush>
  </inkml:definitions>
  <inkml:trace contextRef="#ctx0" brushRef="#br0">6816 21148,'17'0,"16"0,-8 0,34 0,7 0,9 0,9 0,132-8,-74 0,16-17,-16 16,0 9,-1 0,-16 0,-8 0,-17 0,-25 0,8 0,-16-8,0 8,8 0,-9-8,1 8,0 0,8 0,-9 0,1 0,-9 0,-8 0,-8 0,-9 0,9 0,-9 0,9 0,0 0,-9-9,-8 9,0 0,0 0,-8 0,8-8,-17 8,0 0,1 0,16 0,-17 0,25 0,-16 0,0 0,-1 0,9 0,-8 0,0 0,-1 0,9 0,9 0,-26 0,9 0,-9 0,17 0,-17 0,9 0,-9 0,1 0,-1 0,0 0,1 0,-1 0,0 0,9 0,0 0,-9 0,9 0,-9 0,0 0,9 0,8 0,-8 0,-9 0,9 0,8 0,0 0,-9 0,1 0,-9 0,17 0,0 0,0 0,0 0,0 0,9 0,-9 0,8 0,0 0,-8 0,17 0,-17 0,0 0,0 0,0 0,-8 0,-1 0,9 8,0-8,0 0,0 0,0 0,0 0,0 0,-8 0,0 0,-1 0,-7 0,-1 0,9 0,-9 0,0 0,9 0,8 0,-8 0,8 0,0 0,0 0,-9 0,18 0,-18 0,9 0,-8 9,8-9,0 0,8 0,-8 8,25-8,-8 0,8 0,0 8,-17-8,1 0,-9 0,-9 0,9 0,-8 0,0 0,8 0,-9 0,1 0,8 0,0 0,8 0,1 0,-9 0,8 0,0 0,1 0,7 0,-16 0,0 0,9 0,-1 0,-8 0,0 0,0 0,0 0,0 0,-8 0,-1 0,-7 0,-1 9,-8-9</inkml:trace>
</inkml:ink>
</file>

<file path=customXml/item14.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566929134" units="1/cm"/>
          <inkml:channelProperty channel="Y" name="resolution" value="28.3464566929134" units="1/cm"/>
        </inkml:channelProperties>
      </inkml:inkSource>
      <inkml:timestamp xml:id="ts0" timeString="2023-04-04T05:18:22"/>
    </inkml:context>
    <inkml:brush xml:id="br0">
      <inkml:brushProperty name="width" value="0.05292" units="cm"/>
      <inkml:brushProperty name="height" value="0.05292" units="cm"/>
      <inkml:brushProperty name="color" value="#f80600"/>
      <inkml:brushProperty name="ignorePressure" value="0"/>
    </inkml:brush>
  </inkml:definitions>
  <inkml:trace contextRef="#ctx0" brushRef="#br0">4733 13798,'0'0</inkml:trace>
</inkml:ink>
</file>

<file path=customXml/itemProps1.xml><?xml version="1.0" encoding="utf-8"?>
<ds:datastoreItem xmlns:ds="http://schemas.openxmlformats.org/officeDocument/2006/customXml" ds:itemID="{9FC2A4D7-A04F-4969-AF74-DB7B21D5B4D5}">
  <ds:schemaRefs/>
</ds:datastoreItem>
</file>

<file path=customXml/itemProps2.xml><?xml version="1.0" encoding="utf-8"?>
<ds:datastoreItem xmlns:ds="http://schemas.openxmlformats.org/officeDocument/2006/customXml" ds:itemID="{826CB30B-2BC6-41B0-87DD-378D4195044F}">
  <ds:schemaRefs/>
</ds:datastoreItem>
</file>

<file path=customXml/itemProps3.xml><?xml version="1.0" encoding="utf-8"?>
<ds:datastoreItem xmlns:ds="http://schemas.openxmlformats.org/officeDocument/2006/customXml" ds:itemID="{1B5DBD78-98FC-4F17-8C30-9225EBCE58D5}">
  <ds:schemaRefs/>
</ds:datastoreItem>
</file>

<file path=customXml/itemProps4.xml><?xml version="1.0" encoding="utf-8"?>
<ds:datastoreItem xmlns:ds="http://schemas.openxmlformats.org/officeDocument/2006/customXml" ds:itemID="{D9D3898C-6C13-4EFF-87A7-ACDD7C271025}">
  <ds:schemaRefs/>
</ds:datastoreItem>
</file>

<file path=customXml/itemProps5.xml><?xml version="1.0" encoding="utf-8"?>
<ds:datastoreItem xmlns:ds="http://schemas.openxmlformats.org/officeDocument/2006/customXml" ds:itemID="{923B7CAF-A045-4125-A56B-64CD6F0086B6}">
  <ds:schemaRefs/>
</ds:datastoreItem>
</file>

<file path=customXml/itemProps6.xml><?xml version="1.0" encoding="utf-8"?>
<ds:datastoreItem xmlns:ds="http://schemas.openxmlformats.org/officeDocument/2006/customXml" ds:itemID="{900CFC8F-729B-4894-8C5B-522C4651BC6F}">
  <ds:schemaRefs/>
</ds:datastoreItem>
</file>

<file path=customXml/itemProps7.xml><?xml version="1.0" encoding="utf-8"?>
<ds:datastoreItem xmlns:ds="http://schemas.openxmlformats.org/officeDocument/2006/customXml" ds:itemID="{BA01AF46-5068-4B2A-9FE7-FEE09A63239F}">
  <ds:schemaRefs/>
</ds:datastoreItem>
</file>

<file path=customXml/itemProps8.xml><?xml version="1.0" encoding="utf-8"?>
<ds:datastoreItem xmlns:ds="http://schemas.openxmlformats.org/officeDocument/2006/customXml" ds:itemID="{3639FCF5-7505-4226-9227-3E8EBFD3C6D3}">
  <ds:schemaRefs/>
</ds:datastoreItem>
</file>

<file path=customXml/itemProps9.xml><?xml version="1.0" encoding="utf-8"?>
<ds:datastoreItem xmlns:ds="http://schemas.openxmlformats.org/officeDocument/2006/customXml" ds:itemID="{78C07B8D-4241-4AFA-9152-F76FA12C9F9C}">
  <ds:schemaRefs/>
</ds:datastoreItem>
</file>

<file path=customXml/itemProps10.xml><?xml version="1.0" encoding="utf-8"?>
<ds:datastoreItem xmlns:ds="http://schemas.openxmlformats.org/officeDocument/2006/customXml" ds:itemID="{BBB95A87-19A9-4AC8-B1B5-0C936D53F0B2}">
  <ds:schemaRefs/>
</ds:datastoreItem>
</file>

<file path=customXml/itemProps11.xml><?xml version="1.0" encoding="utf-8"?>
<ds:datastoreItem xmlns:ds="http://schemas.openxmlformats.org/officeDocument/2006/customXml" ds:itemID="{E671DF4A-342D-4257-9F16-EDDB460DDCDB}">
  <ds:schemaRefs/>
</ds:datastoreItem>
</file>

<file path=customXml/itemProps12.xml><?xml version="1.0" encoding="utf-8"?>
<ds:datastoreItem xmlns:ds="http://schemas.openxmlformats.org/officeDocument/2006/customXml" ds:itemID="{1AFA443D-58AE-48AE-8D76-B0322E421C64}">
  <ds:schemaRefs/>
</ds:datastoreItem>
</file>

<file path=customXml/itemProps13.xml><?xml version="1.0" encoding="utf-8"?>
<ds:datastoreItem xmlns:ds="http://schemas.openxmlformats.org/officeDocument/2006/customXml" ds:itemID="{C052B852-F6AF-47EC-A48D-AA8A66D65D53}">
  <ds:schemaRefs/>
</ds:datastoreItem>
</file>

<file path=customXml/itemProps14.xml><?xml version="1.0" encoding="utf-8"?>
<ds:datastoreItem xmlns:ds="http://schemas.openxmlformats.org/officeDocument/2006/customXml" ds:itemID="{F131B8B2-5D52-4AA8-8BAE-24798D0537A7}">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Pages>
  <Words>823</Words>
  <Characters>4696</Characters>
  <Lines>39</Lines>
  <Paragraphs>11</Paragraphs>
  <TotalTime>40</TotalTime>
  <ScaleCrop>false</ScaleCrop>
  <LinksUpToDate>false</LinksUpToDate>
  <CharactersWithSpaces>5508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2021-07-22T03:09:00Z</dcterms:created>
  <dc:creator>赵晶晶</dc:creator>
  <cp:lastModifiedBy>遮眼看世界</cp:lastModifiedBy>
  <cp:lastPrinted>2023-04-17T03:13:00Z</cp:lastPrinted>
  <dcterms:modified xsi:type="dcterms:W3CDTF">2023-05-05T07:18:32Z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CEFB76BA3C634486A0E0D5DE38CB33A6_13</vt:lpwstr>
  </property>
</Properties>
</file>