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1、项目名称：广西五金矿产资源有限公司铝锭采购项目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宋体" w:hAnsi="宋体" w:eastAsia="宋体" w:cs="宋体"/>
          <w:b w:val="0"/>
          <w:kern w:val="2"/>
          <w:sz w:val="21"/>
          <w:szCs w:val="21"/>
          <w:highlight w:val="none"/>
          <w:lang w:val="en-US" w:eastAsia="zh-CN" w:bidi="ar-SA"/>
        </w:rPr>
        <w:t>BBWCQCGX23-490</w:t>
      </w:r>
      <w:r>
        <w:rPr>
          <w:rFonts w:hint="eastAsia" w:ascii="宋体" w:hAnsi="宋体" w:eastAsia="宋体" w:cs="宋体"/>
          <w:b w:val="0"/>
          <w:kern w:val="2"/>
          <w:sz w:val="21"/>
          <w:szCs w:val="21"/>
          <w:highlight w:val="none"/>
          <w:lang w:val="en-US" w:eastAsia="zh-CN" w:bidi="ar-SA"/>
        </w:rPr>
        <w:t>(2)</w:t>
      </w:r>
      <w:bookmarkStart w:id="0" w:name="_GoBack"/>
      <w:bookmarkEnd w:id="0"/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3B220C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320</Characters>
  <Lines>2</Lines>
  <Paragraphs>1</Paragraphs>
  <TotalTime>0</TotalTime>
  <ScaleCrop>false</ScaleCrop>
  <LinksUpToDate>false</LinksUpToDate>
  <CharactersWithSpaces>383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2023-05-24T05:58:19Z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