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63" w:rsidRDefault="00073663" w:rsidP="00073663">
      <w:pPr>
        <w:spacing w:line="360" w:lineRule="auto"/>
        <w:ind w:firstLineChars="200" w:firstLine="88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监理采购内容及要求</w:t>
      </w:r>
    </w:p>
    <w:p w:rsidR="00073663" w:rsidRDefault="00073663" w:rsidP="00073663">
      <w:pPr>
        <w:spacing w:line="57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一、监理范围及要求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监理单位必须遵守《中华人民共和国招标投标法</w:t>
      </w:r>
      <w:r>
        <w:rPr>
          <w:rFonts w:ascii="仿宋_GB2312" w:eastAsia="仿宋_GB2312" w:hAnsi="仿宋_GB2312" w:cs="仿宋_GB2312"/>
          <w:sz w:val="32"/>
          <w:szCs w:val="32"/>
        </w:rPr>
        <w:t>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中华人民共和国价格法</w:t>
      </w:r>
      <w:r>
        <w:rPr>
          <w:rFonts w:ascii="仿宋_GB2312" w:eastAsia="仿宋_GB2312" w:hAnsi="仿宋_GB2312" w:cs="仿宋_GB2312"/>
          <w:sz w:val="32"/>
          <w:szCs w:val="32"/>
        </w:rPr>
        <w:t>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中华人民共和国民法典</w:t>
      </w:r>
      <w:r>
        <w:rPr>
          <w:rFonts w:ascii="仿宋_GB2312" w:eastAsia="仿宋_GB2312" w:hAnsi="仿宋_GB2312" w:cs="仿宋_GB2312"/>
          <w:sz w:val="32"/>
          <w:szCs w:val="32"/>
        </w:rPr>
        <w:t>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江苏省信息系统工程监理暂行规定》等相关法律法规和行业标准。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1.监理范围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智慧国资监管治理平台的实施建设全过程，应用软件开发和系统集成，设备和系统软件购置、安装调试，系统单元测试，集成测试，培训，试运行和系统验收，系统移交，相关名类项目会议的组织、记录，项目文档、起草、归档、移交等管理工作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针对项目建设情况，向采购单位提出合理化的改进改良建议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全面负责项目各方的工作协调、督办等，并提供 7*24小时的全程监理服务。协助采购单位完成上级各部门对本项目的检查、考核、验收等工作。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2.监理要求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理单位应当按照项目建设目标要求，遵循国家、省、市信息系统项目建设和监理的标准和规范，依据项目建设合同和用户需求，采用先进、科学、合理的适合本项目特点的项目管理技巧和手段，对项目进行全程监理。对工程的各个阶段及各个层面进行全方位管理与协调。对工程质量、进度和支付及变更等进行全面控制。对项目建设合同的执行、项目建设文件资料等进行管理，保证能按质、按量、按期实施完成。</w:t>
      </w:r>
    </w:p>
    <w:p w:rsidR="00073663" w:rsidRDefault="00073663" w:rsidP="00073663">
      <w:pPr>
        <w:spacing w:line="57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二、监理服务具体内容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监理单位协助采购单位做好以下工作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按照“四控制、三管理、一协调”的原则，保证项目在规定的时间内完成，并实现项目建设的目标。具体内容包括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（一）项目组织及技术总体方案的把关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1.审核和确认承建单位的总体实施方案，出具监理意见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2.审核和确认项目建设过程中的各种关键技术方案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3.审核和确认承建单位的组织和实施方案，以及承建单位提交的《项目计划》;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4.审核和确认承建单位的项目质量保证计划、质量控制体系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含质量控制的关键性节点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5.审核和确认承建单位的实施测试计划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6.审核和确认承建单位的项目进度计划和进度控制节点。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（二）项目质量控制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1.系统集成质量的控制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（1）系统集成方案的审核和确认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（2）审核关键设备、系统软件选型方案，协助系统集成商和建设方进行选型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（3）对采购</w:t>
      </w:r>
      <w:r>
        <w:rPr>
          <w:rFonts w:ascii="仿宋_GB2312" w:eastAsia="仿宋_GB2312" w:hAnsi="仿宋_GB2312" w:cs="仿宋_GB2312"/>
          <w:sz w:val="32"/>
          <w:szCs w:val="32"/>
        </w:rPr>
        <w:t>地</w:t>
      </w:r>
      <w:r>
        <w:rPr>
          <w:rFonts w:ascii="仿宋_GB2312" w:eastAsia="仿宋_GB2312" w:hAnsi="仿宋_GB2312" w:cs="仿宋_GB2312" w:hint="eastAsia"/>
          <w:sz w:val="32"/>
          <w:szCs w:val="32"/>
        </w:rPr>
        <w:t>硬件设备的质量进行检验、测试和验收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（4）对设备安装、系统软件的安装调试进行验收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（5）对系统集成进行总体验收。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2.应用软件开发质量的控制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（1）应用软件开发的阶段性计划的审核和确认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（2）在对项目建设详细了解的基础上，协助项目设计单位、系统集成单位和采购单位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对各个分系统、子系统应用软件系统安装调试、系统试运行进行把关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（3）对承建单位的开发质量进行审核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（4）对源代码、开发文件进行移交验收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3.软件应用培训的质量控制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（1）审核确认承建单位的培训计划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（2）监督承建单位实施其培训计划，并征求用户的反馈意见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（3）审核确认承建单位的培训总结报告。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（三）项目进度控制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1.审核承建单位的进度分解计划，确认分解计划可以保证总体计划目标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2.对项目实施进度进行实时跟踪，并要求承建单位对进度计划进行动态调整，以确保项目的阶段和总体进度目标的实现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3.当工期目标严重偏离时，应及时指出，并提出对策建议，同时督促承建单位采取措施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（四）项目投资控制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1.通过对项目实施中的方案及设计的优化，确保投资控制在合理、性价比高的范围内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2.协助采购单位做好项目支付预算的现金流量表，将付款进度与项目质量与形象进度结合起来。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（五）项目变更控制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1.协助采购单位建立变更控制委员会，建立项目配置管理体系。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2.与采购单位确定项目变更流程，并通知承建单位。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3.对采购单位和承建单位的变更申请快速响应，了解变化，并撰写项目备忘录。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4.评估和处理变更，界定变更的目标，选择冲击最小的方案，防止变更扩大化，并征得采购单位批准。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5.三方确认变更后，书面向干系人公布变更信息。督促承建单位按照项目配置管理规定调整项目相关文档。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6.定期/分阶段进行项目变更风险的评估。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7.执行制定的变更程序，对变更进行严格的控制。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8.对变更执行效果进行检查。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9.主持采购单位与承建单位关于项目变更、索赔、有关争议而进行的谈判。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（六）项目合同管理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1.跟踪检查合同的执行情况，确保承建单位按时履约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2.对合同工期的延误和延期进行审核确认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3.对合同变更、索赔等事宜进行审核确认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4.根据合同约定，审核承建单位提交的支付申请，签发付款凭证。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（七）项目文档管理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1.做好监理日记及项目大事记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2.做好合同批复等各类往来文件的批复和存档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3.做好项目协调会、技术专题会的会议纪要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4.管理好实施期间的各类技术文档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5.负责项目建设过程中产生成果的知识产权保护，保证不被非授权使用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6.负责项目建设过程中涉及知识产权的产品和系统的使用审核，保证采购单位不在本项目建设中出现违反知识产权的行为。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7.项目周报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8.监理建议书；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9.监理通知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10.各种会议纪要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11.阶段性项目总结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12.各承建单位提交的技术文档。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（八）项目安全管理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1.负责项目建设过程中所涉及的政府机密数据和资料的保护，保证不被非授权使用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2.负责项目建设施工过程中安全控制，确保不出现安全事故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（九）项目沟通与协调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经采购单位委托，负责协调本项目所涉及的各承建单位之间的工作关系，并协调解决项目建设过程中的各类纠纷。监理单位应该通过必要的会议制度来实施协调工作，主要包括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1.现场会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2.监理交底会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3.周例会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4.监理协调会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5.专题讨论会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6.专家论证会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7.阶段工作总结会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8.问题通报会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9.阶段及最终验收会。</w:t>
      </w:r>
    </w:p>
    <w:p w:rsidR="00073663" w:rsidRDefault="00073663" w:rsidP="00073663">
      <w:pPr>
        <w:spacing w:line="57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三、监理服务遵照的依据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1、工信部和我省、我市有关信息系统项目建设和监理管理规范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2、采购单位与项目承建单位签订的合同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3、采购单位与监理单位签订的监理合同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4、有关国家、省、市技术规范和标准。</w:t>
      </w:r>
    </w:p>
    <w:p w:rsidR="00073663" w:rsidRDefault="00073663" w:rsidP="00073663">
      <w:pPr>
        <w:spacing w:line="57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四、服务期限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自合同签订之日起至监理项目结束。（具体起始时间以合同签订时间为准）  </w:t>
      </w:r>
    </w:p>
    <w:p w:rsidR="00073663" w:rsidRDefault="00073663" w:rsidP="00073663">
      <w:pPr>
        <w:spacing w:line="57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五、付款方式</w:t>
      </w:r>
    </w:p>
    <w:p w:rsidR="00073663" w:rsidRDefault="00073663" w:rsidP="00073663">
      <w:pPr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合同签订后15个工作日内支付合同款 50%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项目验收结束15个工作日内支付合同款的50% </w:t>
      </w:r>
    </w:p>
    <w:p w:rsidR="00073663" w:rsidRDefault="00073663" w:rsidP="00073663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1789" w:rsidRPr="00073663" w:rsidRDefault="00981789">
      <w:bookmarkStart w:id="0" w:name="_GoBack"/>
      <w:bookmarkEnd w:id="0"/>
    </w:p>
    <w:sectPr w:rsidR="00981789" w:rsidRPr="0007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63" w:rsidRDefault="00073663" w:rsidP="00073663">
      <w:r>
        <w:separator/>
      </w:r>
    </w:p>
  </w:endnote>
  <w:endnote w:type="continuationSeparator" w:id="0">
    <w:p w:rsidR="00073663" w:rsidRDefault="00073663" w:rsidP="0007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63" w:rsidRDefault="00073663" w:rsidP="00073663">
      <w:r>
        <w:separator/>
      </w:r>
    </w:p>
  </w:footnote>
  <w:footnote w:type="continuationSeparator" w:id="0">
    <w:p w:rsidR="00073663" w:rsidRDefault="00073663" w:rsidP="0007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61"/>
    <w:rsid w:val="00073663"/>
    <w:rsid w:val="000E6961"/>
    <w:rsid w:val="009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07587F-7D3A-4DB7-980F-0DBB31BA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6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2023-07-14T06:00:00Z</dcterms:created>
  <dcterms:modified xsi:type="dcterms:W3CDTF">2023-07-14T06:00:00Z</dcterms:modified>
</cp:coreProperties>
</file>