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B6E" w:rsidRDefault="002A3B6E" w:rsidP="002A3B6E">
      <w:pPr>
        <w:widowControl/>
        <w:snapToGrid w:val="0"/>
        <w:spacing w:beforeLines="50" w:before="156" w:afterLines="100" w:after="312"/>
        <w:jc w:val="center"/>
        <w:rPr>
          <w:rFonts w:ascii="方正小标宋简体" w:eastAsia="方正小标宋简体" w:hAnsi="方正小标宋简体" w:cs="方正小标宋简体"/>
          <w:b/>
          <w:bCs/>
          <w:kern w:val="0"/>
          <w:sz w:val="44"/>
          <w:szCs w:val="44"/>
        </w:rPr>
      </w:pPr>
      <w:r>
        <w:rPr>
          <w:rFonts w:ascii="方正小标宋简体" w:eastAsia="方正小标宋简体" w:hAnsi="方正小标宋简体" w:cs="方正小标宋简体" w:hint="eastAsia"/>
          <w:b/>
          <w:bCs/>
          <w:kern w:val="0"/>
          <w:sz w:val="44"/>
          <w:szCs w:val="44"/>
        </w:rPr>
        <w:t>网络安全风险评估采购内容及要求</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一、采购内容</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网络安全法》“第三十八条关键信息基础设施的运营者应当自行或者委托网络安全服务机构对其网络的安全性和可能存在的风险每年至少进行一次检测评估”等相关要求，拟委托第三方专业机构提供智慧国资监管治理平台网络安全风险评估技术支持服务。</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根据信息安全风险级别，运用科学方法和手段，系统地分析网络和信息系统所面临的威胁及其脆弱性，评估安全事件一旦发生可能造成的危害程度，提出针对性的信息安全解决方案和加固建议，为网络、软硬件系统的安全与稳定运行提供有力的保障。</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2.通过专业的安全服务和管理，及时协助信息安全管理人员发现和处理服务范围内的设备及系统安全事故，提供有针对性的安全咨询及安全规划方案，最大限度保障网络和信息安全。</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二、项目实施原则</w:t>
      </w:r>
    </w:p>
    <w:p w:rsidR="002A3B6E" w:rsidRDefault="002A3B6E" w:rsidP="002A3B6E">
      <w:pPr>
        <w:spacing w:line="57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1.保密原则</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在评估过程中，需严格遵循保密原则，招标方与投标方签订保密协议，对服务过程中涉及到的任何用户信息未经允许不向其他任何第三方泄</w:t>
      </w:r>
      <w:r>
        <w:rPr>
          <w:rFonts w:ascii="仿宋_GB2312" w:eastAsia="仿宋_GB2312" w:hAnsi="仿宋_GB2312" w:cs="仿宋_GB2312"/>
          <w:sz w:val="32"/>
          <w:szCs w:val="32"/>
        </w:rPr>
        <w:t>露</w:t>
      </w:r>
      <w:r>
        <w:rPr>
          <w:rFonts w:ascii="仿宋_GB2312" w:eastAsia="仿宋_GB2312" w:hAnsi="仿宋_GB2312" w:cs="仿宋_GB2312" w:hint="eastAsia"/>
          <w:sz w:val="32"/>
          <w:szCs w:val="32"/>
        </w:rPr>
        <w:t>，以及不得利用这些信息损害用户利益。</w:t>
      </w:r>
    </w:p>
    <w:p w:rsidR="002A3B6E" w:rsidRDefault="002A3B6E" w:rsidP="002A3B6E">
      <w:pPr>
        <w:spacing w:line="57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2.互动原则</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在整个评估过程中，强调用户的互动参与，每个阶段都能够及时根据用户的要求和实际情况对评估的内容、方式做出相关调整，进而更好</w:t>
      </w:r>
      <w:r>
        <w:rPr>
          <w:rFonts w:ascii="仿宋_GB2312" w:eastAsia="仿宋_GB2312" w:hAnsi="仿宋_GB2312" w:cs="仿宋_GB2312"/>
          <w:sz w:val="32"/>
          <w:szCs w:val="32"/>
        </w:rPr>
        <w:t>地</w:t>
      </w:r>
      <w:r>
        <w:rPr>
          <w:rFonts w:ascii="仿宋_GB2312" w:eastAsia="仿宋_GB2312" w:hAnsi="仿宋_GB2312" w:cs="仿宋_GB2312" w:hint="eastAsia"/>
          <w:sz w:val="32"/>
          <w:szCs w:val="32"/>
        </w:rPr>
        <w:t>进行项目服务工作。</w:t>
      </w:r>
    </w:p>
    <w:p w:rsidR="002A3B6E" w:rsidRDefault="002A3B6E" w:rsidP="002A3B6E">
      <w:pPr>
        <w:spacing w:line="57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3.最小影响原则</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工作应该尽可能小地影响系统和网络的正常运行，不能对业务的正常运行产生明显的影响（包括系统性能明显下降、网络阻塞、服务中断等），如无法避免，则应</w:t>
      </w:r>
      <w:r>
        <w:rPr>
          <w:rFonts w:ascii="仿宋_GB2312" w:eastAsia="仿宋_GB2312" w:hAnsi="仿宋_GB2312" w:cs="仿宋_GB2312"/>
          <w:sz w:val="32"/>
          <w:szCs w:val="32"/>
        </w:rPr>
        <w:t>作</w:t>
      </w:r>
      <w:r>
        <w:rPr>
          <w:rFonts w:ascii="仿宋_GB2312" w:eastAsia="仿宋_GB2312" w:hAnsi="仿宋_GB2312" w:cs="仿宋_GB2312" w:hint="eastAsia"/>
          <w:sz w:val="32"/>
          <w:szCs w:val="32"/>
        </w:rPr>
        <w:t>出说明。</w:t>
      </w:r>
    </w:p>
    <w:p w:rsidR="002A3B6E" w:rsidRDefault="002A3B6E" w:rsidP="002A3B6E">
      <w:pPr>
        <w:spacing w:line="57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4.规范性原则</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安全评估服务的实施必须由专业人员依照规范的操作流程进行，对操作过程和结果要有相应的记录，并提供完整的运维报告。</w:t>
      </w:r>
    </w:p>
    <w:p w:rsidR="002A3B6E" w:rsidRDefault="002A3B6E" w:rsidP="002A3B6E">
      <w:pPr>
        <w:spacing w:line="57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5.质量保障原则</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在整个项目服务过程中，将特别重视项目质量管理。项目的实施将严格按照项目实施方案和流程进行，并由项目协调小组从中监督，控制项目的进度和质量。</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三、测评技术要求</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按照《GB/T 20984-2007》风险评估要求</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对智慧国资监管治理平台项目上承载的数据、业务和应用等进行安全评估，明确信息系统存在的问题和不足，主要包括：</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1.差距分析</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通过调查问卷、人员访谈、文档查看、现场</w:t>
      </w:r>
      <w:r>
        <w:rPr>
          <w:rFonts w:ascii="仿宋_GB2312" w:eastAsia="仿宋_GB2312" w:hAnsi="仿宋_GB2312" w:cs="仿宋_GB2312"/>
          <w:sz w:val="32"/>
          <w:szCs w:val="32"/>
        </w:rPr>
        <w:t>勘察</w:t>
      </w:r>
      <w:r>
        <w:rPr>
          <w:rFonts w:ascii="仿宋_GB2312" w:eastAsia="仿宋_GB2312" w:hAnsi="仿宋_GB2312" w:cs="仿宋_GB2312" w:hint="eastAsia"/>
          <w:sz w:val="32"/>
          <w:szCs w:val="32"/>
        </w:rPr>
        <w:t>、人工检查、记录分析、技术测试、渗透测试等方式进行安全技术和安全管理方面的评估，判断安全技术和安全管理的各个方面，给出差距分析结果，提出信息系统的安全保护需求。</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2.风险评估</w:t>
      </w:r>
    </w:p>
    <w:p w:rsidR="002A3B6E" w:rsidRDefault="002A3B6E" w:rsidP="002A3B6E">
      <w:pPr>
        <w:tabs>
          <w:tab w:val="left" w:pos="2400"/>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智慧国资监管治理平台项目的重要资产进行风险评估，分析并确定不能接受的安全风险，然后确定额外安全措施并判断对超出等级保护基本要求部分实施额外安全措施的必要性，提出信息系统的额外安全保护需求。</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四、技术标准</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1.《信息安全风险评估规范》（GB/T 20984-2007）；</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2.《信息安全风险管理指南》（GB/Z 24364-2009）；</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3.《信息系统安全等级保护基本要求》（GB/T 22239-2008）；</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4.《信息安全管理实用规则》（GB/T 22081-2008）；</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5.《信息系统安全管理要求》（GB/T 20269-2006）；</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6.《信息安全事件分类分级指南》（GB/Z 20986-2007）；</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7.《信息安全事件管理指南》（GB/Z 20985-2007）；</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8.《信息系统灾难恢复规范》（GB/T 20988-2007）；</w:t>
      </w:r>
    </w:p>
    <w:p w:rsidR="002A3B6E" w:rsidRDefault="002A3B6E" w:rsidP="002A3B6E">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9.《信息安全应急响应计划规范》（GB/T 24363-2009）。</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五、安全风险评估内容</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本次信息安全风险评估工作将采用科学的评估手段，对智慧国资监管治理平台项目的所有建设成果从主机、网络、应用方面进行全面</w:t>
      </w:r>
      <w:r>
        <w:rPr>
          <w:rFonts w:ascii="仿宋_GB2312" w:eastAsia="仿宋_GB2312" w:hAnsi="仿宋_GB2312" w:cs="仿宋_GB2312"/>
          <w:kern w:val="0"/>
          <w:sz w:val="32"/>
          <w:szCs w:val="32"/>
        </w:rPr>
        <w:t>地</w:t>
      </w:r>
      <w:r>
        <w:rPr>
          <w:rFonts w:ascii="仿宋_GB2312" w:eastAsia="仿宋_GB2312" w:hAnsi="仿宋_GB2312" w:cs="仿宋_GB2312" w:hint="eastAsia"/>
          <w:kern w:val="0"/>
          <w:sz w:val="32"/>
          <w:szCs w:val="32"/>
        </w:rPr>
        <w:t>评估，量化信息安全风险，发现信息安全隐患，为下一步的信息安全决策工作提供基础。</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eastAsia="zh-Hans"/>
        </w:rPr>
        <w:t>一</w:t>
      </w:r>
      <w:r>
        <w:rPr>
          <w:rFonts w:ascii="仿宋_GB2312" w:eastAsia="仿宋_GB2312" w:hAnsi="仿宋_GB2312" w:cs="仿宋_GB2312" w:hint="eastAsia"/>
          <w:kern w:val="0"/>
          <w:sz w:val="32"/>
          <w:szCs w:val="32"/>
        </w:rPr>
        <w:t>）评估范围</w:t>
      </w:r>
    </w:p>
    <w:p w:rsidR="002A3B6E" w:rsidRDefault="002A3B6E" w:rsidP="002A3B6E">
      <w:pPr>
        <w:spacing w:afterLines="50" w:after="156" w:line="570" w:lineRule="exact"/>
        <w:ind w:firstLine="48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安全风险评估系统清单：</w:t>
      </w:r>
    </w:p>
    <w:tbl>
      <w:tblPr>
        <w:tblStyle w:val="a7"/>
        <w:tblW w:w="4413" w:type="pct"/>
        <w:jc w:val="center"/>
        <w:tblLook w:val="04A0" w:firstRow="1" w:lastRow="0" w:firstColumn="1" w:lastColumn="0" w:noHBand="0" w:noVBand="1"/>
      </w:tblPr>
      <w:tblGrid>
        <w:gridCol w:w="853"/>
        <w:gridCol w:w="2787"/>
        <w:gridCol w:w="3682"/>
      </w:tblGrid>
      <w:tr w:rsidR="002A3B6E" w:rsidTr="00C0172D">
        <w:trPr>
          <w:trHeight w:val="567"/>
          <w:jc w:val="center"/>
        </w:trPr>
        <w:tc>
          <w:tcPr>
            <w:tcW w:w="583" w:type="pct"/>
            <w:shd w:val="clear" w:color="auto" w:fill="F1F1F1"/>
            <w:vAlign w:val="center"/>
          </w:tcPr>
          <w:p w:rsidR="002A3B6E" w:rsidRDefault="002A3B6E" w:rsidP="00C0172D">
            <w:pPr>
              <w:spacing w:line="0" w:lineRule="atLeast"/>
              <w:jc w:val="center"/>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序号</w:t>
            </w:r>
          </w:p>
        </w:tc>
        <w:tc>
          <w:tcPr>
            <w:tcW w:w="1902" w:type="pct"/>
            <w:shd w:val="clear" w:color="auto" w:fill="F1F1F1"/>
            <w:vAlign w:val="center"/>
          </w:tcPr>
          <w:p w:rsidR="002A3B6E" w:rsidRDefault="002A3B6E" w:rsidP="00C0172D">
            <w:pPr>
              <w:spacing w:line="0" w:lineRule="atLeast"/>
              <w:jc w:val="center"/>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系统名称</w:t>
            </w:r>
          </w:p>
        </w:tc>
        <w:tc>
          <w:tcPr>
            <w:tcW w:w="2513" w:type="pct"/>
            <w:shd w:val="clear" w:color="auto" w:fill="F1F1F1"/>
            <w:vAlign w:val="center"/>
          </w:tcPr>
          <w:p w:rsidR="002A3B6E" w:rsidRDefault="002A3B6E" w:rsidP="00C0172D">
            <w:pPr>
              <w:spacing w:line="0" w:lineRule="atLeast"/>
              <w:jc w:val="center"/>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子业务模块</w:t>
            </w:r>
          </w:p>
        </w:tc>
      </w:tr>
      <w:tr w:rsidR="002A3B6E" w:rsidTr="00C0172D">
        <w:trPr>
          <w:trHeight w:val="567"/>
          <w:jc w:val="center"/>
        </w:trPr>
        <w:tc>
          <w:tcPr>
            <w:tcW w:w="583" w:type="pct"/>
            <w:vMerge w:val="restart"/>
            <w:vAlign w:val="center"/>
          </w:tcPr>
          <w:p w:rsidR="002A3B6E" w:rsidRDefault="002A3B6E" w:rsidP="00C0172D">
            <w:pPr>
              <w:spacing w:line="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902" w:type="pct"/>
            <w:vMerge w:val="restar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智慧国资监管治理平台</w:t>
            </w: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国企档案袋</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工资总额审核管理系统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高质量发展综合考核系统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不动产管理系统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监督闭环管理系统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投资项目管理系统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国资监督评价管理系统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财务决算系统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安全生产管理系统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信访管理系统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综合监测管理平台</w:t>
            </w:r>
          </w:p>
        </w:tc>
      </w:tr>
      <w:tr w:rsidR="002A3B6E" w:rsidTr="00C0172D">
        <w:trPr>
          <w:trHeight w:val="567"/>
          <w:jc w:val="center"/>
        </w:trPr>
        <w:tc>
          <w:tcPr>
            <w:tcW w:w="583" w:type="pct"/>
            <w:vMerge w:val="restart"/>
            <w:vAlign w:val="center"/>
          </w:tcPr>
          <w:p w:rsidR="002A3B6E" w:rsidRDefault="002A3B6E" w:rsidP="00C0172D">
            <w:pPr>
              <w:spacing w:line="0" w:lineRule="atLeas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1902" w:type="pct"/>
            <w:vMerge w:val="restart"/>
            <w:vAlign w:val="center"/>
          </w:tcPr>
          <w:p w:rsidR="002A3B6E" w:rsidRDefault="002A3B6E" w:rsidP="00C0172D">
            <w:pPr>
              <w:widowControl/>
              <w:jc w:val="left"/>
            </w:pPr>
            <w:r>
              <w:rPr>
                <w:rFonts w:ascii="仿宋_GB2312" w:eastAsia="仿宋_GB2312" w:hAnsi="仿宋_GB2312" w:cs="仿宋_GB2312" w:hint="eastAsia"/>
                <w:sz w:val="32"/>
                <w:szCs w:val="32"/>
              </w:rPr>
              <w:t>国资国企在线监管平台</w:t>
            </w:r>
          </w:p>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企业组织机构基本信息管理系统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国资监管统一数据采集交换平台</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“三重一大”决策和运行监管系统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国有资产监督追责工作系统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lang w:eastAsia="zh-Hans" w:bidi="ar"/>
              </w:rPr>
            </w:pPr>
            <w:r>
              <w:rPr>
                <w:rFonts w:ascii="仿宋_GB2312" w:eastAsia="仿宋_GB2312" w:hAnsi="仿宋_GB2312" w:cs="仿宋_GB2312" w:hint="eastAsia"/>
                <w:sz w:val="32"/>
                <w:szCs w:val="32"/>
                <w:lang w:bidi="ar"/>
              </w:rPr>
              <w:t>财务监管</w:t>
            </w:r>
            <w:r>
              <w:rPr>
                <w:rFonts w:ascii="仿宋_GB2312" w:eastAsia="仿宋_GB2312" w:hAnsi="仿宋_GB2312" w:cs="仿宋_GB2312" w:hint="eastAsia"/>
                <w:sz w:val="32"/>
                <w:szCs w:val="32"/>
                <w:lang w:eastAsia="zh-Hans" w:bidi="ar"/>
              </w:rPr>
              <w:t>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lang w:eastAsia="zh-Hans" w:bidi="ar"/>
              </w:rPr>
            </w:pPr>
            <w:r>
              <w:rPr>
                <w:rFonts w:ascii="仿宋_GB2312" w:eastAsia="仿宋_GB2312" w:hAnsi="仿宋_GB2312" w:cs="仿宋_GB2312" w:hint="eastAsia"/>
                <w:sz w:val="32"/>
                <w:szCs w:val="32"/>
                <w:lang w:eastAsia="zh-Hans" w:bidi="ar"/>
              </w:rPr>
              <w:t>考核评价系统</w:t>
            </w:r>
          </w:p>
        </w:tc>
      </w:tr>
      <w:tr w:rsidR="002A3B6E" w:rsidTr="00C0172D">
        <w:trPr>
          <w:trHeight w:val="567"/>
          <w:jc w:val="center"/>
        </w:trPr>
        <w:tc>
          <w:tcPr>
            <w:tcW w:w="583" w:type="pct"/>
            <w:vMerge/>
            <w:vAlign w:val="center"/>
          </w:tcPr>
          <w:p w:rsidR="002A3B6E" w:rsidRDefault="002A3B6E" w:rsidP="00C0172D">
            <w:pPr>
              <w:spacing w:line="0" w:lineRule="atLeast"/>
              <w:jc w:val="center"/>
              <w:rPr>
                <w:rFonts w:ascii="仿宋_GB2312" w:eastAsia="仿宋_GB2312" w:hAnsi="仿宋_GB2312" w:cs="仿宋_GB2312"/>
                <w:sz w:val="32"/>
                <w:szCs w:val="32"/>
              </w:rPr>
            </w:pPr>
          </w:p>
        </w:tc>
        <w:tc>
          <w:tcPr>
            <w:tcW w:w="1902" w:type="pct"/>
            <w:vMerge/>
            <w:vAlign w:val="center"/>
          </w:tcPr>
          <w:p w:rsidR="002A3B6E" w:rsidRDefault="002A3B6E" w:rsidP="00C0172D">
            <w:pPr>
              <w:spacing w:line="0" w:lineRule="atLeast"/>
              <w:rPr>
                <w:rFonts w:ascii="仿宋_GB2312" w:eastAsia="仿宋_GB2312" w:hAnsi="仿宋_GB2312" w:cs="仿宋_GB2312"/>
                <w:sz w:val="32"/>
                <w:szCs w:val="32"/>
              </w:rPr>
            </w:pPr>
          </w:p>
        </w:tc>
        <w:tc>
          <w:tcPr>
            <w:tcW w:w="2513" w:type="pct"/>
            <w:vAlign w:val="center"/>
          </w:tcPr>
          <w:p w:rsidR="002A3B6E" w:rsidRDefault="002A3B6E" w:rsidP="00C0172D">
            <w:pPr>
              <w:spacing w:line="0" w:lineRule="atLeas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产权综合管理系统</w:t>
            </w:r>
          </w:p>
        </w:tc>
      </w:tr>
      <w:tr w:rsidR="002A3B6E" w:rsidTr="00C0172D">
        <w:trPr>
          <w:trHeight w:val="567"/>
          <w:jc w:val="center"/>
        </w:trPr>
        <w:tc>
          <w:tcPr>
            <w:tcW w:w="583" w:type="pct"/>
            <w:vAlign w:val="center"/>
          </w:tcPr>
          <w:p w:rsidR="002A3B6E" w:rsidRDefault="002A3B6E" w:rsidP="00C0172D">
            <w:pPr>
              <w:spacing w:line="0" w:lineRule="atLeas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c>
          <w:tcPr>
            <w:tcW w:w="1902" w:type="pct"/>
            <w:vAlign w:val="center"/>
          </w:tcPr>
          <w:p w:rsidR="002A3B6E" w:rsidRDefault="002A3B6E" w:rsidP="00C0172D">
            <w:pPr>
              <w:spacing w:line="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采购人要求的其他应用系统</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≤3个</w:t>
            </w:r>
            <w:r>
              <w:rPr>
                <w:rFonts w:ascii="仿宋_GB2312" w:eastAsia="仿宋_GB2312" w:hAnsi="仿宋_GB2312" w:cs="仿宋_GB2312"/>
                <w:sz w:val="32"/>
                <w:szCs w:val="32"/>
              </w:rPr>
              <w:t>）</w:t>
            </w:r>
          </w:p>
        </w:tc>
        <w:tc>
          <w:tcPr>
            <w:tcW w:w="2513" w:type="pct"/>
            <w:vAlign w:val="center"/>
          </w:tcPr>
          <w:p w:rsidR="002A3B6E" w:rsidRDefault="002A3B6E" w:rsidP="00C0172D">
            <w:pPr>
              <w:spacing w:line="0" w:lineRule="atLeast"/>
              <w:rPr>
                <w:rFonts w:ascii="仿宋_GB2312" w:eastAsia="仿宋_GB2312" w:hAnsi="仿宋_GB2312" w:cs="仿宋_GB2312"/>
                <w:sz w:val="32"/>
                <w:szCs w:val="32"/>
              </w:rPr>
            </w:pPr>
          </w:p>
        </w:tc>
      </w:tr>
    </w:tbl>
    <w:p w:rsidR="002A3B6E" w:rsidRDefault="002A3B6E" w:rsidP="002A3B6E">
      <w:pPr>
        <w:spacing w:line="570" w:lineRule="exact"/>
        <w:ind w:firstLine="480"/>
        <w:rPr>
          <w:rFonts w:ascii="仿宋_GB2312" w:eastAsia="仿宋_GB2312" w:hAnsi="仿宋_GB2312" w:cs="仿宋_GB2312"/>
          <w:kern w:val="0"/>
          <w:sz w:val="32"/>
          <w:szCs w:val="32"/>
          <w:lang w:eastAsia="zh-Hans"/>
        </w:rPr>
      </w:pPr>
      <w:r>
        <w:rPr>
          <w:rFonts w:ascii="仿宋_GB2312" w:eastAsia="仿宋_GB2312" w:hAnsi="仿宋_GB2312" w:cs="仿宋_GB2312" w:hint="eastAsia"/>
          <w:kern w:val="0"/>
          <w:sz w:val="32"/>
          <w:szCs w:val="32"/>
        </w:rPr>
        <w:t>（二）评估</w:t>
      </w:r>
      <w:r>
        <w:rPr>
          <w:rFonts w:ascii="仿宋_GB2312" w:eastAsia="仿宋_GB2312" w:hAnsi="仿宋_GB2312" w:cs="仿宋_GB2312" w:hint="eastAsia"/>
          <w:kern w:val="0"/>
          <w:sz w:val="32"/>
          <w:szCs w:val="32"/>
          <w:lang w:eastAsia="zh-Hans"/>
        </w:rPr>
        <w:t>内容</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具体内容分类为：物理安全、网络安全、主机安全、应用安全、数据安全、管理安全。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1.物理安全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物理安全主要涉及的方面包括环境安全（防火、防水、防雷击等）设备和介质的防盗窃防破坏等方面。具体包括：物理位置的选择、物理访问控制、防盗窃和防破坏、防雷击、防火、防水和防潮、防静电、温湿度控制、电力供应和电磁防护。</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2.网络安全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网络安全主要关注的方面包括：网络结构、网络边界以及网络设备自身安全等，具体的评估点包括：结构安全、访问控制、安全审计、边界完整性检查、入侵防范、恶意代码防范、网络设备防护。</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3.主机安全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主机系统安全涉及的评估点包括：身份鉴别、安全标记、访问控制、可信路径、安全审计、剩余信息保护、入侵防范、恶意代码防范和资源控制。</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4.应用安全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应用系统安全的评估点包括：身份鉴别、访问控制、安全审计、剩余信息保护、通信完整性、通信保密性、抗抵赖、软件容错、资源控制、代码安全。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5.数据安全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明确需要保护的数据，评估点包括：数据的保密性、完整性、备份和恢复措施的有效性。</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6.管理安全</w:t>
      </w:r>
    </w:p>
    <w:p w:rsidR="002A3B6E" w:rsidRDefault="002A3B6E" w:rsidP="002A3B6E">
      <w:pPr>
        <w:spacing w:line="570" w:lineRule="exac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对安全管理制度，包括人员架构、账号密码安全、机房安全、介质安全、第三方人员管理、应急预案、应急演练等管理制度进行检查。</w:t>
      </w:r>
    </w:p>
    <w:p w:rsidR="002A3B6E" w:rsidRDefault="002A3B6E" w:rsidP="002A3B6E">
      <w:pPr>
        <w:numPr>
          <w:ilvl w:val="0"/>
          <w:numId w:val="1"/>
        </w:numPr>
        <w:spacing w:beforeLines="50" w:before="156" w:line="570" w:lineRule="exact"/>
        <w:ind w:firstLine="48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工期要求</w:t>
      </w:r>
    </w:p>
    <w:p w:rsidR="002A3B6E" w:rsidRDefault="002A3B6E" w:rsidP="002A3B6E">
      <w:pPr>
        <w:spacing w:beforeLines="50" w:before="156"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在收到采购人某系统的安全风险评估通知后，20个工作日内完成该系统的相关评估工作（不包含系统整改时间及出具报告时间）。</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五、服务期限</w:t>
      </w:r>
    </w:p>
    <w:p w:rsidR="002A3B6E" w:rsidRDefault="002A3B6E" w:rsidP="002A3B6E">
      <w:pPr>
        <w:spacing w:line="570" w:lineRule="exact"/>
        <w:ind w:firstLine="435"/>
        <w:rPr>
          <w:rFonts w:ascii="仿宋_GB2312" w:eastAsia="仿宋_GB2312" w:hAnsi="仿宋_GB2312" w:cs="仿宋_GB2312"/>
          <w:sz w:val="32"/>
          <w:szCs w:val="32"/>
        </w:rPr>
      </w:pPr>
      <w:r>
        <w:rPr>
          <w:rFonts w:ascii="仿宋_GB2312" w:eastAsia="仿宋_GB2312" w:hAnsi="仿宋_GB2312" w:cs="仿宋_GB2312" w:hint="eastAsia"/>
          <w:sz w:val="32"/>
          <w:szCs w:val="32"/>
        </w:rPr>
        <w:t>自合同签订之日起至网络安全风险评估完成并</w:t>
      </w:r>
      <w:r>
        <w:rPr>
          <w:rFonts w:ascii="仿宋_GB2312" w:eastAsia="仿宋_GB2312" w:hAnsi="仿宋_GB2312" w:cs="仿宋_GB2312" w:hint="eastAsia"/>
          <w:snapToGrid w:val="0"/>
          <w:kern w:val="0"/>
          <w:sz w:val="32"/>
          <w:szCs w:val="32"/>
        </w:rPr>
        <w:t>出具《风险评估报告》</w:t>
      </w:r>
      <w:r>
        <w:rPr>
          <w:rFonts w:ascii="仿宋_GB2312" w:eastAsia="仿宋_GB2312" w:hAnsi="仿宋_GB2312" w:cs="仿宋_GB2312" w:hint="eastAsia"/>
          <w:sz w:val="32"/>
          <w:szCs w:val="32"/>
        </w:rPr>
        <w:t>。（具体起始时间以合同签订时间为准）</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六、成果文件</w:t>
      </w:r>
    </w:p>
    <w:p w:rsidR="002A3B6E" w:rsidRDefault="002A3B6E" w:rsidP="002A3B6E">
      <w:pPr>
        <w:spacing w:line="570" w:lineRule="exact"/>
        <w:ind w:firstLine="435"/>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出具《风险评估报告》。</w:t>
      </w:r>
    </w:p>
    <w:p w:rsidR="002A3B6E" w:rsidRDefault="002A3B6E" w:rsidP="002A3B6E">
      <w:pPr>
        <w:tabs>
          <w:tab w:val="left" w:pos="2400"/>
        </w:tabs>
        <w:spacing w:line="570" w:lineRule="exact"/>
        <w:ind w:firstLineChars="200" w:firstLine="643"/>
        <w:rPr>
          <w:rFonts w:ascii="黑体" w:eastAsia="黑体" w:hAnsi="黑体" w:cs="黑体"/>
          <w:b/>
          <w:sz w:val="32"/>
          <w:szCs w:val="32"/>
        </w:rPr>
      </w:pPr>
      <w:r>
        <w:rPr>
          <w:rFonts w:ascii="黑体" w:eastAsia="黑体" w:hAnsi="黑体" w:cs="黑体" w:hint="eastAsia"/>
          <w:b/>
          <w:sz w:val="32"/>
          <w:szCs w:val="32"/>
        </w:rPr>
        <w:t>七、付款方式</w:t>
      </w:r>
    </w:p>
    <w:p w:rsidR="002A3B6E" w:rsidRDefault="002A3B6E" w:rsidP="002A3B6E">
      <w:pPr>
        <w:spacing w:line="570" w:lineRule="exact"/>
        <w:ind w:firstLine="435"/>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合同签订后15个工作日内支付合同款 50%</w:t>
      </w:r>
      <w:r>
        <w:rPr>
          <w:rFonts w:ascii="仿宋_GB2312" w:eastAsia="仿宋_GB2312" w:hAnsi="仿宋_GB2312" w:cs="仿宋_GB2312"/>
          <w:snapToGrid w:val="0"/>
          <w:kern w:val="0"/>
          <w:sz w:val="32"/>
          <w:szCs w:val="32"/>
        </w:rPr>
        <w:t>，</w:t>
      </w:r>
      <w:r>
        <w:rPr>
          <w:rFonts w:ascii="仿宋_GB2312" w:eastAsia="仿宋_GB2312" w:hAnsi="仿宋_GB2312" w:cs="仿宋_GB2312" w:hint="eastAsia"/>
          <w:snapToGrid w:val="0"/>
          <w:kern w:val="0"/>
          <w:sz w:val="32"/>
          <w:szCs w:val="32"/>
        </w:rPr>
        <w:t>出具《风险评估报告》后15个工作日内支付合同款的50%。</w:t>
      </w:r>
    </w:p>
    <w:p w:rsidR="002A3B6E" w:rsidRDefault="002A3B6E" w:rsidP="002A3B6E">
      <w:pPr>
        <w:spacing w:line="570" w:lineRule="exact"/>
        <w:ind w:right="1260"/>
        <w:jc w:val="right"/>
        <w:rPr>
          <w:rFonts w:ascii="仿宋_GB2312" w:eastAsia="仿宋_GB2312" w:hAnsi="仿宋_GB2312" w:cs="仿宋_GB2312"/>
          <w:sz w:val="32"/>
          <w:szCs w:val="32"/>
        </w:rPr>
      </w:pPr>
    </w:p>
    <w:p w:rsidR="00B33756" w:rsidRPr="002A3B6E" w:rsidRDefault="00B33756">
      <w:bookmarkStart w:id="0" w:name="_GoBack"/>
      <w:bookmarkEnd w:id="0"/>
    </w:p>
    <w:sectPr w:rsidR="00B33756" w:rsidRPr="002A3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B6E" w:rsidRDefault="002A3B6E" w:rsidP="002A3B6E">
      <w:r>
        <w:separator/>
      </w:r>
    </w:p>
  </w:endnote>
  <w:endnote w:type="continuationSeparator" w:id="0">
    <w:p w:rsidR="002A3B6E" w:rsidRDefault="002A3B6E" w:rsidP="002A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B6E" w:rsidRDefault="002A3B6E" w:rsidP="002A3B6E">
      <w:r>
        <w:separator/>
      </w:r>
    </w:p>
  </w:footnote>
  <w:footnote w:type="continuationSeparator" w:id="0">
    <w:p w:rsidR="002A3B6E" w:rsidRDefault="002A3B6E" w:rsidP="002A3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D6E294"/>
    <w:multiLevelType w:val="singleLevel"/>
    <w:tmpl w:val="CAD6E29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9C"/>
    <w:rsid w:val="002A3B6E"/>
    <w:rsid w:val="005B409C"/>
    <w:rsid w:val="00B3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B661C49-CA47-44E4-9AD8-84A410E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B6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B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3B6E"/>
    <w:rPr>
      <w:sz w:val="18"/>
      <w:szCs w:val="18"/>
    </w:rPr>
  </w:style>
  <w:style w:type="paragraph" w:styleId="a5">
    <w:name w:val="footer"/>
    <w:basedOn w:val="a"/>
    <w:link w:val="a6"/>
    <w:uiPriority w:val="99"/>
    <w:unhideWhenUsed/>
    <w:rsid w:val="002A3B6E"/>
    <w:pPr>
      <w:tabs>
        <w:tab w:val="center" w:pos="4153"/>
        <w:tab w:val="right" w:pos="8306"/>
      </w:tabs>
      <w:snapToGrid w:val="0"/>
      <w:jc w:val="left"/>
    </w:pPr>
    <w:rPr>
      <w:sz w:val="18"/>
      <w:szCs w:val="18"/>
    </w:rPr>
  </w:style>
  <w:style w:type="character" w:customStyle="1" w:styleId="a6">
    <w:name w:val="页脚 字符"/>
    <w:basedOn w:val="a0"/>
    <w:link w:val="a5"/>
    <w:uiPriority w:val="99"/>
    <w:rsid w:val="002A3B6E"/>
    <w:rPr>
      <w:sz w:val="18"/>
      <w:szCs w:val="18"/>
    </w:rPr>
  </w:style>
  <w:style w:type="table" w:styleId="a7">
    <w:name w:val="Table Grid"/>
    <w:basedOn w:val="a1"/>
    <w:qFormat/>
    <w:rsid w:val="002A3B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2023-07-14T05:56:00Z</dcterms:created>
  <dcterms:modified xsi:type="dcterms:W3CDTF">2023-07-14T05:56:00Z</dcterms:modified>
</cp:coreProperties>
</file>