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spacing w:line="57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0" w:name="_Toc92188479"/>
      <w:r>
        <w:rPr>
          <w:rFonts w:hint="eastAsia" w:ascii="方正小标宋简体" w:hAnsi="方正小标宋简体" w:eastAsia="方正小标宋简体" w:cs="方正小标宋简体"/>
          <w:b w:val="0"/>
          <w:bCs w:val="0"/>
          <w:color w:val="auto"/>
          <w:sz w:val="44"/>
          <w:szCs w:val="44"/>
          <w:highlight w:val="none"/>
          <w:lang w:val="en-US" w:eastAsia="zh-CN"/>
        </w:rPr>
        <w:t>普通型LED庭院灯-I</w:t>
      </w:r>
      <w:r>
        <w:rPr>
          <w:rFonts w:hint="eastAsia" w:ascii="方正小标宋简体" w:hAnsi="方正小标宋简体" w:eastAsia="方正小标宋简体" w:cs="方正小标宋简体"/>
          <w:b w:val="0"/>
          <w:bCs w:val="0"/>
          <w:color w:val="auto"/>
          <w:sz w:val="44"/>
          <w:szCs w:val="44"/>
          <w:highlight w:val="none"/>
        </w:rPr>
        <w:t>技术文件</w:t>
      </w:r>
      <w:bookmarkEnd w:id="0"/>
    </w:p>
    <w:p>
      <w:pPr>
        <w:pStyle w:val="3"/>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rPr>
      </w:pPr>
      <w:bookmarkStart w:id="1" w:name="_Toc19004"/>
      <w:bookmarkStart w:id="2" w:name="_Toc92188480"/>
      <w:r>
        <w:rPr>
          <w:rFonts w:hint="eastAsia" w:ascii="黑体" w:hAnsi="黑体" w:eastAsia="黑体" w:cs="黑体"/>
          <w:b w:val="0"/>
          <w:bCs/>
          <w:color w:val="auto"/>
          <w:sz w:val="32"/>
          <w:szCs w:val="32"/>
          <w:highlight w:val="none"/>
        </w:rPr>
        <w:t>一、灯具清单</w:t>
      </w:r>
      <w:bookmarkEnd w:id="1"/>
      <w:bookmarkEnd w:id="2"/>
    </w:p>
    <w:tbl>
      <w:tblPr>
        <w:tblStyle w:val="6"/>
        <w:tblW w:w="5138" w:type="pct"/>
        <w:jc w:val="center"/>
        <w:tblLayout w:type="fixed"/>
        <w:tblCellMar>
          <w:top w:w="15" w:type="dxa"/>
          <w:left w:w="108" w:type="dxa"/>
          <w:bottom w:w="15" w:type="dxa"/>
          <w:right w:w="108" w:type="dxa"/>
        </w:tblCellMar>
      </w:tblPr>
      <w:tblGrid>
        <w:gridCol w:w="536"/>
        <w:gridCol w:w="2972"/>
        <w:gridCol w:w="748"/>
        <w:gridCol w:w="1071"/>
        <w:gridCol w:w="761"/>
        <w:gridCol w:w="2670"/>
      </w:tblGrid>
      <w:tr>
        <w:tblPrEx>
          <w:tblCellMar>
            <w:top w:w="15" w:type="dxa"/>
            <w:left w:w="108" w:type="dxa"/>
            <w:bottom w:w="15" w:type="dxa"/>
            <w:right w:w="108" w:type="dxa"/>
          </w:tblCellMar>
        </w:tblPrEx>
        <w:trPr>
          <w:trHeight w:val="36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序号</w:t>
            </w:r>
          </w:p>
        </w:tc>
        <w:tc>
          <w:tcPr>
            <w:tcW w:w="169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灯具名称</w:t>
            </w:r>
          </w:p>
        </w:tc>
        <w:tc>
          <w:tcPr>
            <w:tcW w:w="427"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光源</w:t>
            </w:r>
          </w:p>
        </w:tc>
        <w:tc>
          <w:tcPr>
            <w:tcW w:w="61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色温</w:t>
            </w:r>
          </w:p>
        </w:tc>
        <w:tc>
          <w:tcPr>
            <w:tcW w:w="434" w:type="pct"/>
            <w:tcBorders>
              <w:top w:val="single" w:color="000000" w:sz="4" w:space="0"/>
              <w:left w:val="single" w:color="000000" w:sz="4" w:space="0"/>
              <w:bottom w:val="single" w:color="000000" w:sz="4" w:space="0"/>
              <w:right w:val="single" w:color="auto" w:sz="4" w:space="0"/>
            </w:tcBorders>
            <w:shd w:val="clear" w:color="auto" w:fill="D9D9D9"/>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功率</w:t>
            </w:r>
          </w:p>
        </w:tc>
        <w:tc>
          <w:tcPr>
            <w:tcW w:w="1524" w:type="pct"/>
            <w:tcBorders>
              <w:top w:val="single" w:color="000000" w:sz="4" w:space="0"/>
              <w:left w:val="single" w:color="auto" w:sz="4" w:space="0"/>
              <w:bottom w:val="single" w:color="000000" w:sz="4" w:space="0"/>
              <w:right w:val="single" w:color="000000" w:sz="4" w:space="0"/>
            </w:tcBorders>
            <w:shd w:val="clear" w:color="auto" w:fill="D9D9D9"/>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材料编码</w:t>
            </w:r>
          </w:p>
        </w:tc>
      </w:tr>
      <w:tr>
        <w:tblPrEx>
          <w:tblCellMar>
            <w:top w:w="15" w:type="dxa"/>
            <w:left w:w="108" w:type="dxa"/>
            <w:bottom w:w="15" w:type="dxa"/>
            <w:right w:w="108" w:type="dxa"/>
          </w:tblCellMar>
        </w:tblPrEx>
        <w:trPr>
          <w:trHeight w:val="779"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p>
        </w:tc>
        <w:tc>
          <w:tcPr>
            <w:tcW w:w="169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570" w:lineRule="exact"/>
              <w:jc w:val="both"/>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普通型LED庭院灯-I</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rPr>
              <w:t>LED</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3000K</w:t>
            </w:r>
          </w:p>
        </w:tc>
        <w:tc>
          <w:tcPr>
            <w:tcW w:w="434" w:type="pct"/>
            <w:tcBorders>
              <w:top w:val="single" w:color="000000" w:sz="4" w:space="0"/>
              <w:left w:val="single" w:color="000000" w:sz="4" w:space="0"/>
              <w:bottom w:val="single" w:color="000000"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38</w:t>
            </w:r>
            <w:r>
              <w:rPr>
                <w:rFonts w:hint="eastAsia" w:ascii="仿宋" w:hAnsi="仿宋" w:eastAsia="仿宋" w:cs="仿宋"/>
                <w:color w:val="auto"/>
                <w:kern w:val="0"/>
                <w:sz w:val="30"/>
                <w:szCs w:val="30"/>
                <w:highlight w:val="none"/>
              </w:rPr>
              <w:t>W</w:t>
            </w:r>
          </w:p>
        </w:tc>
        <w:tc>
          <w:tcPr>
            <w:tcW w:w="1524" w:type="pct"/>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0105010154000001</w:t>
            </w:r>
          </w:p>
        </w:tc>
      </w:tr>
      <w:tr>
        <w:tblPrEx>
          <w:tblCellMar>
            <w:top w:w="15" w:type="dxa"/>
            <w:left w:w="108" w:type="dxa"/>
            <w:bottom w:w="15" w:type="dxa"/>
            <w:right w:w="108" w:type="dxa"/>
          </w:tblCellMar>
        </w:tblPrEx>
        <w:trPr>
          <w:trHeight w:val="509" w:hRule="atLeast"/>
          <w:jc w:val="center"/>
        </w:trPr>
        <w:tc>
          <w:tcPr>
            <w:tcW w:w="306"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备注</w:t>
            </w:r>
          </w:p>
        </w:tc>
        <w:tc>
          <w:tcPr>
            <w:tcW w:w="4693" w:type="pct"/>
            <w:gridSpan w:val="5"/>
            <w:tcBorders>
              <w:top w:val="single" w:color="000000" w:sz="4" w:space="0"/>
              <w:left w:val="single" w:color="000000" w:sz="4" w:space="0"/>
              <w:bottom w:val="single" w:color="000000" w:sz="4" w:space="0"/>
              <w:right w:val="single" w:color="000000" w:sz="4" w:space="0"/>
            </w:tcBorders>
            <w:noWrap w:val="0"/>
            <w:vAlign w:val="top"/>
          </w:tcPr>
          <w:p>
            <w:pPr>
              <w:pageBreakBefore w:val="0"/>
              <w:widowControl/>
              <w:kinsoku/>
              <w:wordWrap/>
              <w:overflowPunct/>
              <w:topLinePunct w:val="0"/>
              <w:autoSpaceDE/>
              <w:autoSpaceDN/>
              <w:bidi w:val="0"/>
              <w:snapToGrid w:val="0"/>
              <w:spacing w:line="570" w:lineRule="exact"/>
              <w:jc w:val="both"/>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1.庭院灯灯头、灯杆应分别单独报价（报价中含有运输费及防黏贴等所有费用）。</w:t>
            </w:r>
          </w:p>
          <w:p>
            <w:pPr>
              <w:pageBreakBefore w:val="0"/>
              <w:widowControl/>
              <w:kinsoku/>
              <w:wordWrap/>
              <w:overflowPunct/>
              <w:topLinePunct w:val="0"/>
              <w:autoSpaceDE/>
              <w:autoSpaceDN/>
              <w:bidi w:val="0"/>
              <w:snapToGrid w:val="0"/>
              <w:spacing w:line="570" w:lineRule="exact"/>
              <w:jc w:val="both"/>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2.根据成交供应商的成交单价，按实际供货量结算。</w:t>
            </w:r>
          </w:p>
        </w:tc>
      </w:tr>
    </w:tbl>
    <w:p>
      <w:pPr>
        <w:pStyle w:val="3"/>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rPr>
      </w:pPr>
      <w:bookmarkStart w:id="3" w:name="_Toc92188481"/>
      <w:r>
        <w:rPr>
          <w:rFonts w:hint="eastAsia" w:ascii="黑体" w:hAnsi="黑体" w:eastAsia="黑体" w:cs="黑体"/>
          <w:b w:val="0"/>
          <w:bCs/>
          <w:color w:val="auto"/>
          <w:sz w:val="32"/>
          <w:szCs w:val="32"/>
          <w:highlight w:val="none"/>
        </w:rPr>
        <w:t>二、庭院灯一般要求</w:t>
      </w:r>
      <w:bookmarkEnd w:id="3"/>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（一）一</w:t>
      </w:r>
      <w:r>
        <w:rPr>
          <w:rFonts w:hint="eastAsia" w:ascii="楷体" w:hAnsi="楷体" w:eastAsia="楷体" w:cs="楷体"/>
          <w:b w:val="0"/>
          <w:bCs w:val="0"/>
          <w:color w:val="auto"/>
          <w:sz w:val="32"/>
          <w:szCs w:val="32"/>
          <w:highlight w:val="none"/>
        </w:rPr>
        <w:t>般要求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成交后灯具供应阶段，投标人确定的灯具将视情况抽样检测。</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成交后，提供灯具安装说明书。</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成交后</w:t>
      </w:r>
      <w:r>
        <w:rPr>
          <w:rFonts w:hint="eastAsia" w:ascii="仿宋" w:hAnsi="仿宋" w:eastAsia="仿宋" w:cs="仿宋"/>
          <w:color w:val="auto"/>
          <w:sz w:val="32"/>
          <w:szCs w:val="32"/>
          <w:highlight w:val="none"/>
          <w:lang w:val="en-US" w:eastAsia="zh-CN"/>
        </w:rPr>
        <w:t>一日内</w:t>
      </w:r>
      <w:r>
        <w:rPr>
          <w:rFonts w:hint="eastAsia" w:ascii="仿宋" w:hAnsi="仿宋" w:eastAsia="仿宋" w:cs="仿宋"/>
          <w:color w:val="auto"/>
          <w:sz w:val="32"/>
          <w:szCs w:val="32"/>
          <w:highlight w:val="none"/>
        </w:rPr>
        <w:t>，按要求提供灯具实样一套，需进行供货前评审，评审通过后方能供货。</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报价含灯罩出线：出线为</w:t>
      </w:r>
      <w:r>
        <w:rPr>
          <w:rFonts w:hint="eastAsia" w:ascii="仿宋" w:hAnsi="仿宋" w:eastAsia="仿宋" w:cs="仿宋"/>
          <w:color w:val="auto"/>
          <w:sz w:val="32"/>
          <w:szCs w:val="32"/>
          <w:highlight w:val="none"/>
          <w:lang w:val="en-US" w:eastAsia="zh-CN"/>
        </w:rPr>
        <w:t>RVV3×2.5</w:t>
      </w:r>
      <w:r>
        <w:rPr>
          <w:rFonts w:hint="eastAsia" w:ascii="仿宋" w:hAnsi="仿宋" w:eastAsia="仿宋" w:cs="仿宋"/>
          <w:color w:val="auto"/>
          <w:sz w:val="32"/>
          <w:szCs w:val="32"/>
          <w:highlight w:val="none"/>
        </w:rPr>
        <w:t>mm²</w:t>
      </w:r>
      <w:r>
        <w:rPr>
          <w:rFonts w:hint="default" w:ascii="仿宋" w:hAnsi="仿宋" w:eastAsia="仿宋" w:cs="仿宋"/>
          <w:color w:val="auto"/>
          <w:sz w:val="32"/>
          <w:szCs w:val="32"/>
          <w:highlight w:val="none"/>
        </w:rPr>
        <w:t> </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mm²</w:t>
      </w:r>
      <w:r>
        <w:rPr>
          <w:rFonts w:hint="eastAsia" w:ascii="仿宋" w:hAnsi="仿宋" w:eastAsia="仿宋" w:cs="仿宋"/>
          <w:color w:val="auto"/>
          <w:sz w:val="32"/>
          <w:szCs w:val="32"/>
          <w:highlight w:val="none"/>
          <w:lang w:val="en-US" w:eastAsia="zh-CN"/>
        </w:rPr>
        <w:t>电线</w:t>
      </w:r>
      <w:r>
        <w:rPr>
          <w:rFonts w:hint="eastAsia" w:ascii="仿宋" w:hAnsi="仿宋" w:eastAsia="仿宋" w:cs="仿宋"/>
          <w:color w:val="auto"/>
          <w:sz w:val="32"/>
          <w:szCs w:val="32"/>
          <w:highlight w:val="none"/>
        </w:rPr>
        <w:t>,长度不小于灯杆高度。</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每套灯具报价需含一套安装辅材（具体材料清单见下图）：</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p>
    <w:p>
      <w:pPr>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color w:val="auto"/>
          <w:sz w:val="32"/>
          <w:szCs w:val="32"/>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drawing>
          <wp:anchor distT="0" distB="0" distL="114300" distR="114300" simplePos="0" relativeHeight="251661312" behindDoc="0" locked="0" layoutInCell="1" allowOverlap="1">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pPr>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drawing>
          <wp:anchor distT="0" distB="0" distL="114300" distR="114300" simplePos="0" relativeHeight="251661312"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lang w:val="en-US" w:eastAsia="zh-CN"/>
        </w:rPr>
        <w:t>示意图</w:t>
      </w:r>
      <w:r>
        <w:rPr>
          <w:rFonts w:hint="eastAsia" w:ascii="仿宋" w:hAnsi="仿宋" w:eastAsia="仿宋" w:cs="仿宋"/>
          <w:color w:val="auto"/>
          <w:sz w:val="32"/>
          <w:szCs w:val="32"/>
          <w:highlight w:val="none"/>
          <w:u w:val="none"/>
          <w:lang w:val="en-US" w:eastAsia="zh-CN"/>
        </w:rPr>
        <w:t xml:space="preserve"> ）          </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 xml:space="preserve">面板 8×25螺丝 D8弹簧垫 D8螺母 卡式熔壳 卡式熔芯 </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p>
    <w:p>
      <w:pPr>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drawing>
          <wp:anchor distT="0" distB="0" distL="114300" distR="114300" simplePos="0" relativeHeight="251662336"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p>
    <w:p>
      <w:pPr>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color w:val="auto"/>
          <w:sz w:val="32"/>
          <w:szCs w:val="32"/>
          <w:highlight w:val="none"/>
          <w:u w:val="single"/>
          <w:lang w:val="en-US" w:eastAsia="zh-CN"/>
        </w:rPr>
      </w:pP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u w:val="single"/>
          <w:lang w:val="en-US" w:eastAsia="zh-CN"/>
        </w:rPr>
      </w:pPr>
    </w:p>
    <w:p>
      <w:pPr>
        <w:pageBreakBefore w:val="0"/>
        <w:kinsoku/>
        <w:wordWrap/>
        <w:overflowPunct/>
        <w:topLinePunct w:val="0"/>
        <w:autoSpaceDE/>
        <w:autoSpaceDN/>
        <w:bidi w:val="0"/>
        <w:spacing w:line="570" w:lineRule="exact"/>
        <w:ind w:firstLine="640" w:firstLineChars="200"/>
        <w:jc w:val="left"/>
        <w:textAlignment w:val="auto"/>
        <w:rPr>
          <w:rFonts w:hint="default" w:ascii="仿宋" w:hAnsi="仿宋" w:eastAsia="仿宋" w:cs="仿宋"/>
          <w:color w:val="auto"/>
          <w:sz w:val="32"/>
          <w:szCs w:val="32"/>
          <w:highlight w:val="none"/>
          <w:u w:val="single"/>
          <w:lang w:val="en-US" w:eastAsia="zh-CN"/>
        </w:rPr>
      </w:pPr>
    </w:p>
    <w:p>
      <w:pPr>
        <w:pageBreakBefore w:val="0"/>
        <w:kinsoku/>
        <w:wordWrap/>
        <w:overflowPunct/>
        <w:topLinePunct w:val="0"/>
        <w:autoSpaceDE/>
        <w:autoSpaceDN/>
        <w:bidi w:val="0"/>
        <w:spacing w:line="570" w:lineRule="exact"/>
        <w:ind w:firstLine="5440" w:firstLineChars="1700"/>
        <w:jc w:val="lef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none"/>
          <w:lang w:val="en-US" w:eastAsia="zh-CN"/>
        </w:rPr>
        <w:t>(示意图)</w:t>
      </w:r>
    </w:p>
    <w:p>
      <w:pPr>
        <w:pageBreakBefore w:val="0"/>
        <w:kinsoku/>
        <w:wordWrap/>
        <w:overflowPunct/>
        <w:topLinePunct w:val="0"/>
        <w:autoSpaceDE/>
        <w:autoSpaceDN/>
        <w:bidi w:val="0"/>
        <w:spacing w:line="570" w:lineRule="exact"/>
        <w:ind w:firstLine="640" w:firstLineChars="200"/>
        <w:jc w:val="center"/>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u w:val="single"/>
        </w:rPr>
        <w:t>热镀锌螺母D16</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热镀锌加大垫片D16</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庭院灯安装辅材：热镀锌螺母D16(8个/套)、热镀锌加大垫片D16(8个/套)、304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25螺丝(2个/套)、304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不锈钢D8垫片(4个/套)、304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不锈钢D8弹簧垫(2个/套)、304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不锈钢D8螺母(2个/套)、面板(1块/套)、卡式熔壳(1个/套)、4A卡式熔芯(1个/套)。</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质保：庭院灯灯头（含LED光源）整灯质保5年以上，庭院灯灯杆质保10年以上不掉漆、不生锈、喷塑不褪色。</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本招标文件中未标注公差的，按照GB-T1804的精度C级别标准执行，其中安装公差和位置公差按照精度M级别标准执行。</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（二）应严格执行相关</w:t>
      </w:r>
      <w:r>
        <w:rPr>
          <w:rFonts w:hint="eastAsia" w:ascii="楷体" w:hAnsi="楷体" w:eastAsia="楷体" w:cs="楷体"/>
          <w:b w:val="0"/>
          <w:bCs w:val="0"/>
          <w:color w:val="auto"/>
          <w:sz w:val="32"/>
          <w:szCs w:val="32"/>
          <w:highlight w:val="none"/>
        </w:rPr>
        <w:t>标准</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产品必须符合下列文件中的条款，凡是不注日期的引用文件，其最新版本适用于本标准。</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GB7000.1灯具 第1部分：一般要求与试验。</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GB7000.201灯具 第2-1部分：特殊要求 固定式通用灯具。</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GB7000.203灯具第2-3部分：特殊要求 道路与街路照明灯具。</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GB/T10485道路车辆—外部照明和光信号装置环境耐久性第二部分第15条中对透光罩的要求。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 4208外壳防护等级（IP代码）。</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 4208外壳防护等级（IP代码）。</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 17743电气照明和类似设备的无线电骚扰特性的限值和测量方法。</w:t>
      </w:r>
    </w:p>
    <w:p>
      <w:pPr>
        <w:pageBreakBefore w:val="0"/>
        <w:kinsoku/>
        <w:wordWrap/>
        <w:overflowPunct/>
        <w:topLinePunct w:val="0"/>
        <w:autoSpaceDE/>
        <w:autoSpaceDN/>
        <w:bidi w:val="0"/>
        <w:snapToGrid w:val="0"/>
        <w:spacing w:line="57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GB l7625.1</w:t>
      </w:r>
      <w:r>
        <w:rPr>
          <w:rFonts w:hint="eastAsia" w:ascii="仿宋" w:hAnsi="仿宋" w:eastAsia="仿宋" w:cs="仿宋"/>
          <w:color w:val="auto"/>
          <w:sz w:val="32"/>
          <w:szCs w:val="32"/>
          <w:highlight w:val="none"/>
        </w:rPr>
        <w:t>电磁兼容限值谐波电流发射限值</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(设备每相输入电流≤16A)。</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QB/T1551灯具油漆涂层。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QB/T3741灯具电镀、化学覆盖层。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CJJ45城市道路照明设计标准。</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GB-T1804</w:t>
      </w:r>
      <w:r>
        <w:rPr>
          <w:rFonts w:hint="eastAsia" w:ascii="仿宋" w:hAnsi="仿宋" w:eastAsia="仿宋" w:cs="仿宋"/>
          <w:color w:val="auto"/>
          <w:sz w:val="32"/>
          <w:szCs w:val="32"/>
          <w:highlight w:val="none"/>
          <w:lang w:val="en-US" w:eastAsia="zh-CN"/>
        </w:rPr>
        <w:t>一般公差 未注公差的线性和角度尺寸的公差</w:t>
      </w:r>
      <w:r>
        <w:rPr>
          <w:rFonts w:hint="eastAsia" w:ascii="仿宋" w:hAnsi="仿宋" w:eastAsia="仿宋" w:cs="仿宋"/>
          <w:color w:val="auto"/>
          <w:sz w:val="32"/>
          <w:szCs w:val="32"/>
          <w:highlight w:val="none"/>
        </w:rPr>
        <w:t>。</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其他国家及江苏省现行标准规范、图集等；以及相关的灯具的现行的国家规范和标准。</w:t>
      </w:r>
      <w:bookmarkStart w:id="4" w:name="_Toc22741"/>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（三）整灯（含灯具、灯杆等）外形示意图</w:t>
      </w:r>
      <w:bookmarkEnd w:id="4"/>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2232660</wp:posOffset>
            </wp:positionH>
            <wp:positionV relativeFrom="paragraph">
              <wp:posOffset>323215</wp:posOffset>
            </wp:positionV>
            <wp:extent cx="932180" cy="3456305"/>
            <wp:effectExtent l="0" t="0" r="0" b="0"/>
            <wp:wrapSquare wrapText="bothSides"/>
            <wp:docPr id="6" name="图片 6" descr="星月灯型（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星月灯型（灰）"/>
                    <pic:cNvPicPr>
                      <a:picLocks noChangeAspect="1"/>
                    </pic:cNvPicPr>
                  </pic:nvPicPr>
                  <pic:blipFill>
                    <a:blip r:embed="rId11"/>
                    <a:srcRect l="35437" t="15419" r="21462" b="21002"/>
                    <a:stretch>
                      <a:fillRect/>
                    </a:stretch>
                  </pic:blipFill>
                  <pic:spPr>
                    <a:xfrm>
                      <a:off x="0" y="0"/>
                      <a:ext cx="932180" cy="3456305"/>
                    </a:xfrm>
                    <a:prstGeom prst="rect">
                      <a:avLst/>
                    </a:prstGeom>
                  </pic:spPr>
                </pic:pic>
              </a:graphicData>
            </a:graphic>
          </wp:anchor>
        </w:drawing>
      </w: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lang w:eastAsia="zh-CN"/>
        </w:rPr>
      </w:pP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p>
    <w:p>
      <w:pPr>
        <w:pageBreakBefore w:val="0"/>
        <w:kinsoku/>
        <w:wordWrap/>
        <w:overflowPunct/>
        <w:topLinePunct w:val="0"/>
        <w:autoSpaceDE/>
        <w:autoSpaceDN/>
        <w:bidi w:val="0"/>
        <w:snapToGrid w:val="0"/>
        <w:spacing w:line="570" w:lineRule="exact"/>
        <w:jc w:val="center"/>
        <w:textAlignment w:val="auto"/>
        <w:rPr>
          <w:rFonts w:hint="eastAsia" w:ascii="黑体" w:hAnsi="黑体" w:eastAsia="黑体" w:cs="黑体"/>
          <w:b w:val="0"/>
          <w:bCs/>
          <w:color w:val="auto"/>
          <w:sz w:val="32"/>
          <w:szCs w:val="32"/>
          <w:highlight w:val="none"/>
        </w:rPr>
      </w:pPr>
      <w:r>
        <w:rPr>
          <w:rFonts w:hint="eastAsia" w:ascii="仿宋" w:hAnsi="仿宋" w:eastAsia="仿宋" w:cs="仿宋"/>
          <w:color w:val="auto"/>
          <w:sz w:val="32"/>
          <w:szCs w:val="32"/>
          <w:highlight w:val="none"/>
          <w:u w:val="none"/>
          <w:lang w:val="en-US" w:eastAsia="zh-CN"/>
        </w:rPr>
        <w:t>(外形示意图)</w:t>
      </w:r>
      <w:bookmarkStart w:id="5" w:name="_Toc92188482"/>
    </w:p>
    <w:p>
      <w:pPr>
        <w:pStyle w:val="3"/>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三、庭院灯技术要求</w:t>
      </w:r>
      <w:bookmarkEnd w:id="5"/>
    </w:p>
    <w:p>
      <w:pPr>
        <w:pageBreakBefore w:val="0"/>
        <w:kinsoku/>
        <w:wordWrap/>
        <w:overflowPunct/>
        <w:topLinePunct w:val="0"/>
        <w:autoSpaceDE/>
        <w:autoSpaceDN/>
        <w:bidi w:val="0"/>
        <w:snapToGrid w:val="0"/>
        <w:spacing w:line="570" w:lineRule="exact"/>
        <w:ind w:left="0" w:leftChars="0" w:firstLine="419" w:firstLineChars="131"/>
        <w:jc w:val="left"/>
        <w:textAlignment w:val="auto"/>
        <w:rPr>
          <w:rFonts w:hint="eastAsia" w:ascii="楷体" w:hAnsi="楷体" w:eastAsia="楷体" w:cs="楷体"/>
          <w:color w:val="auto"/>
          <w:sz w:val="32"/>
          <w:szCs w:val="32"/>
          <w:highlight w:val="none"/>
        </w:rPr>
      </w:pPr>
      <w:bookmarkStart w:id="6" w:name="_Toc14090"/>
      <w:r>
        <w:rPr>
          <w:rFonts w:hint="eastAsia" w:ascii="楷体" w:hAnsi="楷体" w:eastAsia="楷体" w:cs="楷体"/>
          <w:color w:val="auto"/>
          <w:sz w:val="32"/>
          <w:szCs w:val="32"/>
          <w:highlight w:val="none"/>
        </w:rPr>
        <w:t>（一）灯具部分的具体要求</w:t>
      </w:r>
      <w:bookmarkEnd w:id="6"/>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7" w:name="_Toc13723"/>
      <w:bookmarkStart w:id="8" w:name="_Toc7829"/>
      <w:bookmarkStart w:id="9" w:name="_Toc4110"/>
      <w:bookmarkStart w:id="10" w:name="_Toc328"/>
      <w:bookmarkStart w:id="11" w:name="_Toc23425"/>
      <w:bookmarkStart w:id="12" w:name="_Toc28447"/>
      <w:bookmarkStart w:id="13" w:name="_Toc6546"/>
      <w:bookmarkStart w:id="14" w:name="_Toc1176"/>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highlight w:val="none"/>
        </w:rPr>
        <w:t>外形尺寸和外观质量</w:t>
      </w:r>
      <w:bookmarkEnd w:id="7"/>
      <w:bookmarkEnd w:id="8"/>
      <w:bookmarkEnd w:id="9"/>
      <w:bookmarkEnd w:id="10"/>
      <w:bookmarkEnd w:id="11"/>
      <w:bookmarkEnd w:id="12"/>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灯具外形尺寸</w:t>
      </w:r>
      <w:r>
        <w:rPr>
          <w:rFonts w:hint="eastAsia" w:ascii="仿宋" w:hAnsi="仿宋" w:eastAsia="仿宋" w:cs="仿宋"/>
          <w:color w:val="auto"/>
          <w:sz w:val="32"/>
          <w:szCs w:val="32"/>
          <w:highlight w:val="none"/>
          <w:lang w:val="en-US" w:eastAsia="zh-CN"/>
        </w:rPr>
        <w:t>见</w:t>
      </w:r>
      <w:r>
        <w:rPr>
          <w:rFonts w:hint="eastAsia" w:ascii="仿宋" w:hAnsi="仿宋" w:eastAsia="仿宋" w:cs="仿宋"/>
          <w:color w:val="auto"/>
          <w:sz w:val="32"/>
          <w:szCs w:val="32"/>
          <w:highlight w:val="none"/>
        </w:rPr>
        <w:t>灯</w:t>
      </w:r>
      <w:r>
        <w:rPr>
          <w:rFonts w:hint="eastAsia" w:ascii="仿宋" w:hAnsi="仿宋" w:eastAsia="仿宋" w:cs="仿宋"/>
          <w:color w:val="auto"/>
          <w:sz w:val="32"/>
          <w:szCs w:val="32"/>
          <w:highlight w:val="none"/>
          <w:lang w:val="en-US" w:eastAsia="zh-CN"/>
        </w:rPr>
        <w:t>具</w:t>
      </w:r>
      <w:r>
        <w:rPr>
          <w:rFonts w:hint="eastAsia" w:ascii="仿宋" w:hAnsi="仿宋" w:eastAsia="仿宋" w:cs="仿宋"/>
          <w:color w:val="auto"/>
          <w:sz w:val="32"/>
          <w:szCs w:val="32"/>
          <w:highlight w:val="none"/>
        </w:rPr>
        <w:t>技术参数表。</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灯具外观需与图片一致（见下文附图）。</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灯具的表面应光滑，以防污物堆积和便于清洗，无损伤、变形、涂层剥落，透光罩应无气泡、明显划痕和裂纹等缺陷，灯杆表面喷超耐侯防涂鸦涂料。</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15" w:name="_Toc1199"/>
      <w:bookmarkStart w:id="16" w:name="_Toc4530"/>
      <w:bookmarkStart w:id="17" w:name="_Toc28868"/>
      <w:bookmarkStart w:id="18" w:name="_Toc19104"/>
      <w:r>
        <w:rPr>
          <w:rFonts w:hint="eastAsia" w:ascii="仿宋" w:hAnsi="仿宋" w:eastAsia="仿宋" w:cs="仿宋"/>
          <w:b/>
          <w:bCs/>
          <w:color w:val="auto"/>
          <w:sz w:val="32"/>
          <w:szCs w:val="32"/>
          <w:highlight w:val="none"/>
        </w:rPr>
        <w:t>2．安全要求</w:t>
      </w:r>
      <w:bookmarkEnd w:id="13"/>
      <w:bookmarkEnd w:id="14"/>
      <w:bookmarkEnd w:id="15"/>
      <w:bookmarkEnd w:id="16"/>
      <w:bookmarkEnd w:id="17"/>
      <w:bookmarkEnd w:id="18"/>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bookmarkStart w:id="19" w:name="_Toc16557"/>
      <w:bookmarkStart w:id="20" w:name="_Toc23696"/>
      <w:bookmarkStart w:id="21" w:name="_Toc10606"/>
      <w:bookmarkStart w:id="22" w:name="_Toc16367"/>
      <w:bookmarkStart w:id="23" w:name="_Toc29147"/>
      <w:bookmarkStart w:id="24" w:name="_Toc10142"/>
      <w:r>
        <w:rPr>
          <w:rFonts w:hint="eastAsia" w:ascii="仿宋" w:hAnsi="仿宋" w:eastAsia="仿宋" w:cs="仿宋"/>
          <w:color w:val="auto"/>
          <w:sz w:val="32"/>
          <w:szCs w:val="32"/>
          <w:highlight w:val="none"/>
        </w:rPr>
        <w:t>灯具应符合GB7000.1及GB7000.203的要求。当GB7000.1及GB7000.203与“灯具一般要求”有冲突时，以“灯具一般要求”为准。</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3．光源要求</w:t>
      </w:r>
      <w:bookmarkEnd w:id="19"/>
      <w:bookmarkEnd w:id="20"/>
      <w:bookmarkEnd w:id="21"/>
      <w:bookmarkEnd w:id="22"/>
      <w:bookmarkEnd w:id="23"/>
      <w:bookmarkEnd w:id="24"/>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LED颗粒应满足拥有LM-80认证，采用原厂封装芯片，不得采用集成式芯片，交货前须附原厂供货证明。采用全模块化结构设计，模块可以现场拆换，每个LED模块具有独立的散热、防水和配光，可随意组合。</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25" w:name="_Toc19980"/>
      <w:bookmarkStart w:id="26" w:name="_Toc2167"/>
      <w:bookmarkStart w:id="27" w:name="_Toc18961"/>
      <w:bookmarkStart w:id="28" w:name="_Toc4270"/>
      <w:bookmarkStart w:id="29" w:name="_Toc31812"/>
      <w:bookmarkStart w:id="30" w:name="_Toc30033"/>
      <w:r>
        <w:rPr>
          <w:rFonts w:hint="eastAsia" w:ascii="仿宋" w:hAnsi="仿宋" w:eastAsia="仿宋" w:cs="仿宋"/>
          <w:b/>
          <w:bCs/>
          <w:color w:val="auto"/>
          <w:sz w:val="32"/>
          <w:szCs w:val="32"/>
          <w:highlight w:val="none"/>
        </w:rPr>
        <w:t>4．灯具一般要求</w:t>
      </w:r>
      <w:bookmarkEnd w:id="25"/>
      <w:bookmarkEnd w:id="26"/>
      <w:bookmarkEnd w:id="27"/>
      <w:bookmarkEnd w:id="28"/>
      <w:bookmarkEnd w:id="29"/>
      <w:bookmarkEnd w:id="30"/>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灯具散热设计要先进合理，灯具适应温度：-40℃～+</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℃。灯具工作湿度环境：≤95%RH。</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灯具引出线为</w:t>
      </w:r>
      <w:r>
        <w:rPr>
          <w:rFonts w:hint="eastAsia" w:ascii="仿宋" w:hAnsi="仿宋" w:eastAsia="仿宋" w:cs="仿宋"/>
          <w:color w:val="auto"/>
          <w:sz w:val="32"/>
          <w:szCs w:val="32"/>
          <w:highlight w:val="none"/>
          <w:lang w:val="en-US" w:eastAsia="zh-CN"/>
        </w:rPr>
        <w:t>RVV3×2.5</w:t>
      </w:r>
      <w:r>
        <w:rPr>
          <w:rFonts w:hint="eastAsia" w:ascii="仿宋" w:hAnsi="仿宋" w:eastAsia="仿宋" w:cs="仿宋"/>
          <w:color w:val="auto"/>
          <w:sz w:val="32"/>
          <w:szCs w:val="32"/>
          <w:highlight w:val="none"/>
        </w:rPr>
        <w:t>mm²</w:t>
      </w:r>
      <w:r>
        <w:rPr>
          <w:rFonts w:hint="default" w:ascii="仿宋" w:hAnsi="仿宋" w:eastAsia="仿宋" w:cs="仿宋"/>
          <w:color w:val="auto"/>
          <w:sz w:val="32"/>
          <w:szCs w:val="32"/>
          <w:highlight w:val="none"/>
        </w:rPr>
        <w:t> </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mm²，长度不小于灯杆高度，芯线颜色必须符合国标要求，且有明显区别。接头必须具有防水措施、连接方便易操作。</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有针对感应雷击及静电的专用防护元件，器件性能符合IEC61000-4（Level 4）的检测标准。</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灯具的浪涌保护器应独立设置，电压保护水平Up输出值应小于控制装置的抗浪涌电压，且不应大于2KV，接线应具有防误接措施。共模抗浪涌电压不应低于10KV，差模抗浪涌电压不应低于5KV。</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LED灯具的寿命应不小于30000h。 LED灯具在正常工作6000h的光通维持率不应小于97%。正常工作12000h的光通量维持率不应小于90%。同时灯具在正常工作12000h内年损坏率不应高于1%，12000h~25000h内年损坏率不应高于3%。</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电器绝缘等级：Class I。</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31" w:name="_Toc7064"/>
      <w:bookmarkStart w:id="32" w:name="_Toc25052"/>
      <w:bookmarkStart w:id="33" w:name="_Toc15203"/>
      <w:bookmarkStart w:id="34" w:name="_Toc27516"/>
      <w:bookmarkStart w:id="35" w:name="_Toc17624"/>
      <w:bookmarkStart w:id="36" w:name="_Toc14136"/>
      <w:r>
        <w:rPr>
          <w:rFonts w:hint="eastAsia" w:ascii="仿宋" w:hAnsi="仿宋" w:eastAsia="仿宋" w:cs="仿宋"/>
          <w:b/>
          <w:bCs/>
          <w:color w:val="auto"/>
          <w:sz w:val="32"/>
          <w:szCs w:val="32"/>
          <w:highlight w:val="none"/>
        </w:rPr>
        <w:t>5．材料要求</w:t>
      </w:r>
      <w:bookmarkEnd w:id="31"/>
      <w:bookmarkEnd w:id="32"/>
      <w:bookmarkEnd w:id="33"/>
      <w:bookmarkEnd w:id="34"/>
      <w:bookmarkEnd w:id="35"/>
      <w:bookmarkEnd w:id="36"/>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灯具所采用的电线(缆)、LED和其他电子部件均应符合相应的国家标准或行业标准的规定要求。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灯具的插销、铰链、螺钉和其他外部构件应用304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不锈钢制成，其安装构件应不受混凝土的化学反应腐蚀。</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灯具密封件应耐温、耐老化和耐道路上可能出现的腐蚀性气体，并应方便更换。</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37" w:name="_Toc23148"/>
      <w:bookmarkStart w:id="38" w:name="_Toc3035"/>
      <w:bookmarkStart w:id="39" w:name="_Toc22548"/>
      <w:bookmarkStart w:id="40" w:name="_Toc21146"/>
      <w:r>
        <w:rPr>
          <w:rFonts w:hint="eastAsia" w:ascii="仿宋" w:hAnsi="仿宋" w:eastAsia="仿宋" w:cs="仿宋"/>
          <w:b/>
          <w:bCs/>
          <w:color w:val="auto"/>
          <w:sz w:val="32"/>
          <w:szCs w:val="32"/>
          <w:highlight w:val="none"/>
        </w:rPr>
        <w:t>6．结构要求</w:t>
      </w:r>
      <w:bookmarkEnd w:id="37"/>
      <w:bookmarkEnd w:id="38"/>
      <w:bookmarkEnd w:id="39"/>
      <w:bookmarkEnd w:id="40"/>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灯具应安装方便，安装角度应能灵活调节。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灯具应有特设的导线出(入)口密封装置，该装置为304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不锈钢材料或铜材质。</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灯具内应有电源接线端子，外部接线和内部接线穿过硬质材料时应有保护措施。</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41" w:name="_Toc24603"/>
      <w:bookmarkStart w:id="42" w:name="_Toc1906"/>
      <w:bookmarkStart w:id="43" w:name="_Toc27482"/>
      <w:bookmarkStart w:id="44" w:name="_Toc17082"/>
      <w:bookmarkStart w:id="45" w:name="_Toc2219"/>
      <w:bookmarkStart w:id="46" w:name="_Toc24577"/>
      <w:r>
        <w:rPr>
          <w:rFonts w:hint="eastAsia" w:ascii="仿宋" w:hAnsi="仿宋" w:eastAsia="仿宋" w:cs="仿宋"/>
          <w:b/>
          <w:bCs/>
          <w:color w:val="auto"/>
          <w:sz w:val="32"/>
          <w:szCs w:val="32"/>
          <w:highlight w:val="none"/>
        </w:rPr>
        <w:t>7．灯具驱动电源的要求</w:t>
      </w:r>
      <w:bookmarkEnd w:id="41"/>
      <w:bookmarkEnd w:id="42"/>
      <w:bookmarkEnd w:id="43"/>
      <w:bookmarkEnd w:id="44"/>
      <w:bookmarkEnd w:id="45"/>
      <w:bookmarkEnd w:id="46"/>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驱动电源</w:t>
      </w:r>
      <w:r>
        <w:rPr>
          <w:rFonts w:hint="eastAsia" w:ascii="仿宋" w:hAnsi="仿宋" w:eastAsia="仿宋" w:cs="仿宋"/>
          <w:color w:val="auto"/>
          <w:sz w:val="32"/>
          <w:szCs w:val="32"/>
          <w:highlight w:val="none"/>
          <w:lang w:val="en-US" w:eastAsia="zh-CN"/>
        </w:rPr>
        <w:t>可实现0-10V无极调光。</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（3）驱动电源需确保可接受采购方单灯控制器控制。</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仿宋"/>
          <w:color w:val="FF0000"/>
          <w:sz w:val="32"/>
          <w:szCs w:val="32"/>
          <w:highlight w:val="none"/>
          <w:lang w:val="en-US" w:eastAsia="zh-CN"/>
        </w:rPr>
        <w:t>（4）驱动电源防护等级不低于IP65。</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47" w:name="_Toc9364"/>
      <w:bookmarkStart w:id="48" w:name="_Toc6094"/>
      <w:r>
        <w:rPr>
          <w:rFonts w:hint="eastAsia" w:ascii="仿宋" w:hAnsi="仿宋" w:eastAsia="仿宋" w:cs="仿宋"/>
          <w:b/>
          <w:bCs/>
          <w:color w:val="auto"/>
          <w:sz w:val="32"/>
          <w:szCs w:val="32"/>
          <w:highlight w:val="none"/>
        </w:rPr>
        <w:t>8．电磁兼容等要求</w:t>
      </w:r>
      <w:bookmarkEnd w:id="47"/>
      <w:bookmarkEnd w:id="48"/>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灯具的无线电骚扰特性应符合GB/T 17743的要求。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灯具电磁兼容抗扰度应符合GB/T 18595 的要求。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灯具的输入电流谐波应符合GB l7625.1的要求。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LED电子控制装置应采用高压输出的LED电子控制装置，输出电流不超过1.5A。并应符合GB 19510.14的规定。</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LED灯具的蓝光控制应符合GB 7000.1的规定。</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49" w:name="_Toc21333"/>
      <w:bookmarkStart w:id="50" w:name="_Toc23592"/>
      <w:bookmarkStart w:id="51" w:name="_Toc10479"/>
      <w:bookmarkStart w:id="52" w:name="_Toc2186"/>
      <w:bookmarkStart w:id="53" w:name="_Toc15302"/>
      <w:bookmarkStart w:id="54" w:name="_Toc8155"/>
      <w:r>
        <w:rPr>
          <w:rFonts w:hint="eastAsia" w:ascii="仿宋" w:hAnsi="仿宋" w:eastAsia="仿宋" w:cs="仿宋"/>
          <w:b/>
          <w:bCs/>
          <w:color w:val="auto"/>
          <w:sz w:val="32"/>
          <w:szCs w:val="32"/>
          <w:highlight w:val="none"/>
        </w:rPr>
        <w:t>9．耐腐蚀性</w:t>
      </w:r>
      <w:bookmarkEnd w:id="49"/>
      <w:bookmarkEnd w:id="50"/>
      <w:bookmarkEnd w:id="51"/>
      <w:bookmarkEnd w:id="52"/>
      <w:bookmarkEnd w:id="53"/>
      <w:bookmarkEnd w:id="54"/>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w:t>
      </w:r>
      <w:r>
        <w:rPr>
          <w:rFonts w:hint="eastAsia" w:ascii="仿宋" w:hAnsi="仿宋" w:eastAsia="仿宋" w:cs="仿宋"/>
          <w:color w:val="auto"/>
          <w:sz w:val="32"/>
          <w:szCs w:val="32"/>
          <w:highlight w:val="none"/>
          <w:lang w:val="en-US" w:eastAsia="zh-CN"/>
        </w:rPr>
        <w:t>或PC</w:t>
      </w:r>
      <w:r>
        <w:rPr>
          <w:rFonts w:hint="eastAsia" w:ascii="仿宋" w:hAnsi="仿宋" w:eastAsia="仿宋" w:cs="仿宋"/>
          <w:color w:val="auto"/>
          <w:sz w:val="32"/>
          <w:szCs w:val="32"/>
          <w:highlight w:val="none"/>
        </w:rPr>
        <w:t>材料部分保证5年不发黄（如有）。</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55" w:name="_Toc21272"/>
      <w:r>
        <w:rPr>
          <w:rFonts w:hint="eastAsia" w:ascii="仿宋" w:hAnsi="仿宋" w:eastAsia="仿宋" w:cs="仿宋"/>
          <w:b/>
          <w:bCs/>
          <w:color w:val="auto"/>
          <w:sz w:val="32"/>
          <w:szCs w:val="32"/>
          <w:highlight w:val="none"/>
        </w:rPr>
        <w:t>10．庭院灯灯</w:t>
      </w:r>
      <w:r>
        <w:rPr>
          <w:rFonts w:hint="eastAsia" w:ascii="仿宋" w:hAnsi="仿宋" w:eastAsia="仿宋" w:cs="仿宋"/>
          <w:b/>
          <w:bCs/>
          <w:color w:val="auto"/>
          <w:sz w:val="32"/>
          <w:szCs w:val="32"/>
          <w:highlight w:val="none"/>
          <w:lang w:val="en-US" w:eastAsia="zh-CN"/>
        </w:rPr>
        <w:t>具</w:t>
      </w:r>
      <w:r>
        <w:rPr>
          <w:rFonts w:hint="eastAsia" w:ascii="仿宋" w:hAnsi="仿宋" w:eastAsia="仿宋" w:cs="仿宋"/>
          <w:b/>
          <w:bCs/>
          <w:color w:val="auto"/>
          <w:sz w:val="32"/>
          <w:szCs w:val="32"/>
          <w:highlight w:val="none"/>
        </w:rPr>
        <w:t>详细技术参数要求</w:t>
      </w:r>
      <w:bookmarkEnd w:id="55"/>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庭院灯灯</w:t>
      </w:r>
      <w:r>
        <w:rPr>
          <w:rFonts w:hint="eastAsia" w:ascii="仿宋" w:hAnsi="仿宋" w:eastAsia="仿宋" w:cs="仿宋"/>
          <w:color w:val="auto"/>
          <w:sz w:val="32"/>
          <w:szCs w:val="32"/>
          <w:highlight w:val="none"/>
          <w:lang w:val="en-US" w:eastAsia="zh-CN"/>
        </w:rPr>
        <w:t>具</w:t>
      </w:r>
      <w:r>
        <w:rPr>
          <w:rFonts w:hint="eastAsia" w:ascii="仿宋" w:hAnsi="仿宋" w:eastAsia="仿宋" w:cs="仿宋"/>
          <w:color w:val="auto"/>
          <w:sz w:val="32"/>
          <w:szCs w:val="32"/>
          <w:highlight w:val="none"/>
        </w:rPr>
        <w:t>技术参数表</w:t>
      </w:r>
    </w:p>
    <w:tbl>
      <w:tblPr>
        <w:tblStyle w:val="6"/>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8"/>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普通型</w:t>
            </w:r>
            <w:r>
              <w:rPr>
                <w:rFonts w:hint="eastAsia" w:ascii="仿宋" w:hAnsi="仿宋" w:eastAsia="仿宋" w:cs="仿宋"/>
                <w:color w:val="auto"/>
                <w:sz w:val="32"/>
                <w:szCs w:val="32"/>
                <w:highlight w:val="none"/>
              </w:rPr>
              <w:t>LED庭院灯</w:t>
            </w:r>
            <w:r>
              <w:rPr>
                <w:rFonts w:hint="eastAsia" w:ascii="仿宋" w:hAnsi="仿宋" w:eastAsia="仿宋" w:cs="仿宋"/>
                <w:color w:val="auto"/>
                <w:sz w:val="32"/>
                <w:szCs w:val="32"/>
                <w:highlight w:val="none"/>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透光罩：抗紫外线聚碳酸酯(PC)透光罩（</w:t>
            </w:r>
            <w:r>
              <w:rPr>
                <w:rFonts w:hint="eastAsia" w:ascii="仿宋" w:hAnsi="仿宋" w:eastAsia="仿宋" w:cs="仿宋"/>
                <w:color w:val="auto"/>
                <w:sz w:val="32"/>
                <w:szCs w:val="32"/>
                <w:highlight w:val="none"/>
                <w:lang w:val="en-US" w:eastAsia="zh-CN"/>
              </w:rPr>
              <w:t>乳白</w:t>
            </w:r>
            <w:r>
              <w:rPr>
                <w:rFonts w:hint="eastAsia" w:ascii="仿宋" w:hAnsi="仿宋" w:eastAsia="仿宋" w:cs="仿宋"/>
                <w:color w:val="auto"/>
                <w:sz w:val="32"/>
                <w:szCs w:val="32"/>
                <w:highlight w:val="none"/>
              </w:rPr>
              <w:t>透光罩）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光源：LED</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整灯系统总功率：≤</w:t>
            </w:r>
            <w:r>
              <w:rPr>
                <w:rFonts w:hint="eastAsia" w:ascii="仿宋" w:hAnsi="仿宋" w:eastAsia="仿宋" w:cs="仿宋"/>
                <w:color w:val="auto"/>
                <w:sz w:val="32"/>
                <w:szCs w:val="32"/>
                <w:highlight w:val="none"/>
                <w:lang w:val="en-US" w:eastAsia="zh-CN"/>
              </w:rPr>
              <w:t>40</w:t>
            </w:r>
            <w:r>
              <w:rPr>
                <w:rFonts w:hint="eastAsia" w:ascii="仿宋" w:hAnsi="仿宋" w:eastAsia="仿宋" w:cs="仿宋"/>
                <w:color w:val="auto"/>
                <w:sz w:val="32"/>
                <w:szCs w:val="32"/>
                <w:highlight w:val="none"/>
              </w:rPr>
              <w:t xml:space="preserv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整灯光效:≥</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显色指数:(CRI)≥70</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灯具色容差:≤</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SDCM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单灯功率因数:≥0.90</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整灯防护等级：≥IP65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80"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色温： 3000K±</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00K</w:t>
            </w:r>
          </w:p>
        </w:tc>
        <w:tc>
          <w:tcPr>
            <w:tcW w:w="2519" w:type="pc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输入电压：176-264V/50-60Hz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灯具外</w:t>
            </w:r>
            <w:r>
              <w:rPr>
                <w:rFonts w:hint="eastAsia" w:ascii="仿宋" w:hAnsi="仿宋" w:eastAsia="仿宋" w:cs="仿宋"/>
                <w:color w:val="auto"/>
                <w:sz w:val="32"/>
                <w:szCs w:val="32"/>
                <w:highlight w:val="none"/>
                <w:lang w:val="en-US" w:eastAsia="zh-CN"/>
              </w:rPr>
              <w:t>型如下图一致，</w:t>
            </w:r>
            <w:r>
              <w:rPr>
                <w:rFonts w:hint="eastAsia" w:ascii="仿宋" w:hAnsi="仿宋" w:eastAsia="仿宋" w:cs="仿宋"/>
                <w:color w:val="auto"/>
                <w:sz w:val="32"/>
                <w:szCs w:val="32"/>
                <w:highlight w:val="none"/>
              </w:rPr>
              <w:t>尺寸如图（误差不超过10%）</w:t>
            </w:r>
            <w:r>
              <w:rPr>
                <w:rFonts w:hint="eastAsia" w:ascii="仿宋" w:hAnsi="仿宋" w:eastAsia="仿宋" w:cs="仿宋"/>
                <w:color w:val="auto"/>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8" w:hRule="atLeast"/>
        </w:trPr>
        <w:tc>
          <w:tcPr>
            <w:tcW w:w="5000" w:type="pct"/>
            <w:gridSpan w:val="2"/>
            <w:noWrap w:val="0"/>
            <w:vAlign w:val="center"/>
          </w:tcPr>
          <w:p>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r>
              <w:rPr>
                <w:rFonts w:hint="eastAsia"/>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288290</wp:posOffset>
                  </wp:positionH>
                  <wp:positionV relativeFrom="paragraph">
                    <wp:posOffset>45085</wp:posOffset>
                  </wp:positionV>
                  <wp:extent cx="2387600" cy="2105660"/>
                  <wp:effectExtent l="0" t="0" r="12700" b="8890"/>
                  <wp:wrapNone/>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noChangeArrowheads="1"/>
                          </pic:cNvPicPr>
                        </pic:nvPicPr>
                        <pic:blipFill>
                          <a:blip r:embed="rId12"/>
                          <a:srcRect l="5637"/>
                          <a:stretch>
                            <a:fillRect/>
                          </a:stretch>
                        </pic:blipFill>
                        <pic:spPr>
                          <a:xfrm>
                            <a:off x="0" y="0"/>
                            <a:ext cx="2387600" cy="2105660"/>
                          </a:xfrm>
                          <a:prstGeom prst="rect">
                            <a:avLst/>
                          </a:prstGeom>
                          <a:noFill/>
                          <a:ln w="9525" cmpd="sng">
                            <a:noFill/>
                            <a:miter lim="800000"/>
                            <a:headEnd/>
                            <a:tailEnd/>
                          </a:ln>
                          <a:effectLst/>
                        </pic:spPr>
                      </pic:pic>
                    </a:graphicData>
                  </a:graphic>
                </wp:anchor>
              </w:drawing>
            </w:r>
          </w:p>
          <w:p>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r>
              <w:rPr>
                <w:rFonts w:ascii="仿宋" w:hAnsi="仿宋" w:eastAsia="仿宋" w:cs="宋体"/>
                <w:color w:val="000000" w:themeColor="text1"/>
                <w:sz w:val="24"/>
                <w14:textFill>
                  <w14:solidFill>
                    <w14:schemeClr w14:val="tx1"/>
                  </w14:solidFill>
                </w14:textFill>
              </w:rPr>
              <w:drawing>
                <wp:anchor distT="0" distB="0" distL="114300" distR="114300" simplePos="0" relativeHeight="251667456" behindDoc="0" locked="0" layoutInCell="1" allowOverlap="1">
                  <wp:simplePos x="0" y="0"/>
                  <wp:positionH relativeFrom="column">
                    <wp:posOffset>3183890</wp:posOffset>
                  </wp:positionH>
                  <wp:positionV relativeFrom="paragraph">
                    <wp:posOffset>53975</wp:posOffset>
                  </wp:positionV>
                  <wp:extent cx="1404620" cy="1638300"/>
                  <wp:effectExtent l="0" t="0" r="5080" b="0"/>
                  <wp:wrapNone/>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noChangeArrowheads="1"/>
                          </pic:cNvPicPr>
                        </pic:nvPicPr>
                        <pic:blipFill>
                          <a:blip r:embed="rId13"/>
                          <a:srcRect/>
                          <a:stretch>
                            <a:fillRect/>
                          </a:stretch>
                        </pic:blipFill>
                        <pic:spPr>
                          <a:xfrm>
                            <a:off x="0" y="0"/>
                            <a:ext cx="1404620" cy="1638300"/>
                          </a:xfrm>
                          <a:prstGeom prst="rect">
                            <a:avLst/>
                          </a:prstGeom>
                          <a:noFill/>
                          <a:ln w="9525" cmpd="sng">
                            <a:noFill/>
                            <a:miter lim="800000"/>
                            <a:headEnd/>
                            <a:tailEnd/>
                          </a:ln>
                        </pic:spPr>
                      </pic:pic>
                    </a:graphicData>
                  </a:graphic>
                </wp:anchor>
              </w:drawing>
            </w:r>
          </w:p>
          <w:p>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p>
          <w:p>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说明：</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如尺寸图示，高压压铸铝YL113模具成型灯体，表面抛丸处理后喷涂室外专用塑粉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为保证灯具与灯杆的过度连续性和美观，灯具与灯杆连接处的压铸铝件接口外径尺寸必须满足，误差不能超过5mm。</w:t>
            </w:r>
          </w:p>
          <w:p>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灯具连接件材质为YL113（材质）高压压铸铝</w:t>
            </w:r>
            <w:r>
              <w:rPr>
                <w:rFonts w:hint="eastAsia" w:ascii="仿宋" w:hAnsi="仿宋" w:eastAsia="仿宋" w:cs="仿宋"/>
                <w:color w:val="auto"/>
                <w:sz w:val="32"/>
                <w:szCs w:val="32"/>
                <w:highlight w:val="none"/>
                <w:lang w:val="en-US" w:eastAsia="zh-CN"/>
              </w:rPr>
              <w:t>（内径为Φ76mm）</w:t>
            </w:r>
            <w:r>
              <w:rPr>
                <w:rFonts w:hint="eastAsia" w:ascii="仿宋" w:hAnsi="仿宋" w:eastAsia="仿宋" w:cs="仿宋"/>
                <w:color w:val="auto"/>
                <w:sz w:val="32"/>
                <w:szCs w:val="32"/>
                <w:highlight w:val="none"/>
              </w:rPr>
              <w:t>，壁厚不得小于3mm</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连接件壁厚需结合灯具重量考虑，支钉螺丝紧固时连接件不得开裂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pPr>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3.灯具为上开盖形式(上盖打开有限位装置，灯具维护时无需手扶上盖)。</w:t>
            </w:r>
            <w:r>
              <w:rPr>
                <w:rFonts w:hint="eastAsia" w:ascii="仿宋" w:hAnsi="仿宋" w:eastAsia="仿宋" w:cs="仿宋"/>
                <w:b w:val="0"/>
                <w:bCs w:val="0"/>
                <w:color w:val="000000"/>
                <w:sz w:val="32"/>
                <w:szCs w:val="32"/>
                <w:lang w:val="en-US" w:eastAsia="zh-CN"/>
              </w:rPr>
              <w:t>灯具</w:t>
            </w:r>
            <w:r>
              <w:rPr>
                <w:rFonts w:hint="eastAsia" w:ascii="仿宋" w:hAnsi="仿宋" w:eastAsia="仿宋" w:cs="仿宋"/>
                <w:b w:val="0"/>
                <w:bCs w:val="0"/>
                <w:color w:val="000000"/>
                <w:sz w:val="32"/>
                <w:szCs w:val="32"/>
              </w:rPr>
              <w:t>采用硅橡胶密封圈实现，不能使用胶水密封。</w:t>
            </w:r>
            <w:r>
              <w:rPr>
                <w:rFonts w:hint="eastAsia" w:ascii="仿宋" w:hAnsi="仿宋" w:eastAsia="仿宋" w:cs="仿宋"/>
                <w:color w:val="auto"/>
                <w:sz w:val="32"/>
                <w:szCs w:val="32"/>
                <w:highlight w:val="none"/>
                <w:lang w:val="en-US" w:eastAsia="zh-CN"/>
              </w:rPr>
              <w:t>灯具防护等级≥IP65，同时不得有蚊虫进入灯具的情况。</w:t>
            </w:r>
          </w:p>
          <w:p>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4.灯具内需敷设RVV3×2.5+2×1电线至灯杆检修门，其中3×2.5为电源线（芯线颜色为红、蓝及黄绿双色），2×1为控制线（芯线颜色为分别为红色(正极)及蓝色(负极)）。</w:t>
            </w:r>
          </w:p>
          <w:p>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5.驱动电源放置在灯具上部上开盖内(驱动电源应有独立的散热装置)，位置设置合理，拆装方便。灯具内线路排布美观且科学合理方便维修。电线接头须采用电线快速插拔接头。</w:t>
            </w:r>
          </w:p>
          <w:p>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为了不影响检测，灯具检测时（中标前检测，中标后抽检及投标时提供的检测报告）按乳白的透光罩检测相关数据，而实际供货时按采购人要求提供透明透光罩、乳白透光罩两种灯具（数量未定），两种不同透光罩灯具不分开报价。</w:t>
            </w:r>
          </w:p>
        </w:tc>
      </w:tr>
    </w:tbl>
    <w:p>
      <w:pPr>
        <w:spacing w:line="360" w:lineRule="auto"/>
        <w:ind w:firstLine="643" w:firstLineChars="200"/>
        <w:rPr>
          <w:rFonts w:hint="eastAsia" w:ascii="仿宋" w:hAnsi="仿宋" w:eastAsia="仿宋" w:cs="仿宋"/>
          <w:b/>
          <w:bCs/>
          <w:sz w:val="32"/>
          <w:szCs w:val="32"/>
          <w:lang w:val="en-US" w:eastAsia="zh-CN"/>
        </w:rPr>
      </w:pP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模拟安装条件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kern w:val="0"/>
                <w:sz w:val="32"/>
                <w:szCs w:val="32"/>
              </w:rPr>
            </w:pPr>
          </w:p>
          <w:p>
            <w:pPr>
              <w:widowControl/>
              <w:jc w:val="center"/>
              <w:rPr>
                <w:rFonts w:hint="eastAsia" w:ascii="仿宋" w:hAnsi="仿宋" w:eastAsia="仿宋" w:cs="仿宋"/>
                <w:kern w:val="0"/>
                <w:sz w:val="32"/>
                <w:szCs w:val="32"/>
              </w:rPr>
            </w:pPr>
          </w:p>
          <w:p>
            <w:pPr>
              <w:rPr>
                <w:rFonts w:hint="eastAsia" w:ascii="仿宋" w:hAnsi="仿宋" w:eastAsia="仿宋" w:cs="仿宋"/>
                <w:sz w:val="32"/>
                <w:szCs w:val="32"/>
              </w:rPr>
            </w:pPr>
            <w:r>
              <w:rPr>
                <w:rFonts w:hint="eastAsia" w:ascii="仿宋" w:hAnsi="仿宋" w:eastAsia="仿宋" w:cs="仿宋"/>
                <w:kern w:val="0"/>
                <w:sz w:val="32"/>
                <w:szCs w:val="32"/>
              </w:rPr>
              <w:t>灯具系统安装条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件</w:t>
            </w:r>
          </w:p>
          <w:p>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0</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在上述道路模拟安装条件下照明需满足以下要求：</w:t>
      </w:r>
    </w:p>
    <w:p>
      <w:pPr>
        <w:spacing w:line="36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（1）路面平均照度Eav（Lx）维持值不低于</w:t>
      </w:r>
      <w:r>
        <w:rPr>
          <w:rFonts w:hint="eastAsia" w:ascii="仿宋" w:hAnsi="仿宋" w:eastAsia="仿宋" w:cs="仿宋"/>
          <w:sz w:val="32"/>
          <w:szCs w:val="32"/>
          <w:lang w:val="en-US" w:eastAsia="zh-CN"/>
        </w:rPr>
        <w:t>5</w:t>
      </w:r>
      <w:r>
        <w:rPr>
          <w:rFonts w:hint="eastAsia" w:ascii="仿宋" w:hAnsi="仿宋" w:eastAsia="仿宋" w:cs="仿宋"/>
          <w:sz w:val="32"/>
          <w:szCs w:val="32"/>
        </w:rPr>
        <w:t>Lx</w:t>
      </w:r>
      <w:r>
        <w:rPr>
          <w:rFonts w:hint="eastAsia" w:ascii="仿宋" w:hAnsi="仿宋" w:eastAsia="仿宋" w:cs="仿宋"/>
          <w:sz w:val="32"/>
          <w:szCs w:val="32"/>
          <w:lang w:eastAsia="zh-CN"/>
        </w:rPr>
        <w:t>。</w:t>
      </w:r>
    </w:p>
    <w:p>
      <w:pPr>
        <w:spacing w:line="36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（2）路面最小照度Emin（Lx）维持值不低于</w:t>
      </w:r>
      <w:r>
        <w:rPr>
          <w:rFonts w:hint="eastAsia" w:ascii="仿宋" w:hAnsi="仿宋" w:eastAsia="仿宋" w:cs="仿宋"/>
          <w:sz w:val="32"/>
          <w:szCs w:val="32"/>
          <w:lang w:val="en-US" w:eastAsia="zh-CN"/>
        </w:rPr>
        <w:t>1</w:t>
      </w:r>
      <w:r>
        <w:rPr>
          <w:rFonts w:hint="eastAsia" w:ascii="仿宋" w:hAnsi="仿宋" w:eastAsia="仿宋" w:cs="仿宋"/>
          <w:sz w:val="32"/>
          <w:szCs w:val="32"/>
        </w:rPr>
        <w:t>Lx</w:t>
      </w:r>
      <w:r>
        <w:rPr>
          <w:rFonts w:hint="eastAsia" w:ascii="仿宋" w:hAnsi="仿宋" w:eastAsia="仿宋" w:cs="仿宋"/>
          <w:sz w:val="32"/>
          <w:szCs w:val="32"/>
          <w:lang w:eastAsia="zh-CN"/>
        </w:rPr>
        <w:t>。</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rPr>
        <w:t>照明眩光限值(如下表）</w:t>
      </w:r>
    </w:p>
    <w:tbl>
      <w:tblPr>
        <w:tblStyle w:val="6"/>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noWrap w:val="0"/>
            <w:vAlign w:val="center"/>
          </w:tcPr>
          <w:p>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noWrap w:val="0"/>
            <w:vAlign w:val="center"/>
          </w:tcPr>
          <w:p>
            <w:pPr>
              <w:spacing w:line="360" w:lineRule="auto"/>
              <w:ind w:firstLine="640" w:firstLineChars="200"/>
              <w:jc w:val="center"/>
              <w:rPr>
                <w:rFonts w:hint="eastAsia" w:ascii="仿宋" w:hAnsi="仿宋" w:eastAsia="仿宋" w:cs="仿宋"/>
                <w:sz w:val="32"/>
                <w:szCs w:val="32"/>
              </w:rPr>
            </w:pPr>
          </w:p>
        </w:tc>
        <w:tc>
          <w:tcPr>
            <w:tcW w:w="1503" w:type="dxa"/>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≥70°</w:t>
            </w:r>
          </w:p>
        </w:tc>
        <w:tc>
          <w:tcPr>
            <w:tcW w:w="2075" w:type="dxa"/>
            <w:noWrap w:val="0"/>
            <w:vAlign w:val="center"/>
          </w:tcPr>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≥80°</w:t>
            </w:r>
          </w:p>
        </w:tc>
        <w:tc>
          <w:tcPr>
            <w:tcW w:w="2100" w:type="dxa"/>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noWrap w:val="0"/>
            <w:vAlign w:val="center"/>
          </w:tcPr>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&gt;95°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2</w:t>
            </w:r>
          </w:p>
        </w:tc>
        <w:tc>
          <w:tcPr>
            <w:tcW w:w="1503" w:type="dxa"/>
            <w:noWrap w:val="0"/>
            <w:vAlign w:val="center"/>
          </w:tcPr>
          <w:p>
            <w:pPr>
              <w:spacing w:line="360" w:lineRule="auto"/>
              <w:ind w:firstLine="320" w:firstLineChars="100"/>
              <w:jc w:val="both"/>
              <w:rPr>
                <w:rFonts w:hint="eastAsia" w:ascii="仿宋" w:hAnsi="仿宋" w:eastAsia="仿宋" w:cs="仿宋"/>
                <w:sz w:val="32"/>
                <w:szCs w:val="32"/>
              </w:rPr>
            </w:pPr>
            <w:r>
              <w:rPr>
                <w:rFonts w:hint="eastAsia" w:ascii="仿宋" w:hAnsi="仿宋" w:eastAsia="仿宋" w:cs="仿宋"/>
                <w:sz w:val="32"/>
                <w:szCs w:val="32"/>
              </w:rPr>
              <w:t>---</w:t>
            </w:r>
          </w:p>
        </w:tc>
        <w:tc>
          <w:tcPr>
            <w:tcW w:w="2075" w:type="dxa"/>
            <w:noWrap w:val="0"/>
            <w:vAlign w:val="center"/>
          </w:tcPr>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100</w:t>
            </w:r>
          </w:p>
        </w:tc>
        <w:tc>
          <w:tcPr>
            <w:tcW w:w="2100" w:type="dxa"/>
            <w:noWrap w:val="0"/>
            <w:vAlign w:val="center"/>
          </w:tcPr>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p>
        </w:tc>
        <w:tc>
          <w:tcPr>
            <w:tcW w:w="1954" w:type="dxa"/>
            <w:noWrap w:val="0"/>
            <w:vAlign w:val="center"/>
          </w:tcPr>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pPr>
        <w:widowControl w:val="0"/>
        <w:numPr>
          <w:ilvl w:val="0"/>
          <w:numId w:val="0"/>
        </w:numPr>
        <w:spacing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rPr>
        <w:t>材质和工艺：高压铸铝灯体</w:t>
      </w:r>
      <w:r>
        <w:rPr>
          <w:rFonts w:hint="eastAsia" w:ascii="仿宋" w:hAnsi="仿宋" w:eastAsia="仿宋" w:cs="仿宋"/>
          <w:sz w:val="32"/>
          <w:szCs w:val="32"/>
          <w:lang w:eastAsia="zh-CN"/>
        </w:rPr>
        <w:t>。</w:t>
      </w:r>
    </w:p>
    <w:p>
      <w:pPr>
        <w:widowControl w:val="0"/>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rPr>
        <w:t>灯具颜色：RAL7016,可根据业主要求调整。</w:t>
      </w:r>
    </w:p>
    <w:p>
      <w:pPr>
        <w:widowControl w:val="0"/>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w:t>
      </w:r>
      <w:r>
        <w:rPr>
          <w:rFonts w:hint="eastAsia" w:ascii="仿宋" w:hAnsi="仿宋" w:eastAsia="仿宋" w:cs="仿宋"/>
          <w:sz w:val="32"/>
          <w:szCs w:val="32"/>
        </w:rPr>
        <w:t>附件：含所有安装所需附件。</w:t>
      </w:r>
    </w:p>
    <w:p>
      <w:pPr>
        <w:widowControl w:val="0"/>
        <w:numPr>
          <w:ilvl w:val="0"/>
          <w:numId w:val="0"/>
        </w:numPr>
        <w:spacing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17.灯具安装方式</w:t>
      </w:r>
      <w:r>
        <w:rPr>
          <w:rFonts w:hint="eastAsia" w:ascii="仿宋" w:hAnsi="仿宋" w:eastAsia="仿宋" w:cs="仿宋"/>
          <w:sz w:val="32"/>
          <w:szCs w:val="32"/>
        </w:rPr>
        <w:t>灯杆顶装</w:t>
      </w:r>
      <w:r>
        <w:rPr>
          <w:rFonts w:hint="eastAsia" w:ascii="仿宋" w:hAnsi="仿宋" w:eastAsia="仿宋" w:cs="仿宋"/>
          <w:sz w:val="32"/>
          <w:szCs w:val="32"/>
          <w:lang w:eastAsia="zh-CN"/>
        </w:rPr>
        <w:t>。</w:t>
      </w:r>
    </w:p>
    <w:p>
      <w:pPr>
        <w:pageBreakBefore w:val="0"/>
        <w:kinsoku/>
        <w:wordWrap/>
        <w:overflowPunct/>
        <w:topLinePunct w:val="0"/>
        <w:autoSpaceDE/>
        <w:autoSpaceDN/>
        <w:bidi w:val="0"/>
        <w:snapToGrid w:val="0"/>
        <w:spacing w:line="570" w:lineRule="exact"/>
        <w:ind w:left="0" w:leftChars="0" w:firstLine="419" w:firstLineChars="131"/>
        <w:jc w:val="left"/>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（二）灯杆部分的具体要求</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1．材质要求</w:t>
      </w:r>
    </w:p>
    <w:p>
      <w:pPr>
        <w:pStyle w:val="8"/>
        <w:snapToGrid w:val="0"/>
        <w:spacing w:line="360" w:lineRule="auto"/>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灯杆尺寸按照所提供图纸制作。灯杆采用圆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201"/>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5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名称型号规格</w:t>
            </w:r>
          </w:p>
        </w:tc>
        <w:tc>
          <w:tcPr>
            <w:tcW w:w="1878"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镀锌喷塑前杆重量</w:t>
            </w:r>
          </w:p>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(公斤)</w:t>
            </w:r>
          </w:p>
        </w:tc>
        <w:tc>
          <w:tcPr>
            <w:tcW w:w="166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镀锌喷塑后重量</w:t>
            </w:r>
          </w:p>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庭院灯</w:t>
            </w:r>
          </w:p>
        </w:tc>
        <w:tc>
          <w:tcPr>
            <w:tcW w:w="1878"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49</w:t>
            </w:r>
          </w:p>
        </w:tc>
        <w:tc>
          <w:tcPr>
            <w:tcW w:w="1666" w:type="pct"/>
            <w:noWrap w:val="0"/>
            <w:vAlign w:val="center"/>
          </w:tcPr>
          <w:p>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3"/>
            <w:noWrap w:val="0"/>
            <w:vAlign w:val="center"/>
          </w:tcPr>
          <w:p>
            <w:pPr>
              <w:pageBreakBefore w:val="0"/>
              <w:kinsoku/>
              <w:wordWrap/>
              <w:overflowPunct/>
              <w:topLinePunct w:val="0"/>
              <w:autoSpaceDE/>
              <w:autoSpaceDN/>
              <w:bidi w:val="0"/>
              <w:snapToGrid w:val="0"/>
              <w:spacing w:line="570" w:lineRule="exact"/>
              <w:ind w:left="0" w:leftChars="0" w:firstLine="0" w:firstLineChars="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备注：镀锌喷塑后乘系数1.05；允许重量公差范围为±5%。</w:t>
            </w:r>
          </w:p>
        </w:tc>
      </w:tr>
    </w:tbl>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．加工工艺要求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整个杆体及部件焊接要求不应低于图示要求，应无任何一处漏焊，焊缝平整，表面</w:t>
      </w:r>
      <w:bookmarkStart w:id="61" w:name="_GoBack"/>
      <w:r>
        <w:rPr>
          <w:rFonts w:hint="eastAsia" w:ascii="仿宋" w:hAnsi="仿宋" w:eastAsia="仿宋" w:cs="仿宋"/>
          <w:color w:val="auto"/>
          <w:sz w:val="32"/>
          <w:szCs w:val="32"/>
          <w:highlight w:val="none"/>
        </w:rPr>
        <w:t>光滑，无任何焊接缺陷。焊接工艺符合国家标准。要求提供焊接探伤报告。热浸锌防腐处理厚度δ≥70μm。</w:t>
      </w:r>
      <w:bookmarkEnd w:id="61"/>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．喷塑要求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表面喷塑处理，不允许做磨砂喷塑，喷塑涂层外观表面光滑,平整,无露铁,桔皮,细小颗粒和缩孔等涂装缺陷。</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喷塑表面涂层平均厚度应达到85μm 以上。</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喷塑涂层的附着力应达到GB/T 9286 规定的0 级要求。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喷塑涂层的硬度应按GB/T 6739规定，并达到2H要求。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喷塑涂层的冲击强度不小于1kg/50cm，并符合GB/T 1732 的要求。</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bookmarkStart w:id="56" w:name="_Toc15113"/>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颜色要求</w:t>
      </w:r>
      <w:bookmarkEnd w:id="56"/>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RAL7016</w:t>
      </w:r>
      <w:r>
        <w:rPr>
          <w:rFonts w:hint="eastAsia" w:ascii="仿宋" w:hAnsi="仿宋" w:eastAsia="仿宋" w:cs="仿宋"/>
          <w:color w:val="auto"/>
          <w:sz w:val="32"/>
          <w:szCs w:val="32"/>
          <w:highlight w:val="none"/>
        </w:rPr>
        <w:t>。可根据采购单位要求更换其他颜色。</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配置要求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检修门内配置304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不锈钢螺丝（母）和304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不锈钢垫片，灯杆套接、固定处配置304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不锈钢材质螺丝（母），配置灯杆安装的镀锌螺母，具体尺寸和数量详见灯杆图纸要求。必须配置接地螺栓。灯杆和检修门在进行了镀锌工艺后，严禁再进行焊接工艺；检修门采用304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不锈钢中空三角防盗螺栓</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边长8mm</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固定。</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运输包装标准</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灯杆防涂鸦抗粘贴水性涂料的一般要求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标厂家在所有灯杆部位（整杆整体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防广告粘贴、持久的弹性、憎水憎油、呼吸透气、不易燃烧、适用于无机基材料表面。涂料特性为油性且环保特征，且不易沾灰。涂鸦防粘贴涂具体技术要求详见下文（第五部分灯杆防涂鸦抗粘贴水性涂料技术要求）。</w:t>
      </w:r>
    </w:p>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灯杆加工尺寸示意图</w:t>
      </w:r>
    </w:p>
    <w:p>
      <w:pPr>
        <w:pageBreakBefore w:val="0"/>
        <w:kinsoku/>
        <w:wordWrap/>
        <w:overflowPunct/>
        <w:topLinePunct w:val="0"/>
        <w:autoSpaceDE/>
        <w:autoSpaceDN/>
        <w:bidi w:val="0"/>
        <w:snapToGrid w:val="0"/>
        <w:spacing w:line="240" w:lineRule="auto"/>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560" w:firstLineChars="200"/>
        <w:jc w:val="left"/>
        <w:textAlignment w:val="auto"/>
        <w:rPr>
          <w:rFonts w:hint="eastAsia" w:ascii="仿宋" w:hAnsi="仿宋" w:eastAsia="仿宋" w:cs="仿宋"/>
          <w:color w:val="auto"/>
          <w:sz w:val="32"/>
          <w:szCs w:val="32"/>
          <w:highlight w:val="none"/>
        </w:rPr>
      </w:pPr>
      <w:r>
        <w:rPr>
          <w:rFonts w:ascii="仿宋" w:hAnsi="仿宋" w:eastAsia="仿宋"/>
          <w:sz w:val="28"/>
          <w:szCs w:val="28"/>
        </w:rPr>
        <w:drawing>
          <wp:anchor distT="0" distB="0" distL="114300" distR="114300" simplePos="0" relativeHeight="251664384" behindDoc="0" locked="0" layoutInCell="1" allowOverlap="1">
            <wp:simplePos x="0" y="0"/>
            <wp:positionH relativeFrom="column">
              <wp:posOffset>53340</wp:posOffset>
            </wp:positionH>
            <wp:positionV relativeFrom="paragraph">
              <wp:posOffset>475615</wp:posOffset>
            </wp:positionV>
            <wp:extent cx="5447665" cy="6811645"/>
            <wp:effectExtent l="0" t="0" r="635" b="8255"/>
            <wp:wrapSquare wrapText="bothSides"/>
            <wp:docPr id="2" name="图片 4"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庭院灯CAD图-1-Model"/>
                    <pic:cNvPicPr>
                      <a:picLocks noChangeAspect="1"/>
                    </pic:cNvPicPr>
                  </pic:nvPicPr>
                  <pic:blipFill>
                    <a:blip r:embed="rId14"/>
                    <a:stretch>
                      <a:fillRect/>
                    </a:stretch>
                  </pic:blipFill>
                  <pic:spPr>
                    <a:xfrm>
                      <a:off x="0" y="0"/>
                      <a:ext cx="5447665" cy="6811645"/>
                    </a:xfrm>
                    <a:prstGeom prst="rect">
                      <a:avLst/>
                    </a:prstGeom>
                    <a:noFill/>
                    <a:ln>
                      <a:noFill/>
                    </a:ln>
                  </pic:spPr>
                </pic:pic>
              </a:graphicData>
            </a:graphic>
          </wp:anchor>
        </w:drawing>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庭院灯检修门、防盗盖板制作图</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anchor distT="0" distB="0" distL="114300" distR="114300" simplePos="0" relativeHeight="251660288" behindDoc="1" locked="0" layoutInCell="1" allowOverlap="1">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5"/>
                    <a:srcRect t="11378" b="7032"/>
                    <a:stretch>
                      <a:fillRect/>
                    </a:stretch>
                  </pic:blipFill>
                  <pic:spPr>
                    <a:xfrm>
                      <a:off x="0" y="0"/>
                      <a:ext cx="5627370" cy="3683635"/>
                    </a:xfrm>
                    <a:prstGeom prst="rect">
                      <a:avLst/>
                    </a:prstGeom>
                    <a:noFill/>
                    <a:ln>
                      <a:noFill/>
                    </a:ln>
                  </pic:spPr>
                </pic:pic>
              </a:graphicData>
            </a:graphic>
          </wp:anchor>
        </w:drawing>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门板及铰链制作方式参照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城市照明图集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苏Z02-2014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防盗盖板根据招标单位要求进行配置。</w:t>
      </w:r>
    </w:p>
    <w:p>
      <w:pPr>
        <w:pStyle w:val="3"/>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lang w:eastAsia="zh-CN"/>
        </w:rPr>
      </w:pPr>
      <w:bookmarkStart w:id="57" w:name="_Toc11301"/>
      <w:bookmarkStart w:id="58" w:name="_Toc92188483"/>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eastAsia="zh-CN"/>
        </w:rPr>
        <w:t>、灯杆防涂鸦抗粘贴水性涂料技术要求</w:t>
      </w:r>
      <w:bookmarkEnd w:id="57"/>
      <w:bookmarkEnd w:id="58"/>
    </w:p>
    <w:p>
      <w:pPr>
        <w:pStyle w:val="8"/>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一）</w:t>
      </w:r>
      <w:r>
        <w:rPr>
          <w:rFonts w:hint="eastAsia" w:ascii="楷体" w:hAnsi="楷体" w:eastAsia="楷体" w:cs="楷体"/>
          <w:b w:val="0"/>
          <w:bCs w:val="0"/>
          <w:color w:val="auto"/>
          <w:sz w:val="32"/>
          <w:szCs w:val="32"/>
          <w:highlight w:val="none"/>
        </w:rPr>
        <w:t>执行技术标准</w:t>
      </w:r>
    </w:p>
    <w:p>
      <w:pPr>
        <w:pStyle w:val="8"/>
        <w:pageBreakBefore w:val="0"/>
        <w:kinsoku/>
        <w:wordWrap/>
        <w:overflowPunct/>
        <w:topLinePunct w:val="0"/>
        <w:autoSpaceDE/>
        <w:autoSpaceDN/>
        <w:bidi w:val="0"/>
        <w:snapToGrid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GB/T1728漆膜、腻子膜干燥时间测定法。</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GB/T1766色漆和清漆  涂层老化的评级方法。</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GB/T1865色漆和清漆 人工气候老化利人工辐射暴露(滤过的氙弧辐射)。</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GB/T2792压敏胶带180°剥离强度试验方法。</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 xml:space="preserve">GB/T3186色漆、清漆和色漆与清漆用原材料 取样(IS015528：2000，IDT)。 </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 xml:space="preserve">GB/T6682 分析实验室用水规格和实验方法(IS03696：1987.MOD)。 </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GB/T6739涂膜硬度铅笔测定法。</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GB/T9271色漆和清漆  标准试板。</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GB/T9278 涂料试样状态调节和试验的温湿度(IS03270：1984.IDT)。</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GB/T9286色漆和清漆  漆膜的划格试验。</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GB/T9750涂料产品包装标志。</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GB/T13491涂料产品包装通则。</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HG/T 2458 涂料产品检验、运输和贮存通则。</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 24408 建筑用外墙涂料中有害物质限量。</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JG/T 304 建筑用防涂鸦抗粘贴涂料。</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BB/T0047气雾漆。</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JC/T412.1纤维水泥平板  第1部分：无石棉纤维水泥平板。</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QB/T2777</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记号笔。</w:t>
      </w:r>
    </w:p>
    <w:p>
      <w:pPr>
        <w:pStyle w:val="9"/>
        <w:pageBreakBefore w:val="0"/>
        <w:kinsoku/>
        <w:wordWrap/>
        <w:overflowPunct/>
        <w:topLinePunct w:val="0"/>
        <w:autoSpaceDE/>
        <w:autoSpaceDN/>
        <w:bidi w:val="0"/>
        <w:spacing w:line="570" w:lineRule="exact"/>
        <w:ind w:firstLine="56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QB/T2860墨汁。</w:t>
      </w:r>
    </w:p>
    <w:p>
      <w:pPr>
        <w:pStyle w:val="9"/>
        <w:pageBreakBefore w:val="0"/>
        <w:kinsoku/>
        <w:wordWrap/>
        <w:overflowPunct/>
        <w:topLinePunct w:val="0"/>
        <w:autoSpaceDE/>
        <w:autoSpaceDN/>
        <w:bidi w:val="0"/>
        <w:spacing w:line="570" w:lineRule="exact"/>
        <w:ind w:firstLine="560"/>
        <w:jc w:val="left"/>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 xml:space="preserve">（二）性能要求  </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rPr>
        <w:t>．</w:t>
      </w:r>
      <w:r>
        <w:rPr>
          <w:rFonts w:hint="eastAsia" w:ascii="仿宋" w:hAnsi="仿宋" w:eastAsia="仿宋" w:cs="仿宋"/>
          <w:color w:val="auto"/>
          <w:kern w:val="2"/>
          <w:sz w:val="32"/>
          <w:szCs w:val="32"/>
          <w:highlight w:val="none"/>
          <w:lang w:val="en-US" w:eastAsia="zh-CN" w:bidi="ar-SA"/>
        </w:rPr>
        <w:t>防涂鸦抗粘贴涂料需具有如下特性：</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（1）具有良好的抗黏贴性、防涂鸦性、户外耐久性、耐寒性、</w:t>
      </w:r>
      <w:r>
        <w:rPr>
          <w:rFonts w:hint="eastAsia" w:ascii="仿宋" w:hAnsi="仿宋" w:eastAsia="仿宋" w:cs="仿宋"/>
          <w:color w:val="auto"/>
          <w:sz w:val="32"/>
          <w:szCs w:val="32"/>
          <w:highlight w:val="none"/>
        </w:rPr>
        <w:t xml:space="preserve">耐粘贴性、耐擦洗性、耐溶剂性、防水防漏电，可调配各种颜色等特点；涂料特性为油性且环保特征。 </w:t>
      </w:r>
    </w:p>
    <w:p>
      <w:pPr>
        <w:pageBreakBefore w:val="0"/>
        <w:kinsoku/>
        <w:wordWrap/>
        <w:overflowPunct/>
        <w:topLinePunct w:val="0"/>
        <w:autoSpaceDE/>
        <w:autoSpaceDN/>
        <w:bidi w:val="0"/>
        <w:snapToGrid w:val="0"/>
        <w:spacing w:line="570" w:lineRule="exact"/>
        <w:ind w:left="0" w:leftChars="0" w:firstLine="640" w:firstLineChars="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2）苯、甲醛、重金属等有害物质的含量应符合GB24408《建筑用外墙涂料中有害物质限量》中规定的要求，具有户外用环</w:t>
      </w:r>
      <w:r>
        <w:rPr>
          <w:rFonts w:hint="eastAsia" w:ascii="仿宋" w:hAnsi="仿宋" w:eastAsia="仿宋" w:cs="仿宋"/>
          <w:color w:val="auto"/>
          <w:kern w:val="2"/>
          <w:sz w:val="32"/>
          <w:szCs w:val="32"/>
          <w:highlight w:val="none"/>
          <w:lang w:val="en-US" w:eastAsia="zh-CN" w:bidi="ar-SA"/>
        </w:rPr>
        <w:t>保型、美化城市环境等特点。</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rPr>
        <w:t>．</w:t>
      </w:r>
      <w:r>
        <w:rPr>
          <w:rFonts w:hint="eastAsia" w:ascii="仿宋" w:hAnsi="仿宋" w:eastAsia="仿宋" w:cs="仿宋"/>
          <w:color w:val="auto"/>
          <w:kern w:val="2"/>
          <w:sz w:val="32"/>
          <w:szCs w:val="32"/>
          <w:highlight w:val="none"/>
          <w:lang w:val="en-US" w:eastAsia="zh-CN" w:bidi="ar-SA"/>
        </w:rPr>
        <w:t>防涂鸦抗粘贴涂料应具有如下使用效果：</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（1）质感面、凹凸面、不干胶、防水类等粘贴物不粘。 </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（2）浆糊类粘贴物干透风吹雨淋自行脱落或可轻易揭去。</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（3）涂鸦印章和笔等不易涂写，手喷漆不渗透，油性笔，喷漆自动聚合成小液滴，不成字形或不形成图案用清水即可清理干净。</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rPr>
        <w:t>．</w:t>
      </w:r>
      <w:r>
        <w:rPr>
          <w:rFonts w:hint="eastAsia" w:ascii="仿宋" w:hAnsi="仿宋" w:eastAsia="仿宋" w:cs="仿宋"/>
          <w:color w:val="auto"/>
          <w:kern w:val="2"/>
          <w:sz w:val="32"/>
          <w:szCs w:val="32"/>
          <w:highlight w:val="none"/>
          <w:lang w:val="en-US" w:eastAsia="zh-CN" w:bidi="ar-SA"/>
        </w:rPr>
        <w:t>防涂鸦抗粘贴涂料的具体性能要求，应符合《JG/T 304 建筑用防涂鸦抗粘贴涂料》中的要求，具体见表一。防涂鸦抗粘贴涂料的有害物质含量应符合《GB 24408 建筑用外墙涂料中有害物质限量》中表1的要求。</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rPr>
        <w:t>．</w:t>
      </w:r>
      <w:r>
        <w:rPr>
          <w:rFonts w:hint="eastAsia" w:ascii="仿宋" w:hAnsi="仿宋" w:eastAsia="仿宋" w:cs="仿宋"/>
          <w:color w:val="auto"/>
          <w:kern w:val="2"/>
          <w:sz w:val="32"/>
          <w:szCs w:val="32"/>
          <w:highlight w:val="none"/>
          <w:lang w:val="en-US" w:eastAsia="zh-CN" w:bidi="ar-SA"/>
        </w:rPr>
        <w:t>防涂鸦抗粘贴涂料要求质保至少2年。 防涂鸦抗粘贴涂料的颜色应与路灯灯杆原颜色匹配，具体颜色待中标后以招标人通知为准。</w:t>
      </w:r>
    </w:p>
    <w:p>
      <w:pPr>
        <w:pageBreakBefore w:val="0"/>
        <w:kinsoku/>
        <w:wordWrap/>
        <w:overflowPunct/>
        <w:topLinePunct w:val="0"/>
        <w:autoSpaceDE/>
        <w:autoSpaceDN/>
        <w:bidi w:val="0"/>
        <w:snapToGrid w:val="0"/>
        <w:spacing w:line="570" w:lineRule="exact"/>
        <w:ind w:left="0" w:leftChars="0"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rPr>
        <w:t>．</w:t>
      </w:r>
      <w:r>
        <w:rPr>
          <w:rFonts w:hint="eastAsia" w:ascii="仿宋" w:hAnsi="仿宋" w:eastAsia="仿宋" w:cs="仿宋"/>
          <w:color w:val="auto"/>
          <w:kern w:val="2"/>
          <w:sz w:val="32"/>
          <w:szCs w:val="32"/>
          <w:highlight w:val="none"/>
          <w:lang w:val="en-US" w:eastAsia="zh-CN" w:bidi="ar-SA"/>
        </w:rPr>
        <w:t>防涂鸦抗粘贴涂料具体检测要求如下表。</w:t>
      </w:r>
    </w:p>
    <w:tbl>
      <w:tblPr>
        <w:tblStyle w:val="6"/>
        <w:tblW w:w="5000" w:type="pct"/>
        <w:tblInd w:w="0" w:type="dxa"/>
        <w:tblLayout w:type="autofit"/>
        <w:tblCellMar>
          <w:top w:w="0" w:type="dxa"/>
          <w:left w:w="108" w:type="dxa"/>
          <w:bottom w:w="0" w:type="dxa"/>
          <w:right w:w="108" w:type="dxa"/>
        </w:tblCellMar>
      </w:tblPr>
      <w:tblGrid>
        <w:gridCol w:w="808"/>
        <w:gridCol w:w="1386"/>
        <w:gridCol w:w="110"/>
        <w:gridCol w:w="1645"/>
        <w:gridCol w:w="5111"/>
      </w:tblGrid>
      <w:tr>
        <w:tblPrEx>
          <w:tblCellMar>
            <w:top w:w="0" w:type="dxa"/>
            <w:left w:w="108" w:type="dxa"/>
            <w:bottom w:w="0" w:type="dxa"/>
            <w:right w:w="108" w:type="dxa"/>
          </w:tblCellMar>
        </w:tblPrEx>
        <w:trPr>
          <w:trHeight w:val="102" w:hRule="atLeast"/>
          <w:tblHeader/>
        </w:trPr>
        <w:tc>
          <w:tcPr>
            <w:tcW w:w="472"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1682" w:type="pct"/>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检验项目</w:t>
            </w:r>
          </w:p>
        </w:tc>
        <w:tc>
          <w:tcPr>
            <w:tcW w:w="2846"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标准及性能合格要求                             （C型抗粘贴并防涂鸦型）</w:t>
            </w:r>
          </w:p>
        </w:tc>
      </w:tr>
      <w:tr>
        <w:tblPrEx>
          <w:tblCellMar>
            <w:top w:w="0" w:type="dxa"/>
            <w:left w:w="108" w:type="dxa"/>
            <w:bottom w:w="0" w:type="dxa"/>
            <w:right w:w="108" w:type="dxa"/>
          </w:tblCellMar>
        </w:tblPrEx>
        <w:trPr>
          <w:trHeight w:val="9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1682"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容器中状态</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搅拌后无硬块、无凝聚，呈均匀状态</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施工性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施涂无障碍</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涂膜外观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涂膜均匀，无针孔、无流挂</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表干时间</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≦1h</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耐水性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96h无气泡、无掉粉、无明显变色和失光</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耐碱性</w:t>
            </w:r>
          </w:p>
        </w:tc>
        <w:tc>
          <w:tcPr>
            <w:tcW w:w="2846" w:type="pct"/>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48h无气泡、无掉粉、无明显变色和失光</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铅笔硬度</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≧4h</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耐溶剂擦拭性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100次不露底</w:t>
            </w:r>
          </w:p>
        </w:tc>
      </w:tr>
      <w:tr>
        <w:tblPrEx>
          <w:tblCellMar>
            <w:top w:w="0" w:type="dxa"/>
            <w:left w:w="108" w:type="dxa"/>
            <w:bottom w:w="0" w:type="dxa"/>
            <w:right w:w="108" w:type="dxa"/>
          </w:tblCellMar>
        </w:tblPrEx>
        <w:trPr>
          <w:trHeight w:val="90" w:hRule="atLeast"/>
        </w:trPr>
        <w:tc>
          <w:tcPr>
            <w:tcW w:w="472" w:type="pc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w:t>
            </w:r>
          </w:p>
        </w:tc>
        <w:tc>
          <w:tcPr>
            <w:tcW w:w="1682" w:type="pct"/>
            <w:gridSpan w:val="3"/>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附着力（划格法）/级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≦1级</w:t>
            </w:r>
          </w:p>
        </w:tc>
      </w:tr>
      <w:tr>
        <w:tblPrEx>
          <w:tblCellMar>
            <w:top w:w="0" w:type="dxa"/>
            <w:left w:w="108" w:type="dxa"/>
            <w:bottom w:w="0" w:type="dxa"/>
            <w:right w:w="108" w:type="dxa"/>
          </w:tblCellMar>
        </w:tblPrEx>
        <w:trPr>
          <w:trHeight w:val="9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w:t>
            </w:r>
          </w:p>
        </w:tc>
        <w:tc>
          <w:tcPr>
            <w:tcW w:w="1682"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抗粘贴性（180°剥离强度）/(N/mm)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≦0.10N/mm</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11</w:t>
            </w:r>
          </w:p>
        </w:tc>
        <w:tc>
          <w:tcPr>
            <w:tcW w:w="748" w:type="pct"/>
            <w:gridSpan w:val="2"/>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抗反复粘贴性50次</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无剥落、无明显失光、无胶残留物</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748" w:type="pct"/>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≦0.20N/mm，胶带无法粘贴</w:t>
            </w:r>
          </w:p>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w:t>
            </w:r>
          </w:p>
        </w:tc>
        <w:tc>
          <w:tcPr>
            <w:tcW w:w="748" w:type="pct"/>
            <w:gridSpan w:val="2"/>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抗高温粘贴性50℃,24h</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无剥落、无明显失光、无胶残留物</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748" w:type="pct"/>
            <w:gridSpan w:val="2"/>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≦0.25N/mm，胶带无法粘贴</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13</w:t>
            </w:r>
          </w:p>
        </w:tc>
        <w:tc>
          <w:tcPr>
            <w:tcW w:w="748"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耐人工气候老化性400h</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外观</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无开裂、无剥落、无明显失光</w:t>
            </w:r>
          </w:p>
        </w:tc>
      </w:tr>
      <w:tr>
        <w:tblPrEx>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7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180°剥离强度/(N/mm）</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≦0.20N/mm</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14</w:t>
            </w:r>
          </w:p>
        </w:tc>
        <w:tc>
          <w:tcPr>
            <w:tcW w:w="748"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防涂鸦性</w:t>
            </w:r>
          </w:p>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(可清洗级别）</w:t>
            </w: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墨汁/级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r>
      <w:tr>
        <w:tblPrEx>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7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油性记号笔/级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r>
      <w:tr>
        <w:tblPrEx>
          <w:tblCellMar>
            <w:top w:w="0" w:type="dxa"/>
            <w:left w:w="108" w:type="dxa"/>
            <w:bottom w:w="0" w:type="dxa"/>
            <w:right w:w="108" w:type="dxa"/>
          </w:tblCellMar>
        </w:tblPrEx>
        <w:trPr>
          <w:trHeight w:val="90"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748"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34"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喷漆/级</w:t>
            </w:r>
          </w:p>
        </w:tc>
        <w:tc>
          <w:tcPr>
            <w:tcW w:w="2846" w:type="pct"/>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r>
      <w:tr>
        <w:tblPrEx>
          <w:tblCellMar>
            <w:top w:w="0" w:type="dxa"/>
            <w:left w:w="108" w:type="dxa"/>
            <w:bottom w:w="0" w:type="dxa"/>
            <w:right w:w="108" w:type="dxa"/>
          </w:tblCellMar>
        </w:tblPrEx>
        <w:trPr>
          <w:trHeight w:val="102"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15</w:t>
            </w:r>
          </w:p>
        </w:tc>
        <w:tc>
          <w:tcPr>
            <w:tcW w:w="1682" w:type="pct"/>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防涂鸦抗粘贴涂料</w:t>
            </w:r>
          </w:p>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有害物质含量</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应符合《GB 24408 建筑用外墙涂料中有害物质限量》中表1的要求</w:t>
            </w:r>
          </w:p>
        </w:tc>
      </w:tr>
      <w:tr>
        <w:tblPrEx>
          <w:tblCellMar>
            <w:top w:w="0" w:type="dxa"/>
            <w:left w:w="108" w:type="dxa"/>
            <w:bottom w:w="0" w:type="dxa"/>
            <w:right w:w="108" w:type="dxa"/>
          </w:tblCellMar>
        </w:tblPrEx>
        <w:trPr>
          <w:trHeight w:val="90" w:hRule="atLeast"/>
        </w:trPr>
        <w:tc>
          <w:tcPr>
            <w:tcW w:w="472"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16</w:t>
            </w:r>
          </w:p>
        </w:tc>
        <w:tc>
          <w:tcPr>
            <w:tcW w:w="693" w:type="pct"/>
            <w:vMerge w:val="restart"/>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可清洗性</w:t>
            </w: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墨汁</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自动聚合成液滴，棉布蘸清水可清洗</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693" w:type="pct"/>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油性记号笔</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自动聚合成液滴，棉布蘸清水可清洗</w:t>
            </w:r>
          </w:p>
        </w:tc>
      </w:tr>
      <w:tr>
        <w:tblPrEx>
          <w:tblCellMar>
            <w:top w:w="0" w:type="dxa"/>
            <w:left w:w="108" w:type="dxa"/>
            <w:bottom w:w="0" w:type="dxa"/>
            <w:right w:w="108" w:type="dxa"/>
          </w:tblCellMar>
        </w:tblPrEx>
        <w:trPr>
          <w:trHeight w:val="90" w:hRule="atLeast"/>
        </w:trPr>
        <w:tc>
          <w:tcPr>
            <w:tcW w:w="472"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693" w:type="pct"/>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喷漆</w:t>
            </w:r>
          </w:p>
        </w:tc>
        <w:tc>
          <w:tcPr>
            <w:tcW w:w="2846" w:type="pc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自动聚合成液滴，棉布蘸清水可清洗</w:t>
            </w:r>
          </w:p>
        </w:tc>
      </w:tr>
      <w:tr>
        <w:tblPrEx>
          <w:tblCellMar>
            <w:top w:w="0" w:type="dxa"/>
            <w:left w:w="108" w:type="dxa"/>
            <w:bottom w:w="0" w:type="dxa"/>
            <w:right w:w="108" w:type="dxa"/>
          </w:tblCellMar>
        </w:tblPrEx>
        <w:trPr>
          <w:trHeight w:val="18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说明：1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该表格内容为防涂鸦抗粘贴涂料投标时需要提供检测报告的必要内容。</w:t>
            </w:r>
          </w:p>
          <w:p>
            <w:pPr>
              <w:pageBreakBefore w:val="0"/>
              <w:widowControl/>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该表格内容同时为防涂鸦抗粘贴涂料中标后抽检时必要的的检测项目。</w:t>
            </w:r>
          </w:p>
        </w:tc>
      </w:tr>
    </w:tbl>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（三）喷涂部位要求</w:t>
      </w:r>
    </w:p>
    <w:p>
      <w:pPr>
        <w:pageBreakBefore w:val="0"/>
        <w:numPr>
          <w:ilvl w:val="0"/>
          <w:numId w:val="0"/>
        </w:numPr>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1864995</wp:posOffset>
            </wp:positionH>
            <wp:positionV relativeFrom="paragraph">
              <wp:posOffset>1061085</wp:posOffset>
            </wp:positionV>
            <wp:extent cx="1751965" cy="4450715"/>
            <wp:effectExtent l="0" t="0" r="635" b="6985"/>
            <wp:wrapSquare wrapText="bothSides"/>
            <wp:docPr id="7" name="图片 7" descr="I$QE[VFC{N3{]DF7D1QZL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QE[VFC{N3{]DF7D1QZLKV"/>
                    <pic:cNvPicPr>
                      <a:picLocks noChangeAspect="1"/>
                    </pic:cNvPicPr>
                  </pic:nvPicPr>
                  <pic:blipFill>
                    <a:blip r:embed="rId16"/>
                    <a:stretch>
                      <a:fillRect/>
                    </a:stretch>
                  </pic:blipFill>
                  <pic:spPr>
                    <a:xfrm>
                      <a:off x="0" y="0"/>
                      <a:ext cx="1751965" cy="4450715"/>
                    </a:xfrm>
                    <a:prstGeom prst="rect">
                      <a:avLst/>
                    </a:prstGeom>
                  </pic:spPr>
                </pic:pic>
              </a:graphicData>
            </a:graphic>
          </wp:anchor>
        </w:drawing>
      </w:r>
      <w:r>
        <w:rPr>
          <w:rFonts w:hint="eastAsia" w:ascii="仿宋" w:hAnsi="仿宋" w:eastAsia="仿宋" w:cs="仿宋"/>
          <w:color w:val="auto"/>
          <w:sz w:val="32"/>
          <w:szCs w:val="32"/>
          <w:highlight w:val="none"/>
        </w:rPr>
        <w:t>灯杆从上到下满喷，并在离法兰2m处预留号牌位置（号牌宽度为110mm，号牌详细尺寸待中标后由采购单位向中标单位提供）。</w:t>
      </w: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lang w:eastAsia="zh-CN"/>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widowControl w:val="0"/>
        <w:numPr>
          <w:ilvl w:val="0"/>
          <w:numId w:val="0"/>
        </w:numPr>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楷体" w:hAnsi="楷体" w:eastAsia="楷体" w:cs="楷体"/>
          <w:b w:val="0"/>
          <w:bCs w:val="0"/>
          <w:color w:val="auto"/>
          <w:kern w:val="2"/>
          <w:sz w:val="32"/>
          <w:szCs w:val="32"/>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楷体" w:hAnsi="楷体" w:eastAsia="楷体" w:cs="楷体"/>
          <w:b w:val="0"/>
          <w:bCs w:val="0"/>
          <w:color w:val="auto"/>
          <w:kern w:val="2"/>
          <w:sz w:val="32"/>
          <w:szCs w:val="32"/>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楷体" w:hAnsi="楷体" w:eastAsia="楷体" w:cs="楷体"/>
          <w:b w:val="0"/>
          <w:bCs w:val="0"/>
          <w:color w:val="auto"/>
          <w:kern w:val="2"/>
          <w:sz w:val="32"/>
          <w:szCs w:val="32"/>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楷体" w:hAnsi="楷体" w:eastAsia="楷体" w:cs="楷体"/>
          <w:b w:val="0"/>
          <w:bCs w:val="0"/>
          <w:color w:val="auto"/>
          <w:kern w:val="2"/>
          <w:sz w:val="32"/>
          <w:szCs w:val="32"/>
          <w:highlight w:val="none"/>
          <w:lang w:val="en-US" w:eastAsia="zh-CN" w:bidi="ar-SA"/>
        </w:rPr>
      </w:pPr>
    </w:p>
    <w:p>
      <w:pPr>
        <w:pageBreakBefore w:val="0"/>
        <w:numPr>
          <w:ilvl w:val="0"/>
          <w:numId w:val="0"/>
        </w:numPr>
        <w:kinsoku/>
        <w:wordWrap/>
        <w:overflowPunct/>
        <w:topLinePunct w:val="0"/>
        <w:autoSpaceDE/>
        <w:autoSpaceDN/>
        <w:bidi w:val="0"/>
        <w:snapToGrid w:val="0"/>
        <w:spacing w:line="570" w:lineRule="exact"/>
        <w:ind w:left="420" w:leftChars="0"/>
        <w:jc w:val="left"/>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（四）灯杆防涂鸦抗粘贴涂料要求</w:t>
      </w: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灯杆防涂鸦抗粘贴涂料是否运用需经采购单位通知后实施。</w:t>
      </w:r>
      <w:bookmarkStart w:id="59" w:name="_Toc92188484"/>
    </w:p>
    <w:p>
      <w:pPr>
        <w:pStyle w:val="3"/>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五、检验要求</w:t>
      </w:r>
      <w:bookmarkEnd w:id="59"/>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b w:val="0"/>
          <w:bCs w:val="0"/>
          <w:color w:val="auto"/>
          <w:sz w:val="32"/>
          <w:szCs w:val="32"/>
          <w:highlight w:val="none"/>
          <w:u w:val="single"/>
        </w:rPr>
      </w:pPr>
      <w:r>
        <w:rPr>
          <w:rFonts w:hint="eastAsia" w:ascii="仿宋" w:hAnsi="仿宋" w:eastAsia="仿宋" w:cs="仿宋"/>
          <w:b w:val="0"/>
          <w:bCs w:val="0"/>
          <w:color w:val="auto"/>
          <w:sz w:val="32"/>
          <w:szCs w:val="32"/>
          <w:highlight w:val="none"/>
          <w:lang w:val="en-US" w:eastAsia="zh-CN"/>
        </w:rPr>
        <w:t>表一</w:t>
      </w:r>
      <w:r>
        <w:rPr>
          <w:rFonts w:hint="eastAsia" w:ascii="仿宋" w:hAnsi="仿宋" w:eastAsia="仿宋" w:cs="仿宋"/>
          <w:b w:val="0"/>
          <w:bCs w:val="0"/>
          <w:color w:val="auto"/>
          <w:sz w:val="32"/>
          <w:szCs w:val="32"/>
          <w:highlight w:val="none"/>
        </w:rPr>
        <w:t>：投标时以及中标后灯具必须的检测项目</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bookmarkStart w:id="60" w:name="_Toc1568"/>
            <w:r>
              <w:rPr>
                <w:rFonts w:hint="eastAsia" w:ascii="仿宋" w:hAnsi="仿宋" w:eastAsia="仿宋" w:cs="仿宋"/>
                <w:b w:val="0"/>
                <w:bCs w:val="0"/>
                <w:color w:val="auto"/>
                <w:sz w:val="32"/>
                <w:szCs w:val="32"/>
                <w:highlight w:val="none"/>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测试方式</w:t>
            </w:r>
          </w:p>
        </w:tc>
        <w:tc>
          <w:tcPr>
            <w:tcW w:w="1050"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类型</w:t>
            </w:r>
          </w:p>
        </w:tc>
        <w:tc>
          <w:tcPr>
            <w:tcW w:w="654"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序号</w:t>
            </w:r>
          </w:p>
        </w:tc>
        <w:tc>
          <w:tcPr>
            <w:tcW w:w="3171"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测试内容</w:t>
            </w:r>
          </w:p>
        </w:tc>
        <w:tc>
          <w:tcPr>
            <w:tcW w:w="3229" w:type="dxa"/>
            <w:shd w:val="clear" w:color="auto" w:fill="D7D7D7"/>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达标要求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现场目测</w:t>
            </w:r>
          </w:p>
        </w:tc>
        <w:tc>
          <w:tcPr>
            <w:tcW w:w="1050"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外观</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尺寸(灯头与装饰件)</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误差10%（特殊规定处除外）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检测报告</w:t>
            </w:r>
          </w:p>
        </w:tc>
        <w:tc>
          <w:tcPr>
            <w:tcW w:w="1050"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材质</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高压压铸铝YL113(材质)模具成型灯体</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灯头材质需符合GB/T 15115压铸铝合金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安全</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安全与试验要求</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1.符合本文件“三、灯具部分的具体要求中‘安全要求’”。</w:t>
            </w: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2.灯体应采用高压压铸铝YL113模具成型。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防护等级</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检测</w:t>
            </w: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报告</w:t>
            </w:r>
          </w:p>
        </w:tc>
        <w:tc>
          <w:tcPr>
            <w:tcW w:w="1050"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光学及模拟配光</w:t>
            </w:r>
          </w:p>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（在本招标文件上述模拟安装条件下）</w:t>
            </w: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整灯系统总功率</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≤4</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shd w:val="clear" w:color="auto" w:fill="FFFFFF"/>
              </w:rPr>
              <w:t>整灯光效</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含透光罩</w:t>
            </w:r>
            <w:r>
              <w:rPr>
                <w:rFonts w:hint="eastAsia" w:ascii="仿宋" w:hAnsi="仿宋" w:eastAsia="仿宋" w:cs="仿宋"/>
                <w:color w:val="auto"/>
                <w:sz w:val="32"/>
                <w:szCs w:val="32"/>
                <w:highlight w:val="none"/>
                <w:shd w:val="clear" w:color="auto" w:fill="FFFFFF"/>
                <w:lang w:eastAsia="zh-CN"/>
              </w:rPr>
              <w:t>）</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shd w:val="clear" w:color="auto" w:fill="FFFFFF"/>
              </w:rPr>
              <w:t>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色温</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3000±</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00</w:t>
            </w:r>
            <w:r>
              <w:rPr>
                <w:rFonts w:hint="eastAsia" w:ascii="仿宋" w:hAnsi="仿宋" w:eastAsia="仿宋" w:cs="仿宋"/>
                <w:color w:val="auto"/>
                <w:sz w:val="32"/>
                <w:szCs w:val="32"/>
                <w:highlight w:val="none"/>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单灯功率因数</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≥0.9</w:t>
            </w:r>
            <w:r>
              <w:rPr>
                <w:rFonts w:hint="eastAsia" w:ascii="仿宋" w:hAnsi="仿宋" w:eastAsia="仿宋" w:cs="仿宋"/>
                <w:color w:val="auto"/>
                <w:sz w:val="32"/>
                <w:szCs w:val="3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一般显色指数</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灯具色容差</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≤5SDCM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路面平均照度Eav（Lx）维持值</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路面最小照度Emin（Lx）维持值</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vMerge w:val="restart"/>
            <w:noWrap w:val="0"/>
            <w:vAlign w:val="center"/>
          </w:tcPr>
          <w:p>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w:t>
            </w: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照明眩光限值≥80°最大光强Imax（cd/1000lm）</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vMerge w:val="continue"/>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3171"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照明眩光限值≥90°最大光强Imax（cd/1000lm）</w:t>
            </w:r>
          </w:p>
        </w:tc>
        <w:tc>
          <w:tcPr>
            <w:tcW w:w="3229" w:type="dxa"/>
            <w:noWrap w:val="0"/>
            <w:vAlign w:val="center"/>
          </w:tcPr>
          <w:p>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5" w:type="dxa"/>
            <w:noWrap w:val="0"/>
            <w:vAlign w:val="center"/>
          </w:tcPr>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tc>
        <w:tc>
          <w:tcPr>
            <w:tcW w:w="8104" w:type="dxa"/>
            <w:gridSpan w:val="4"/>
            <w:noWrap w:val="0"/>
            <w:vAlign w:val="top"/>
          </w:tcPr>
          <w:p>
            <w:pPr>
              <w:pageBreakBefore w:val="0"/>
              <w:kinsoku/>
              <w:wordWrap/>
              <w:overflowPunct/>
              <w:topLinePunct w:val="0"/>
              <w:autoSpaceDE/>
              <w:autoSpaceDN/>
              <w:bidi w:val="0"/>
              <w:snapToGrid w:val="0"/>
              <w:spacing w:line="570" w:lineRule="exact"/>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磋商供应商自行送检，送至国家级权威机构检测，检测结果必须满足技术文件相关指标要求（其中</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项为必须满足项，有一项不满足的按废标处理），同时需自行提供符合采购文件要求的防涂鸦抗粘贴涂料的检测报告（检测报告不合格按废标处理），检测费由磋商供应商承担。</w:t>
            </w:r>
          </w:p>
          <w:p>
            <w:pPr>
              <w:pageBreakBefore w:val="0"/>
              <w:kinsoku/>
              <w:wordWrap/>
              <w:overflowPunct/>
              <w:topLinePunct w:val="0"/>
              <w:autoSpaceDE/>
              <w:autoSpaceDN/>
              <w:bidi w:val="0"/>
              <w:snapToGrid w:val="0"/>
              <w:spacing w:line="570" w:lineRule="exact"/>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该表格内容为所投灯具投标时需要提供检测报告的必要内容。</w:t>
            </w:r>
          </w:p>
        </w:tc>
      </w:tr>
    </w:tbl>
    <w:p>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val="0"/>
          <w:bCs w:val="0"/>
          <w:color w:val="auto"/>
          <w:sz w:val="32"/>
          <w:szCs w:val="32"/>
          <w:highlight w:val="none"/>
          <w:lang w:val="en-US" w:eastAsia="zh-CN"/>
        </w:rPr>
      </w:pPr>
    </w:p>
    <w:p>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表二</w:t>
      </w:r>
      <w:r>
        <w:rPr>
          <w:rFonts w:hint="eastAsia" w:ascii="仿宋" w:hAnsi="仿宋" w:eastAsia="仿宋" w:cs="仿宋"/>
          <w:b w:val="0"/>
          <w:bCs w:val="0"/>
          <w:color w:val="auto"/>
          <w:sz w:val="32"/>
          <w:szCs w:val="32"/>
          <w:highlight w:val="none"/>
        </w:rPr>
        <w:t>：灯杆的检测内容</w:t>
      </w:r>
      <w:bookmarkEnd w:id="60"/>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29"/>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序号</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检测项目</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是否有合格探伤报告</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尺寸要求</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参考技术文件内容，技术文件内规定了尺寸误差范围的按照技术文件执行，未标注公差的，按照GB-T1804的精度C级别标准执行，其中安装公差和位置公差按照精度M级别标准执行。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33" w:type="pct"/>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w:t>
            </w:r>
          </w:p>
        </w:tc>
        <w:tc>
          <w:tcPr>
            <w:tcW w:w="899" w:type="pct"/>
            <w:vMerge w:val="restart"/>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喷塑要求</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颜色是否一致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3" w:type="pct"/>
            <w:vMerge w:val="continue"/>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899" w:type="pct"/>
            <w:vMerge w:val="continue"/>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33" w:type="pct"/>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w:t>
            </w:r>
          </w:p>
        </w:tc>
        <w:tc>
          <w:tcPr>
            <w:tcW w:w="899" w:type="pct"/>
            <w:vMerge w:val="restar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法兰</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法兰厚度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33" w:type="pct"/>
            <w:vMerge w:val="continue"/>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899" w:type="pct"/>
            <w:vMerge w:val="continue"/>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安装孔间距及尺寸是否符合采购文件要求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材质</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接地</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是否有接地螺栓或接地线连接孔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杆体</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8</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灯杆重量</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9</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门板</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33"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p>
        </w:tc>
        <w:tc>
          <w:tcPr>
            <w:tcW w:w="899"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配件</w:t>
            </w:r>
          </w:p>
        </w:tc>
        <w:tc>
          <w:tcPr>
            <w:tcW w:w="3668" w:type="pct"/>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bl>
    <w:p>
      <w:pPr>
        <w:pStyle w:val="3"/>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六、供货要求</w:t>
      </w:r>
    </w:p>
    <w:p>
      <w:pPr>
        <w:pageBreakBefore w:val="0"/>
        <w:widowControl/>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1.供应商中标后还需提供2套庭院灯现场安装，经第三方检测机构检测，满足照明质量指标后才可批量供货（检测要求及达标数据见下表）。</w:t>
      </w:r>
    </w:p>
    <w:p>
      <w:pPr>
        <w:pageBreakBefore w:val="0"/>
        <w:widowControl/>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2.如检测不合格，采购方终止合同并扣除供货方全部履约保证金。</w:t>
      </w:r>
    </w:p>
    <w:p>
      <w:pPr>
        <w:pageBreakBefore w:val="0"/>
        <w:widowControl/>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highlight w:val="none"/>
          <w:lang w:val="en-US" w:eastAsia="zh-CN"/>
        </w:rPr>
        <w:t>3.模拟安装条件及达标要求</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模拟安装条件</w:t>
      </w:r>
    </w:p>
    <w:tbl>
      <w:tblPr>
        <w:tblStyle w:val="6"/>
        <w:tblW w:w="0" w:type="auto"/>
        <w:tblInd w:w="471" w:type="dxa"/>
        <w:tblLayout w:type="autofit"/>
        <w:tblCellMar>
          <w:top w:w="0" w:type="dxa"/>
          <w:left w:w="108" w:type="dxa"/>
          <w:bottom w:w="0" w:type="dxa"/>
          <w:right w:w="108" w:type="dxa"/>
        </w:tblCellMar>
      </w:tblPr>
      <w:tblGrid>
        <w:gridCol w:w="830"/>
        <w:gridCol w:w="3199"/>
        <w:gridCol w:w="2311"/>
      </w:tblGrid>
      <w:tr>
        <w:tblPrEx>
          <w:tblCellMar>
            <w:top w:w="0" w:type="dxa"/>
            <w:left w:w="108" w:type="dxa"/>
            <w:bottom w:w="0" w:type="dxa"/>
            <w:right w:w="108" w:type="dxa"/>
          </w:tblCellMar>
        </w:tblPrEx>
        <w:trPr>
          <w:trHeight w:val="442" w:hRule="atLeast"/>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灯具系统安装条</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件</w:t>
            </w: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道路类别：</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园路</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道路宽度 (m)：</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w:t>
            </w:r>
          </w:p>
        </w:tc>
      </w:tr>
      <w:tr>
        <w:tblPrEx>
          <w:tblCellMar>
            <w:top w:w="0" w:type="dxa"/>
            <w:left w:w="108" w:type="dxa"/>
            <w:bottom w:w="0" w:type="dxa"/>
            <w:right w:w="108" w:type="dxa"/>
          </w:tblCellMar>
        </w:tblPrEx>
        <w:trPr>
          <w:trHeight w:val="425"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道路表面材料</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沥青</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灯具布置方式</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单侧</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灯具安装高度h(m)</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3.5</w:t>
            </w:r>
          </w:p>
        </w:tc>
      </w:tr>
      <w:tr>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灯杆的安装间距S(m)</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20</w:t>
            </w:r>
          </w:p>
        </w:tc>
      </w:tr>
      <w:tr>
        <w:tblPrEx>
          <w:tblCellMar>
            <w:top w:w="0" w:type="dxa"/>
            <w:left w:w="108" w:type="dxa"/>
            <w:bottom w:w="0" w:type="dxa"/>
            <w:right w:w="108" w:type="dxa"/>
          </w:tblCellMar>
        </w:tblPrEx>
        <w:trPr>
          <w:trHeight w:val="534"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1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灯杆与路沿的距离(m)</w:t>
            </w:r>
          </w:p>
        </w:tc>
        <w:tc>
          <w:tcPr>
            <w:tcW w:w="23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0.5</w:t>
            </w:r>
          </w:p>
        </w:tc>
      </w:tr>
    </w:tbl>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在上述道路模拟安装条件下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调光至70%</w:t>
      </w:r>
      <w:r>
        <w:rPr>
          <w:rFonts w:hint="eastAsia" w:ascii="仿宋" w:hAnsi="仿宋" w:eastAsia="仿宋" w:cs="仿宋"/>
          <w:color w:val="auto"/>
          <w:sz w:val="32"/>
          <w:szCs w:val="32"/>
          <w:highlight w:val="none"/>
        </w:rPr>
        <w:t>照明需满足以下要求：</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kern w:val="2"/>
          <w:sz w:val="32"/>
          <w:szCs w:val="32"/>
          <w:highlight w:val="none"/>
          <w:lang w:val="en-US" w:eastAsia="zh-CN" w:bidi="ar-SA"/>
        </w:rPr>
        <w:t>①</w:t>
      </w:r>
      <w:r>
        <w:rPr>
          <w:rFonts w:hint="eastAsia" w:ascii="仿宋" w:hAnsi="仿宋" w:eastAsia="仿宋" w:cs="仿宋"/>
          <w:color w:val="auto"/>
          <w:sz w:val="32"/>
          <w:szCs w:val="32"/>
          <w:highlight w:val="none"/>
        </w:rPr>
        <w:t>路面平均照度Eav（Lx）维持值不低于</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Lx</w:t>
      </w:r>
    </w:p>
    <w:p>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kern w:val="2"/>
          <w:sz w:val="32"/>
          <w:szCs w:val="32"/>
          <w:highlight w:val="none"/>
          <w:lang w:val="en-US" w:eastAsia="zh-CN" w:bidi="ar-SA"/>
        </w:rPr>
        <w:t>②</w:t>
      </w:r>
      <w:r>
        <w:rPr>
          <w:rFonts w:hint="eastAsia" w:ascii="仿宋" w:hAnsi="仿宋" w:eastAsia="仿宋" w:cs="仿宋"/>
          <w:color w:val="auto"/>
          <w:sz w:val="32"/>
          <w:szCs w:val="32"/>
          <w:highlight w:val="none"/>
        </w:rPr>
        <w:t>路面最小照度Emin（Lx）维持值不低于1Lx</w:t>
      </w:r>
    </w:p>
    <w:p>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p>
    <w:sectPr>
      <w:headerReference r:id="rId5" w:type="default"/>
      <w:footerReference r:id="rId6"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2EzZWQ4NWU4M2NkZWY5YmM1YWYyOGM5MzM5MTMifQ=="/>
  </w:docVars>
  <w:rsids>
    <w:rsidRoot w:val="00000000"/>
    <w:rsid w:val="003414DC"/>
    <w:rsid w:val="003532FE"/>
    <w:rsid w:val="005D4603"/>
    <w:rsid w:val="00BE7797"/>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C306D"/>
    <w:rsid w:val="25341526"/>
    <w:rsid w:val="285445B3"/>
    <w:rsid w:val="28C55F1C"/>
    <w:rsid w:val="29552687"/>
    <w:rsid w:val="295F5B00"/>
    <w:rsid w:val="2A3407E7"/>
    <w:rsid w:val="2A782A22"/>
    <w:rsid w:val="2A8926D9"/>
    <w:rsid w:val="2BAD6C36"/>
    <w:rsid w:val="2C934D84"/>
    <w:rsid w:val="2CB62687"/>
    <w:rsid w:val="2CF00429"/>
    <w:rsid w:val="2DCF0F58"/>
    <w:rsid w:val="2E7768B0"/>
    <w:rsid w:val="302729DB"/>
    <w:rsid w:val="30446AC1"/>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93D0B"/>
    <w:rsid w:val="3B5B4297"/>
    <w:rsid w:val="3C3B0E04"/>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CE3E8B"/>
    <w:rsid w:val="4DC813F1"/>
    <w:rsid w:val="4E281379"/>
    <w:rsid w:val="4F493C9D"/>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6C51C4B"/>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11E78"/>
    <w:rsid w:val="613C4017"/>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F043A2"/>
    <w:rsid w:val="69166546"/>
    <w:rsid w:val="6931512E"/>
    <w:rsid w:val="69C53AC8"/>
    <w:rsid w:val="6A425119"/>
    <w:rsid w:val="6A7F636D"/>
    <w:rsid w:val="6B9526A7"/>
    <w:rsid w:val="6BC009EB"/>
    <w:rsid w:val="6BC920B8"/>
    <w:rsid w:val="6C1A2856"/>
    <w:rsid w:val="6CAB51F7"/>
    <w:rsid w:val="6CEE1C2C"/>
    <w:rsid w:val="6E1D2124"/>
    <w:rsid w:val="6F557BD7"/>
    <w:rsid w:val="6F675D4D"/>
    <w:rsid w:val="6FA63FD2"/>
    <w:rsid w:val="70875F7B"/>
    <w:rsid w:val="711B38F2"/>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815E9A"/>
    <w:rsid w:val="759039A5"/>
    <w:rsid w:val="75EB0F1B"/>
    <w:rsid w:val="768D0DFC"/>
    <w:rsid w:val="76971C64"/>
    <w:rsid w:val="76A84E99"/>
    <w:rsid w:val="773D616F"/>
    <w:rsid w:val="77C27899"/>
    <w:rsid w:val="780C63D5"/>
    <w:rsid w:val="78331707"/>
    <w:rsid w:val="78BB4144"/>
    <w:rsid w:val="794C7280"/>
    <w:rsid w:val="79D7762B"/>
    <w:rsid w:val="79F44686"/>
    <w:rsid w:val="7A0F3269"/>
    <w:rsid w:val="7A1470EB"/>
    <w:rsid w:val="7AE709F8"/>
    <w:rsid w:val="7D096B1B"/>
    <w:rsid w:val="7D2206CA"/>
    <w:rsid w:val="7D364FB1"/>
    <w:rsid w:val="7D380D29"/>
    <w:rsid w:val="7D625DA6"/>
    <w:rsid w:val="7E4C610E"/>
    <w:rsid w:val="7E860AEC"/>
    <w:rsid w:val="7EA424F8"/>
    <w:rsid w:val="7F047770"/>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beforeLines="0" w:after="260" w:afterLines="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20"/>
    </w:rPr>
  </w:style>
  <w:style w:type="paragraph" w:customStyle="1" w:styleId="8">
    <w:name w:val="_Style 2"/>
    <w:basedOn w:val="1"/>
    <w:qFormat/>
    <w:uiPriority w:val="0"/>
    <w:pPr>
      <w:spacing w:after="0" w:afterLines="0" w:line="240" w:lineRule="auto"/>
    </w:pPr>
  </w:style>
  <w:style w:type="paragraph" w:customStyle="1" w:styleId="9">
    <w:name w:val="_Style 3"/>
    <w:basedOn w:val="1"/>
    <w:qFormat/>
    <w:uiPriority w:val="0"/>
    <w:pPr>
      <w:adjustRightInd w:val="0"/>
      <w:snapToGrid w:val="0"/>
      <w:spacing w:line="288" w:lineRule="auto"/>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6768</Words>
  <Characters>7880</Characters>
  <Lines>0</Lines>
  <Paragraphs>0</Paragraphs>
  <TotalTime>1</TotalTime>
  <ScaleCrop>false</ScaleCrop>
  <LinksUpToDate>false</LinksUpToDate>
  <CharactersWithSpaces>8107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2022-03-03T05:37:00Z</dcterms:created>
  <dc:creator>Administrator</dc:creator>
  <cp:lastModifiedBy>周郁</cp:lastModifiedBy>
  <cp:lastPrinted>2023-04-17T03:04:00Z</cp:lastPrinted>
  <dcterms:modified xsi:type="dcterms:W3CDTF">2023-07-19T03:22:48Z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540333153E23425897C4B9EFE7DC75DD</vt:lpwstr>
  </property>
</Properties>
</file>