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spacing w:line="57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bookmarkStart w:id="0" w:name="_Toc92188479"/>
      <w:r>
        <w:rPr>
          <w:rFonts w:hint="eastAsia" w:ascii="方正小标宋简体" w:hAnsi="方正小标宋简体" w:eastAsia="方正小标宋简体" w:cs="方正小标宋简体"/>
          <w:b w:val="0"/>
          <w:bCs w:val="0"/>
          <w:color w:val="auto"/>
          <w:sz w:val="44"/>
          <w:szCs w:val="44"/>
          <w:highlight w:val="none"/>
          <w:lang w:val="en-US" w:eastAsia="zh-CN"/>
        </w:rPr>
        <w:t>5火LED50W庭院灯</w:t>
      </w:r>
      <w:r>
        <w:rPr>
          <w:rFonts w:hint="eastAsia" w:ascii="方正小标宋简体" w:hAnsi="方正小标宋简体" w:eastAsia="方正小标宋简体" w:cs="方正小标宋简体"/>
          <w:b w:val="0"/>
          <w:bCs w:val="0"/>
          <w:color w:val="auto"/>
          <w:sz w:val="44"/>
          <w:szCs w:val="44"/>
          <w:highlight w:val="none"/>
        </w:rPr>
        <w:t>技术文件</w:t>
      </w:r>
      <w:bookmarkEnd w:id="0"/>
    </w:p>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Theme="minorEastAsia" w:hAnsiTheme="minorEastAsia" w:eastAsiaTheme="minorEastAsia" w:cstheme="minorEastAsia"/>
          <w:b w:val="0"/>
          <w:bCs/>
          <w:color w:val="auto"/>
          <w:sz w:val="24"/>
          <w:szCs w:val="24"/>
          <w:highlight w:val="none"/>
        </w:rPr>
      </w:pPr>
      <w:bookmarkStart w:id="1" w:name="_Toc19004"/>
      <w:bookmarkStart w:id="2" w:name="_Toc92188480"/>
      <w:r>
        <w:rPr>
          <w:rFonts w:hint="eastAsia" w:asciiTheme="minorEastAsia" w:hAnsiTheme="minorEastAsia" w:eastAsiaTheme="minorEastAsia" w:cstheme="minorEastAsia"/>
          <w:b w:val="0"/>
          <w:bCs/>
          <w:color w:val="auto"/>
          <w:sz w:val="24"/>
          <w:szCs w:val="24"/>
          <w:highlight w:val="none"/>
        </w:rPr>
        <w:t>一、灯具清单</w:t>
      </w:r>
      <w:bookmarkEnd w:id="1"/>
      <w:bookmarkEnd w:id="2"/>
    </w:p>
    <w:tbl>
      <w:tblPr>
        <w:tblStyle w:val="9"/>
        <w:tblW w:w="8738" w:type="dxa"/>
        <w:jc w:val="center"/>
        <w:tblLayout w:type="fixed"/>
        <w:tblCellMar>
          <w:top w:w="15" w:type="dxa"/>
          <w:left w:w="108" w:type="dxa"/>
          <w:bottom w:w="15" w:type="dxa"/>
          <w:right w:w="108" w:type="dxa"/>
        </w:tblCellMar>
      </w:tblPr>
      <w:tblGrid>
        <w:gridCol w:w="734"/>
        <w:gridCol w:w="1577"/>
        <w:gridCol w:w="775"/>
        <w:gridCol w:w="750"/>
        <w:gridCol w:w="725"/>
        <w:gridCol w:w="888"/>
        <w:gridCol w:w="1012"/>
        <w:gridCol w:w="2277"/>
      </w:tblGrid>
      <w:tr>
        <w:trPr>
          <w:trHeight w:val="36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57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灯具名称</w:t>
            </w:r>
          </w:p>
        </w:tc>
        <w:tc>
          <w:tcPr>
            <w:tcW w:w="77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数量</w:t>
            </w:r>
          </w:p>
        </w:tc>
        <w:tc>
          <w:tcPr>
            <w:tcW w:w="72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光源</w:t>
            </w:r>
          </w:p>
        </w:tc>
        <w:tc>
          <w:tcPr>
            <w:tcW w:w="88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色温</w:t>
            </w:r>
          </w:p>
        </w:tc>
        <w:tc>
          <w:tcPr>
            <w:tcW w:w="1012"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功率</w:t>
            </w:r>
          </w:p>
        </w:tc>
        <w:tc>
          <w:tcPr>
            <w:tcW w:w="2277" w:type="dxa"/>
            <w:tcBorders>
              <w:top w:val="single" w:color="000000" w:sz="4" w:space="0"/>
              <w:left w:val="single" w:color="auto"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材料编码</w:t>
            </w:r>
          </w:p>
        </w:tc>
      </w:tr>
      <w:tr>
        <w:tblPrEx>
          <w:tblCellMar>
            <w:top w:w="15" w:type="dxa"/>
            <w:left w:w="108" w:type="dxa"/>
            <w:bottom w:w="15" w:type="dxa"/>
            <w:right w:w="108" w:type="dxa"/>
          </w:tblCellMar>
        </w:tblPrEx>
        <w:trPr>
          <w:trHeight w:val="77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5火LED50W庭院灯</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LED</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3000K</w:t>
            </w:r>
          </w:p>
        </w:tc>
        <w:tc>
          <w:tcPr>
            <w:tcW w:w="1012" w:type="dxa"/>
            <w:tcBorders>
              <w:top w:val="single" w:color="000000" w:sz="4" w:space="0"/>
              <w:left w:val="single" w:color="000000" w:sz="4" w:space="0"/>
              <w:bottom w:val="single" w:color="000000" w:sz="4" w:space="0"/>
              <w:right w:val="single" w:color="auto"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50W×5</w:t>
            </w:r>
          </w:p>
        </w:tc>
        <w:tc>
          <w:tcPr>
            <w:tcW w:w="2277" w:type="dxa"/>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0102010102000001</w:t>
            </w:r>
          </w:p>
        </w:tc>
      </w:tr>
      <w:tr>
        <w:tblPrEx>
          <w:tblCellMar>
            <w:top w:w="15" w:type="dxa"/>
            <w:left w:w="108" w:type="dxa"/>
            <w:bottom w:w="15" w:type="dxa"/>
            <w:right w:w="108" w:type="dxa"/>
          </w:tblCellMar>
        </w:tblPrEx>
        <w:trPr>
          <w:trHeight w:val="50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备注</w:t>
            </w:r>
          </w:p>
        </w:tc>
        <w:tc>
          <w:tcPr>
            <w:tcW w:w="8004" w:type="dxa"/>
            <w:gridSpan w:val="7"/>
            <w:tcBorders>
              <w:top w:val="single" w:color="000000" w:sz="4" w:space="0"/>
              <w:left w:val="single" w:color="000000" w:sz="4" w:space="0"/>
              <w:bottom w:val="single" w:color="000000" w:sz="4" w:space="0"/>
              <w:right w:val="single" w:color="000000" w:sz="4" w:space="0"/>
            </w:tcBorders>
            <w:noWrap w:val="0"/>
            <w:vAlign w:val="top"/>
          </w:tcPr>
          <w:p>
            <w:pPr>
              <w:pageBreakBefore w:val="0"/>
              <w:widowControl/>
              <w:kinsoku/>
              <w:wordWrap/>
              <w:overflowPunct/>
              <w:topLinePunct w:val="0"/>
              <w:autoSpaceDE/>
              <w:autoSpaceDN/>
              <w:bidi w:val="0"/>
              <w:snapToGrid w:val="0"/>
              <w:spacing w:line="240" w:lineRule="auto"/>
              <w:jc w:val="both"/>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1.庭院灯灯头、灯杆应分别单独报价（报价中含有运输费及防黏贴等所有费用）。</w:t>
            </w:r>
          </w:p>
          <w:p>
            <w:pPr>
              <w:pageBreakBefore w:val="0"/>
              <w:widowControl/>
              <w:kinsoku/>
              <w:wordWrap/>
              <w:overflowPunct/>
              <w:topLinePunct w:val="0"/>
              <w:autoSpaceDE/>
              <w:autoSpaceDN/>
              <w:bidi w:val="0"/>
              <w:snapToGrid w:val="0"/>
              <w:spacing w:line="240" w:lineRule="auto"/>
              <w:jc w:val="both"/>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2.根据成交供应商的成交单价，按实际供货量结算。</w:t>
            </w:r>
          </w:p>
        </w:tc>
      </w:tr>
    </w:tbl>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Theme="minorEastAsia" w:hAnsiTheme="minorEastAsia" w:eastAsiaTheme="minorEastAsia" w:cstheme="minorEastAsia"/>
          <w:b w:val="0"/>
          <w:bCs/>
          <w:color w:val="auto"/>
          <w:sz w:val="24"/>
          <w:szCs w:val="24"/>
          <w:highlight w:val="none"/>
        </w:rPr>
      </w:pPr>
      <w:bookmarkStart w:id="3" w:name="_Toc92188481"/>
      <w:r>
        <w:rPr>
          <w:rFonts w:hint="eastAsia" w:asciiTheme="minorEastAsia" w:hAnsiTheme="minorEastAsia" w:eastAsiaTheme="minorEastAsia" w:cstheme="minorEastAsia"/>
          <w:b w:val="0"/>
          <w:bCs/>
          <w:color w:val="auto"/>
          <w:sz w:val="24"/>
          <w:szCs w:val="24"/>
          <w:highlight w:val="none"/>
        </w:rPr>
        <w:t>二、庭院灯一般要求</w:t>
      </w:r>
      <w:bookmarkEnd w:id="3"/>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（一）一</w:t>
      </w:r>
      <w:r>
        <w:rPr>
          <w:rFonts w:hint="eastAsia" w:asciiTheme="minorEastAsia" w:hAnsiTheme="minorEastAsia" w:eastAsiaTheme="minorEastAsia" w:cstheme="minorEastAsia"/>
          <w:b w:val="0"/>
          <w:bCs w:val="0"/>
          <w:color w:val="auto"/>
          <w:sz w:val="24"/>
          <w:szCs w:val="24"/>
          <w:highlight w:val="none"/>
        </w:rPr>
        <w:t>般要求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成交后灯具供应阶段，投标人确定的灯具将视情况抽样检测。</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成交后，提供灯具安装说明书。</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一日内</w:t>
      </w:r>
      <w:r>
        <w:rPr>
          <w:rFonts w:hint="eastAsia" w:asciiTheme="minorEastAsia" w:hAnsiTheme="minorEastAsia" w:eastAsiaTheme="minorEastAsia" w:cstheme="minorEastAsia"/>
          <w:color w:val="auto"/>
          <w:sz w:val="24"/>
          <w:szCs w:val="24"/>
          <w:highlight w:val="none"/>
        </w:rPr>
        <w:t>，按要求提供</w:t>
      </w:r>
      <w:r>
        <w:rPr>
          <w:rFonts w:hint="eastAsia" w:asciiTheme="minorEastAsia" w:hAnsiTheme="minorEastAsia" w:eastAsiaTheme="minorEastAsia" w:cstheme="minorEastAsia"/>
          <w:color w:val="auto"/>
          <w:sz w:val="24"/>
          <w:szCs w:val="24"/>
          <w:highlight w:val="none"/>
          <w:lang w:val="en-US" w:eastAsia="zh-CN"/>
        </w:rPr>
        <w:t>一个灯头</w:t>
      </w:r>
      <w:r>
        <w:rPr>
          <w:rFonts w:hint="eastAsia" w:asciiTheme="minorEastAsia" w:hAnsiTheme="minorEastAsia" w:eastAsiaTheme="minorEastAsia" w:cstheme="minorEastAsia"/>
          <w:color w:val="auto"/>
          <w:sz w:val="24"/>
          <w:szCs w:val="24"/>
          <w:highlight w:val="none"/>
        </w:rPr>
        <w:t>，需进行供货前评审，评审通过后方能供货。</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报价含灯罩出线：出线为</w:t>
      </w:r>
      <w:r>
        <w:rPr>
          <w:rFonts w:hint="eastAsia" w:asciiTheme="minorEastAsia" w:hAnsiTheme="minorEastAsia" w:eastAsiaTheme="minorEastAsia" w:cstheme="minorEastAsia"/>
          <w:color w:val="auto"/>
          <w:sz w:val="24"/>
          <w:szCs w:val="24"/>
          <w:highlight w:val="none"/>
          <w:lang w:val="en-US" w:eastAsia="zh-CN"/>
        </w:rPr>
        <w:t>RVV3×2.5</w:t>
      </w:r>
      <w:r>
        <w:rPr>
          <w:rFonts w:hint="eastAsia" w:asciiTheme="minorEastAsia" w:hAnsiTheme="minorEastAsia" w:eastAsiaTheme="minorEastAsia" w:cstheme="minorEastAsia"/>
          <w:color w:val="auto"/>
          <w:sz w:val="24"/>
          <w:szCs w:val="24"/>
          <w:highlight w:val="none"/>
        </w:rPr>
        <w:t>mm² </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mm²</w:t>
      </w:r>
      <w:r>
        <w:rPr>
          <w:rFonts w:hint="eastAsia" w:asciiTheme="minorEastAsia" w:hAnsiTheme="minorEastAsia" w:eastAsiaTheme="minorEastAsia" w:cstheme="minorEastAsia"/>
          <w:color w:val="auto"/>
          <w:sz w:val="24"/>
          <w:szCs w:val="24"/>
          <w:highlight w:val="none"/>
          <w:lang w:val="en-US" w:eastAsia="zh-CN"/>
        </w:rPr>
        <w:t>电线</w:t>
      </w:r>
      <w:r>
        <w:rPr>
          <w:rFonts w:hint="eastAsia" w:asciiTheme="minorEastAsia" w:hAnsiTheme="minorEastAsia" w:eastAsiaTheme="minorEastAsia" w:cstheme="minorEastAsia"/>
          <w:color w:val="auto"/>
          <w:sz w:val="24"/>
          <w:szCs w:val="24"/>
          <w:highlight w:val="none"/>
        </w:rPr>
        <w:t>,长度不小于灯杆高度。</w:t>
      </w:r>
    </w:p>
    <w:p>
      <w:pPr>
        <w:pageBreakBefore w:val="0"/>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每套灯具报价需含一套安装辅材（具体材料清单见下图）：</w:t>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p>
    <w:p>
      <w:pPr>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drawing>
          <wp:anchor distT="0" distB="0" distL="114300" distR="114300" simplePos="0" relativeHeight="251659264" behindDoc="0" locked="0" layoutInCell="1" allowOverlap="1">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6"/>
                    <a:stretch>
                      <a:fillRect/>
                    </a:stretch>
                  </pic:blipFill>
                  <pic:spPr>
                    <a:xfrm>
                      <a:off x="0" y="0"/>
                      <a:ext cx="1964690" cy="1367790"/>
                    </a:xfrm>
                    <a:prstGeom prst="rect">
                      <a:avLst/>
                    </a:prstGeom>
                  </pic:spPr>
                </pic:pic>
              </a:graphicData>
            </a:graphic>
          </wp:anchor>
        </w:drawing>
      </w:r>
    </w:p>
    <w:p>
      <w:pPr>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drawing>
          <wp:anchor distT="0" distB="0" distL="114300" distR="114300" simplePos="0" relativeHeight="251659264" behindDoc="1" locked="0" layoutInCell="1" allowOverlap="1">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7"/>
                    <a:stretch>
                      <a:fillRect/>
                    </a:stretch>
                  </pic:blipFill>
                  <pic:spPr>
                    <a:xfrm>
                      <a:off x="0" y="0"/>
                      <a:ext cx="1823720" cy="565150"/>
                    </a:xfrm>
                    <a:prstGeom prst="rect">
                      <a:avLst/>
                    </a:prstGeom>
                  </pic:spPr>
                </pic:pic>
              </a:graphicData>
            </a:graphic>
          </wp:anchor>
        </w:drawing>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lang w:val="en-US" w:eastAsia="zh-CN"/>
        </w:rPr>
        <w:t>示意图</w:t>
      </w:r>
      <w:r>
        <w:rPr>
          <w:rFonts w:hint="eastAsia" w:asciiTheme="minorEastAsia" w:hAnsiTheme="minorEastAsia" w:eastAsiaTheme="minorEastAsia" w:cstheme="minorEastAsia"/>
          <w:color w:val="auto"/>
          <w:sz w:val="24"/>
          <w:szCs w:val="24"/>
          <w:highlight w:val="none"/>
          <w:u w:val="none"/>
          <w:lang w:val="en-US" w:eastAsia="zh-CN"/>
        </w:rPr>
        <w:t xml:space="preserve"> ）</w:t>
      </w:r>
    </w:p>
    <w:p>
      <w:pPr>
        <w:pageBreakBefore w:val="0"/>
        <w:kinsoku/>
        <w:wordWrap/>
        <w:overflowPunct/>
        <w:topLinePunct w:val="0"/>
        <w:autoSpaceDE/>
        <w:autoSpaceDN/>
        <w:bidi w:val="0"/>
        <w:spacing w:line="57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面板 8×25螺丝 D8弹簧垫 D8螺母 卡式熔壳 卡式熔芯</w:t>
      </w:r>
    </w:p>
    <w:p>
      <w:pPr>
        <w:pStyle w:val="2"/>
        <w:rPr>
          <w:rFonts w:hint="eastAsia"/>
          <w:lang w:val="en-US" w:eastAsia="zh-CN"/>
        </w:rPr>
      </w:pPr>
      <w:bookmarkStart w:id="61" w:name="_GoBack"/>
      <w:bookmarkEnd w:id="61"/>
    </w:p>
    <w:p>
      <w:pPr>
        <w:pageBreakBefore w:val="0"/>
        <w:kinsoku/>
        <w:wordWrap/>
        <w:overflowPunct/>
        <w:topLinePunct w:val="0"/>
        <w:autoSpaceDE/>
        <w:autoSpaceDN/>
        <w:bidi w:val="0"/>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drawing>
          <wp:anchor distT="0" distB="0" distL="114300" distR="114300" simplePos="0" relativeHeight="251660288" behindDoc="0" locked="0" layoutInCell="1" allowOverlap="1">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8"/>
                    <a:stretch>
                      <a:fillRect/>
                    </a:stretch>
                  </pic:blipFill>
                  <pic:spPr>
                    <a:xfrm>
                      <a:off x="0" y="0"/>
                      <a:ext cx="1810385" cy="2407285"/>
                    </a:xfrm>
                    <a:prstGeom prst="rect">
                      <a:avLst/>
                    </a:prstGeom>
                  </pic:spPr>
                </pic:pic>
              </a:graphicData>
            </a:graphic>
          </wp:anchor>
        </w:drawing>
      </w:r>
    </w:p>
    <w:p>
      <w:pPr>
        <w:pageBreakBefore w:val="0"/>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p>
    <w:p>
      <w:pPr>
        <w:pageBreakBefore w:val="0"/>
        <w:kinsoku/>
        <w:wordWrap/>
        <w:overflowPunct/>
        <w:topLinePunct w:val="0"/>
        <w:autoSpaceDE/>
        <w:autoSpaceDN/>
        <w:bidi w:val="0"/>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p>
    <w:p>
      <w:pPr>
        <w:pageBreakBefore w:val="0"/>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p>
    <w:p>
      <w:pPr>
        <w:pageBreakBefore w:val="0"/>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p>
    <w:p>
      <w:pPr>
        <w:pageBreakBefore w:val="0"/>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p>
    <w:p>
      <w:pPr>
        <w:pageBreakBefore w:val="0"/>
        <w:kinsoku/>
        <w:wordWrap/>
        <w:overflowPunct/>
        <w:topLinePunct w:val="0"/>
        <w:autoSpaceDE/>
        <w:autoSpaceDN/>
        <w:bidi w:val="0"/>
        <w:spacing w:line="570" w:lineRule="exact"/>
        <w:ind w:firstLine="4080" w:firstLineChars="1700"/>
        <w:jc w:val="left"/>
        <w:textAlignment w:val="auto"/>
        <w:rPr>
          <w:rFonts w:hint="eastAsia" w:asciiTheme="minorEastAsia" w:hAnsiTheme="minorEastAsia" w:eastAsiaTheme="minorEastAsia" w:cstheme="minorEastAsia"/>
          <w:color w:val="auto"/>
          <w:sz w:val="24"/>
          <w:szCs w:val="24"/>
          <w:highlight w:val="none"/>
          <w:u w:val="none"/>
          <w:lang w:val="en-US" w:eastAsia="zh-CN"/>
        </w:rPr>
      </w:pPr>
    </w:p>
    <w:p>
      <w:pPr>
        <w:pageBreakBefore w:val="0"/>
        <w:kinsoku/>
        <w:wordWrap/>
        <w:overflowPunct/>
        <w:topLinePunct w:val="0"/>
        <w:autoSpaceDE/>
        <w:autoSpaceDN/>
        <w:bidi w:val="0"/>
        <w:spacing w:line="570" w:lineRule="exact"/>
        <w:ind w:firstLine="4080" w:firstLineChars="17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none"/>
          <w:lang w:val="en-US" w:eastAsia="zh-CN"/>
        </w:rPr>
        <w:t>(示意图)</w:t>
      </w:r>
    </w:p>
    <w:p>
      <w:pPr>
        <w:pageBreakBefore w:val="0"/>
        <w:kinsoku/>
        <w:wordWrap/>
        <w:overflowPunct/>
        <w:topLinePunct w:val="0"/>
        <w:autoSpaceDE/>
        <w:autoSpaceDN/>
        <w:bidi w:val="0"/>
        <w:spacing w:line="57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热镀锌螺母D16</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热镀锌加大垫片D16</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庭院灯安装辅材：热镀锌螺母D16(8个/套)、热镀锌加大垫片D16(8个/套)、304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25螺丝(2个/套)、304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不锈钢D8垫片(4个/套)、304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不锈钢D8弹簧垫(2个/套)、304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不锈钢D8螺母(2个/套)、面板(1块/套)、卡式熔壳(1个/套)、4A卡式熔芯(1个/套)。</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质保：庭院灯灯头（含LED光源）整灯质保5年，庭院灯灯杆质保10年不掉漆、不生锈、喷塑不褪色。</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本招标文件中未标注公差的，按照GB-T1804的精度C级别标准执行，其中安装公差和位置公差按照精度M级别标准执行。</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（二）应严格执行相关</w:t>
      </w:r>
      <w:r>
        <w:rPr>
          <w:rFonts w:hint="eastAsia" w:asciiTheme="minorEastAsia" w:hAnsiTheme="minorEastAsia" w:eastAsiaTheme="minorEastAsia" w:cstheme="minorEastAsia"/>
          <w:b w:val="0"/>
          <w:bCs w:val="0"/>
          <w:color w:val="auto"/>
          <w:sz w:val="24"/>
          <w:szCs w:val="24"/>
          <w:highlight w:val="none"/>
        </w:rPr>
        <w:t>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产品必须符合下列文件中的条款，凡是不注日期的引用文件，其最新版本适用于本标准。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GB7000.1灯具 第1部分：一般要求与试验。</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GB7000.201灯具 第2-1部分：特殊要求 固定式通用灯具。</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GB7000.203灯具第2-3部分：特殊要求 道路与街路照明灯具。</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GB/T10485道路车辆—外部照明和光信号装置环境耐久性第二部分第15条中对透光罩的要求。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 4208外壳防护等级（IP代码）。</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 4208外壳防护等级（IP代码）。</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 17743电气照明和类似设备的无线电骚扰特性的限值和测量方法。</w:t>
      </w:r>
    </w:p>
    <w:p>
      <w:pPr>
        <w:pageBreakBefore w:val="0"/>
        <w:kinsoku/>
        <w:wordWrap/>
        <w:overflowPunct/>
        <w:topLinePunct w:val="0"/>
        <w:autoSpaceDE/>
        <w:autoSpaceDN/>
        <w:bidi w:val="0"/>
        <w:snapToGrid w:val="0"/>
        <w:spacing w:line="57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lang w:val="en-US" w:eastAsia="zh-CN"/>
        </w:rPr>
        <w:t>GB l7625.1</w:t>
      </w:r>
      <w:r>
        <w:rPr>
          <w:rFonts w:hint="eastAsia" w:asciiTheme="minorEastAsia" w:hAnsiTheme="minorEastAsia" w:eastAsiaTheme="minorEastAsia" w:cstheme="minorEastAsia"/>
          <w:color w:val="auto"/>
          <w:sz w:val="24"/>
          <w:szCs w:val="24"/>
          <w:highlight w:val="none"/>
        </w:rPr>
        <w:t>电磁兼容限值谐波电流发射限值</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(设备每相输入电流≤16A)。</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QB/T1551灯具油漆涂层。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QB/T3741灯具电镀、化学覆盖层。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CJJ45城市道路照明设计标准。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GB-T1804</w:t>
      </w:r>
      <w:r>
        <w:rPr>
          <w:rFonts w:hint="eastAsia" w:asciiTheme="minorEastAsia" w:hAnsiTheme="minorEastAsia" w:eastAsiaTheme="minorEastAsia" w:cstheme="minorEastAsia"/>
          <w:color w:val="auto"/>
          <w:sz w:val="24"/>
          <w:szCs w:val="24"/>
          <w:highlight w:val="none"/>
          <w:lang w:val="en-US" w:eastAsia="zh-CN"/>
        </w:rPr>
        <w:t>一般公差 未注公差的线性和角度尺寸的公差</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其他国家及江苏省现行标准规范、图集等；以及相关的灯具的现行的国家规范和标准。</w:t>
      </w:r>
      <w:bookmarkStart w:id="4" w:name="_Toc22741"/>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（三）整灯（含灯具、灯杆等）外形示意图</w:t>
      </w:r>
      <w:bookmarkEnd w:id="4"/>
    </w:p>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sz w:val="24"/>
        </w:rPr>
        <w:drawing>
          <wp:anchor distT="0" distB="0" distL="114300" distR="114300" simplePos="0" relativeHeight="251661312" behindDoc="1" locked="0" layoutInCell="1" allowOverlap="1">
            <wp:simplePos x="0" y="0"/>
            <wp:positionH relativeFrom="column">
              <wp:posOffset>1595755</wp:posOffset>
            </wp:positionH>
            <wp:positionV relativeFrom="paragraph">
              <wp:posOffset>211455</wp:posOffset>
            </wp:positionV>
            <wp:extent cx="2092960" cy="3767455"/>
            <wp:effectExtent l="0" t="0" r="40640" b="42545"/>
            <wp:wrapTight wrapText="bothSides">
              <wp:wrapPolygon>
                <wp:start x="0" y="0"/>
                <wp:lineTo x="0" y="21516"/>
                <wp:lineTo x="21430" y="21516"/>
                <wp:lineTo x="21430"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2092960" cy="3767455"/>
                    </a:xfrm>
                    <a:prstGeom prst="rect">
                      <a:avLst/>
                    </a:prstGeom>
                    <a:noFill/>
                    <a:ln>
                      <a:noFill/>
                    </a:ln>
                  </pic:spPr>
                </pic:pic>
              </a:graphicData>
            </a:graphic>
          </wp:anchor>
        </w:drawing>
      </w:r>
    </w:p>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b/>
          <w:color w:val="auto"/>
          <w:sz w:val="24"/>
          <w:szCs w:val="24"/>
          <w:highlight w:val="none"/>
          <w:lang w:eastAsia="zh-CN"/>
        </w:rPr>
      </w:pPr>
    </w:p>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b/>
          <w:color w:val="auto"/>
          <w:sz w:val="24"/>
          <w:szCs w:val="24"/>
          <w:highlight w:val="none"/>
        </w:rPr>
      </w:pPr>
    </w:p>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b/>
          <w:color w:val="auto"/>
          <w:sz w:val="24"/>
          <w:szCs w:val="24"/>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u w:val="none"/>
          <w:lang w:val="en-US" w:eastAsia="zh-CN"/>
        </w:rPr>
        <w:t>(外形示意图)</w:t>
      </w:r>
      <w:bookmarkStart w:id="5" w:name="_Toc92188482"/>
    </w:p>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三、庭院灯技术要求</w:t>
      </w:r>
      <w:bookmarkEnd w:id="5"/>
    </w:p>
    <w:p>
      <w:pPr>
        <w:pageBreakBefore w:val="0"/>
        <w:kinsoku/>
        <w:wordWrap/>
        <w:overflowPunct/>
        <w:topLinePunct w:val="0"/>
        <w:autoSpaceDE/>
        <w:autoSpaceDN/>
        <w:bidi w:val="0"/>
        <w:snapToGrid w:val="0"/>
        <w:spacing w:line="570" w:lineRule="exact"/>
        <w:ind w:left="0" w:leftChars="0" w:firstLine="314" w:firstLineChars="131"/>
        <w:jc w:val="left"/>
        <w:textAlignment w:val="auto"/>
        <w:rPr>
          <w:rFonts w:hint="eastAsia" w:asciiTheme="minorEastAsia" w:hAnsiTheme="minorEastAsia" w:eastAsiaTheme="minorEastAsia" w:cstheme="minorEastAsia"/>
          <w:color w:val="auto"/>
          <w:sz w:val="24"/>
          <w:szCs w:val="24"/>
          <w:highlight w:val="none"/>
        </w:rPr>
      </w:pPr>
      <w:bookmarkStart w:id="6" w:name="_Toc14090"/>
      <w:r>
        <w:rPr>
          <w:rFonts w:hint="eastAsia" w:asciiTheme="minorEastAsia" w:hAnsiTheme="minorEastAsia" w:eastAsiaTheme="minorEastAsia" w:cstheme="minorEastAsia"/>
          <w:color w:val="auto"/>
          <w:sz w:val="24"/>
          <w:szCs w:val="24"/>
          <w:highlight w:val="none"/>
        </w:rPr>
        <w:t>（一）灯具部分的具体要求</w:t>
      </w:r>
      <w:bookmarkEnd w:id="6"/>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7" w:name="_Toc4110"/>
      <w:bookmarkStart w:id="8" w:name="_Toc13723"/>
      <w:bookmarkStart w:id="9" w:name="_Toc7829"/>
      <w:bookmarkStart w:id="10" w:name="_Toc328"/>
      <w:bookmarkStart w:id="11" w:name="_Toc23425"/>
      <w:bookmarkStart w:id="12" w:name="_Toc28447"/>
      <w:bookmarkStart w:id="13" w:name="_Toc1176"/>
      <w:bookmarkStart w:id="14" w:name="_Toc6546"/>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highlight w:val="none"/>
        </w:rPr>
        <w:t>外形尺寸和外观质量</w:t>
      </w:r>
      <w:bookmarkEnd w:id="7"/>
      <w:bookmarkEnd w:id="8"/>
      <w:bookmarkEnd w:id="9"/>
      <w:bookmarkEnd w:id="10"/>
      <w:bookmarkEnd w:id="11"/>
      <w:bookmarkEnd w:id="12"/>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灯具外形尺寸</w:t>
      </w:r>
      <w:r>
        <w:rPr>
          <w:rFonts w:hint="eastAsia" w:asciiTheme="minorEastAsia" w:hAnsiTheme="minorEastAsia" w:eastAsiaTheme="minorEastAsia" w:cstheme="minorEastAsia"/>
          <w:color w:val="auto"/>
          <w:sz w:val="24"/>
          <w:szCs w:val="24"/>
          <w:highlight w:val="none"/>
          <w:lang w:val="en-US" w:eastAsia="zh-CN"/>
        </w:rPr>
        <w:t>见</w:t>
      </w:r>
      <w:r>
        <w:rPr>
          <w:rFonts w:hint="eastAsia" w:asciiTheme="minorEastAsia" w:hAnsiTheme="minorEastAsia" w:eastAsiaTheme="minorEastAsia" w:cstheme="minorEastAsia"/>
          <w:color w:val="auto"/>
          <w:sz w:val="24"/>
          <w:szCs w:val="24"/>
          <w:highlight w:val="none"/>
        </w:rPr>
        <w:t>灯</w:t>
      </w:r>
      <w:r>
        <w:rPr>
          <w:rFonts w:hint="eastAsia" w:asciiTheme="minorEastAsia" w:hAnsiTheme="minorEastAsia" w:eastAsiaTheme="minorEastAsia" w:cstheme="minorEastAsia"/>
          <w:color w:val="auto"/>
          <w:sz w:val="24"/>
          <w:szCs w:val="24"/>
          <w:highlight w:val="none"/>
          <w:lang w:val="en-US" w:eastAsia="zh-CN"/>
        </w:rPr>
        <w:t>具</w:t>
      </w:r>
      <w:r>
        <w:rPr>
          <w:rFonts w:hint="eastAsia" w:asciiTheme="minorEastAsia" w:hAnsiTheme="minorEastAsia" w:eastAsiaTheme="minorEastAsia" w:cstheme="minorEastAsia"/>
          <w:color w:val="auto"/>
          <w:sz w:val="24"/>
          <w:szCs w:val="24"/>
          <w:highlight w:val="none"/>
        </w:rPr>
        <w:t>技术参数表。</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灯具外观需与图片一致（见下文附图）。</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灯具的表面应光滑，以防污物堆积和便于清洗，无损伤、变形、涂层剥落，透光罩应无气泡、明显划痕和裂纹等缺陷，灯杆表面喷超耐侯防涂鸦涂料。</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15" w:name="_Toc1199"/>
      <w:bookmarkStart w:id="16" w:name="_Toc4530"/>
      <w:bookmarkStart w:id="17" w:name="_Toc19104"/>
      <w:bookmarkStart w:id="18" w:name="_Toc28868"/>
      <w:r>
        <w:rPr>
          <w:rFonts w:hint="eastAsia" w:asciiTheme="minorEastAsia" w:hAnsiTheme="minorEastAsia" w:eastAsiaTheme="minorEastAsia" w:cstheme="minorEastAsia"/>
          <w:b/>
          <w:bCs/>
          <w:color w:val="auto"/>
          <w:sz w:val="24"/>
          <w:szCs w:val="24"/>
          <w:highlight w:val="none"/>
        </w:rPr>
        <w:t>2．安全要求</w:t>
      </w:r>
      <w:bookmarkEnd w:id="13"/>
      <w:bookmarkEnd w:id="14"/>
      <w:bookmarkEnd w:id="15"/>
      <w:bookmarkEnd w:id="16"/>
      <w:bookmarkEnd w:id="17"/>
      <w:bookmarkEnd w:id="18"/>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19" w:name="_Toc10142"/>
      <w:bookmarkStart w:id="20" w:name="_Toc29147"/>
      <w:bookmarkStart w:id="21" w:name="_Toc16557"/>
      <w:bookmarkStart w:id="22" w:name="_Toc23696"/>
      <w:bookmarkStart w:id="23" w:name="_Toc10606"/>
      <w:bookmarkStart w:id="24" w:name="_Toc16367"/>
      <w:r>
        <w:rPr>
          <w:rFonts w:hint="eastAsia" w:asciiTheme="minorEastAsia" w:hAnsiTheme="minorEastAsia" w:eastAsiaTheme="minorEastAsia" w:cstheme="minorEastAsia"/>
          <w:color w:val="auto"/>
          <w:sz w:val="24"/>
          <w:szCs w:val="24"/>
          <w:highlight w:val="none"/>
        </w:rPr>
        <w:t>灯具应符合GB7000.1及GB7000.203的要求。当GB7000.1及GB7000.203与“灯具一般要求”有冲突时，以“灯具一般要求”为准。</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3．光源要求</w:t>
      </w:r>
      <w:bookmarkEnd w:id="19"/>
      <w:bookmarkEnd w:id="20"/>
      <w:bookmarkEnd w:id="21"/>
      <w:bookmarkEnd w:id="22"/>
      <w:bookmarkEnd w:id="23"/>
      <w:bookmarkEnd w:id="24"/>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LED颗粒应满足拥有LM-80认证，采用原厂封装芯片，不得采用集成式芯片，交货前须附原厂供货证明。采用全模块化结构设计，模块可以现场拆换，每个LED模块具有独立的散热、防水和配光，可随意组合。</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25" w:name="_Toc2167"/>
      <w:bookmarkStart w:id="26" w:name="_Toc19980"/>
      <w:bookmarkStart w:id="27" w:name="_Toc30033"/>
      <w:bookmarkStart w:id="28" w:name="_Toc4270"/>
      <w:bookmarkStart w:id="29" w:name="_Toc31812"/>
      <w:bookmarkStart w:id="30" w:name="_Toc18961"/>
      <w:r>
        <w:rPr>
          <w:rFonts w:hint="eastAsia" w:asciiTheme="minorEastAsia" w:hAnsiTheme="minorEastAsia" w:eastAsiaTheme="minorEastAsia" w:cstheme="minorEastAsia"/>
          <w:b/>
          <w:bCs/>
          <w:color w:val="auto"/>
          <w:sz w:val="24"/>
          <w:szCs w:val="24"/>
          <w:highlight w:val="none"/>
        </w:rPr>
        <w:t>4．灯具一般要求</w:t>
      </w:r>
      <w:bookmarkEnd w:id="25"/>
      <w:bookmarkEnd w:id="26"/>
      <w:bookmarkEnd w:id="27"/>
      <w:bookmarkEnd w:id="28"/>
      <w:bookmarkEnd w:id="29"/>
      <w:bookmarkEnd w:id="30"/>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灯具散热设计要先进合理，灯具适应温度：-40℃～+</w:t>
      </w:r>
      <w:r>
        <w:rPr>
          <w:rFonts w:hint="eastAsia" w:asciiTheme="minorEastAsia" w:hAnsiTheme="minorEastAsia" w:eastAsiaTheme="minorEastAsia" w:cstheme="minorEastAsia"/>
          <w:color w:val="auto"/>
          <w:sz w:val="24"/>
          <w:szCs w:val="24"/>
          <w:highlight w:val="none"/>
          <w:lang w:val="en-US" w:eastAsia="zh-CN"/>
        </w:rPr>
        <w:t>50</w:t>
      </w:r>
      <w:r>
        <w:rPr>
          <w:rFonts w:hint="eastAsia" w:asciiTheme="minorEastAsia" w:hAnsiTheme="minorEastAsia" w:eastAsiaTheme="minorEastAsia" w:cstheme="minorEastAsia"/>
          <w:color w:val="auto"/>
          <w:sz w:val="24"/>
          <w:szCs w:val="24"/>
          <w:highlight w:val="none"/>
        </w:rPr>
        <w:t>℃。灯具工作湿度环境：≤95%RH。</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灯具引出线为</w:t>
      </w:r>
      <w:r>
        <w:rPr>
          <w:rFonts w:hint="eastAsia" w:asciiTheme="minorEastAsia" w:hAnsiTheme="minorEastAsia" w:eastAsiaTheme="minorEastAsia" w:cstheme="minorEastAsia"/>
          <w:color w:val="auto"/>
          <w:sz w:val="24"/>
          <w:szCs w:val="24"/>
          <w:highlight w:val="none"/>
          <w:lang w:val="en-US" w:eastAsia="zh-CN"/>
        </w:rPr>
        <w:t>RVV3×2.5</w:t>
      </w:r>
      <w:r>
        <w:rPr>
          <w:rFonts w:hint="eastAsia" w:asciiTheme="minorEastAsia" w:hAnsiTheme="minorEastAsia" w:eastAsiaTheme="minorEastAsia" w:cstheme="minorEastAsia"/>
          <w:color w:val="auto"/>
          <w:sz w:val="24"/>
          <w:szCs w:val="24"/>
          <w:highlight w:val="none"/>
        </w:rPr>
        <w:t>mm² </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mm²，长度不小于灯杆高度，芯线颜色必须符合国标要求，且有明显区别。接头必须具有防水措施、连接方便易操作。</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有针对感应雷击及静电的专用防护元件，器件性能符合IEC61000-4（Level 4）的检测标准。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灯具的浪涌保护器应独立设置，电压保护水平Up输出值应小于控制装置的抗浪涌电压，且不应大于2KV，接线应具有防误接措施。共模抗浪涌电压不应低于10KV，差模抗浪涌电压不应低于5KV。</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LED灯具的寿命应不小于30000h。 LED灯具在正常工作6000h的光通维持率不应小于97%。正常工作12000h的光通量维持率不应小于90%。同时灯具在正常工作12000h内年损坏率不应高于1%，12000h~25000h内年损坏率不应高于3%。</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电器绝缘等级：Class I。</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31" w:name="_Toc7064"/>
      <w:bookmarkStart w:id="32" w:name="_Toc25052"/>
      <w:bookmarkStart w:id="33" w:name="_Toc15203"/>
      <w:bookmarkStart w:id="34" w:name="_Toc17624"/>
      <w:bookmarkStart w:id="35" w:name="_Toc27516"/>
      <w:bookmarkStart w:id="36" w:name="_Toc14136"/>
      <w:r>
        <w:rPr>
          <w:rFonts w:hint="eastAsia" w:asciiTheme="minorEastAsia" w:hAnsiTheme="minorEastAsia" w:eastAsiaTheme="minorEastAsia" w:cstheme="minorEastAsia"/>
          <w:b/>
          <w:bCs/>
          <w:color w:val="auto"/>
          <w:sz w:val="24"/>
          <w:szCs w:val="24"/>
          <w:highlight w:val="none"/>
        </w:rPr>
        <w:t>5．材料要求</w:t>
      </w:r>
      <w:bookmarkEnd w:id="31"/>
      <w:bookmarkEnd w:id="32"/>
      <w:bookmarkEnd w:id="33"/>
      <w:bookmarkEnd w:id="34"/>
      <w:bookmarkEnd w:id="35"/>
      <w:bookmarkEnd w:id="36"/>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灯具所采用的电线(缆)、LED和其他电子部件均应符合相应的国家标准或行业标准的规定要求。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灯具的插销、铰链、螺钉和其他外部构件应用304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不锈钢制成，其安装构件应不受混凝土的化学反应腐蚀。</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灯具密封件应耐温、耐老化和耐道路上可能出现的腐蚀性气体，并应方便更换。</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37" w:name="_Toc22548"/>
      <w:bookmarkStart w:id="38" w:name="_Toc3035"/>
      <w:bookmarkStart w:id="39" w:name="_Toc21146"/>
      <w:bookmarkStart w:id="40" w:name="_Toc23148"/>
      <w:r>
        <w:rPr>
          <w:rFonts w:hint="eastAsia" w:asciiTheme="minorEastAsia" w:hAnsiTheme="minorEastAsia" w:eastAsiaTheme="minorEastAsia" w:cstheme="minorEastAsia"/>
          <w:b/>
          <w:bCs/>
          <w:color w:val="auto"/>
          <w:sz w:val="24"/>
          <w:szCs w:val="24"/>
          <w:highlight w:val="none"/>
        </w:rPr>
        <w:t>6．结构要求</w:t>
      </w:r>
      <w:bookmarkEnd w:id="37"/>
      <w:bookmarkEnd w:id="38"/>
      <w:bookmarkEnd w:id="39"/>
      <w:bookmarkEnd w:id="40"/>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灯具应安装方便，安装角度应能灵活调节。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灯具应有特设的导线出(入)口密封装置，该装置为304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不锈钢材料或铜材质。</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灯具内应有电源接线端子，外部接线和内部接线穿过硬质材料时应有保护措施。</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41" w:name="_Toc1906"/>
      <w:bookmarkStart w:id="42" w:name="_Toc2219"/>
      <w:bookmarkStart w:id="43" w:name="_Toc24603"/>
      <w:bookmarkStart w:id="44" w:name="_Toc27482"/>
      <w:bookmarkStart w:id="45" w:name="_Toc17082"/>
      <w:bookmarkStart w:id="46" w:name="_Toc24577"/>
      <w:r>
        <w:rPr>
          <w:rFonts w:hint="eastAsia" w:asciiTheme="minorEastAsia" w:hAnsiTheme="minorEastAsia" w:eastAsiaTheme="minorEastAsia" w:cstheme="minorEastAsia"/>
          <w:b/>
          <w:bCs/>
          <w:color w:val="auto"/>
          <w:sz w:val="24"/>
          <w:szCs w:val="24"/>
          <w:highlight w:val="none"/>
        </w:rPr>
        <w:t>7．灯具驱动电源的要求</w:t>
      </w:r>
      <w:bookmarkEnd w:id="41"/>
      <w:bookmarkEnd w:id="42"/>
      <w:bookmarkEnd w:id="43"/>
      <w:bookmarkEnd w:id="44"/>
      <w:bookmarkEnd w:id="45"/>
      <w:bookmarkEnd w:id="46"/>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驱动电源</w:t>
      </w:r>
      <w:r>
        <w:rPr>
          <w:rFonts w:hint="eastAsia" w:asciiTheme="minorEastAsia" w:hAnsiTheme="minorEastAsia" w:eastAsiaTheme="minorEastAsia" w:cstheme="minorEastAsia"/>
          <w:color w:val="auto"/>
          <w:sz w:val="24"/>
          <w:szCs w:val="24"/>
          <w:highlight w:val="none"/>
          <w:lang w:val="en-US" w:eastAsia="zh-CN"/>
        </w:rPr>
        <w:t>可实现0-10V无极调光。</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（3）驱动电源需确保可接受采购方单灯控制器控制。</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（4）驱动电源防护等级不低于IP65。</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47" w:name="_Toc6094"/>
      <w:bookmarkStart w:id="48" w:name="_Toc9364"/>
      <w:r>
        <w:rPr>
          <w:rFonts w:hint="eastAsia" w:asciiTheme="minorEastAsia" w:hAnsiTheme="minorEastAsia" w:eastAsiaTheme="minorEastAsia" w:cstheme="minorEastAsia"/>
          <w:b/>
          <w:bCs/>
          <w:color w:val="auto"/>
          <w:sz w:val="24"/>
          <w:szCs w:val="24"/>
          <w:highlight w:val="none"/>
        </w:rPr>
        <w:t>8．电磁兼容等要求</w:t>
      </w:r>
      <w:bookmarkEnd w:id="47"/>
      <w:bookmarkEnd w:id="48"/>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灯具的无线电骚扰特性应符合GB/T 17743的要求。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灯具电磁兼容抗扰度应符合GB/T 18595 的要求。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灯具的输入电流谐波应符合GB l7625.1的要求。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LED电子控制装置应采用高压输出的LED电子控制装置，输出电流不超过1.5A。并应符合GB 19510.14的规定。</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LED灯具的蓝光控制应符合GB 7000.1的规定。</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49" w:name="_Toc21333"/>
      <w:bookmarkStart w:id="50" w:name="_Toc23592"/>
      <w:bookmarkStart w:id="51" w:name="_Toc2186"/>
      <w:bookmarkStart w:id="52" w:name="_Toc10479"/>
      <w:bookmarkStart w:id="53" w:name="_Toc8155"/>
      <w:bookmarkStart w:id="54" w:name="_Toc15302"/>
      <w:r>
        <w:rPr>
          <w:rFonts w:hint="eastAsia" w:asciiTheme="minorEastAsia" w:hAnsiTheme="minorEastAsia" w:eastAsiaTheme="minorEastAsia" w:cstheme="minorEastAsia"/>
          <w:b/>
          <w:bCs/>
          <w:color w:val="auto"/>
          <w:sz w:val="24"/>
          <w:szCs w:val="24"/>
          <w:highlight w:val="none"/>
        </w:rPr>
        <w:t>9．耐腐蚀性</w:t>
      </w:r>
      <w:bookmarkEnd w:id="49"/>
      <w:bookmarkEnd w:id="50"/>
      <w:bookmarkEnd w:id="51"/>
      <w:bookmarkEnd w:id="52"/>
      <w:bookmarkEnd w:id="53"/>
      <w:bookmarkEnd w:id="54"/>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w:t>
      </w:r>
      <w:r>
        <w:rPr>
          <w:rFonts w:hint="eastAsia" w:asciiTheme="minorEastAsia" w:hAnsiTheme="minorEastAsia" w:eastAsiaTheme="minorEastAsia" w:cstheme="minorEastAsia"/>
          <w:color w:val="auto"/>
          <w:sz w:val="24"/>
          <w:szCs w:val="24"/>
          <w:highlight w:val="none"/>
          <w:lang w:val="en-US" w:eastAsia="zh-CN"/>
        </w:rPr>
        <w:t>或PC</w:t>
      </w:r>
      <w:r>
        <w:rPr>
          <w:rFonts w:hint="eastAsia" w:asciiTheme="minorEastAsia" w:hAnsiTheme="minorEastAsia" w:eastAsiaTheme="minorEastAsia" w:cstheme="minorEastAsia"/>
          <w:color w:val="auto"/>
          <w:sz w:val="24"/>
          <w:szCs w:val="24"/>
          <w:highlight w:val="none"/>
        </w:rPr>
        <w:t>材料部分保证5年不发黄（如有）。</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55" w:name="_Toc21272"/>
      <w:r>
        <w:rPr>
          <w:rFonts w:hint="eastAsia" w:asciiTheme="minorEastAsia" w:hAnsiTheme="minorEastAsia" w:eastAsiaTheme="minorEastAsia" w:cstheme="minorEastAsia"/>
          <w:b/>
          <w:bCs/>
          <w:color w:val="auto"/>
          <w:sz w:val="24"/>
          <w:szCs w:val="24"/>
          <w:highlight w:val="none"/>
        </w:rPr>
        <w:t>10．庭院灯灯</w:t>
      </w:r>
      <w:r>
        <w:rPr>
          <w:rFonts w:hint="eastAsia" w:asciiTheme="minorEastAsia" w:hAnsiTheme="minorEastAsia" w:eastAsiaTheme="minorEastAsia" w:cstheme="minorEastAsia"/>
          <w:b/>
          <w:bCs/>
          <w:color w:val="auto"/>
          <w:sz w:val="24"/>
          <w:szCs w:val="24"/>
          <w:highlight w:val="none"/>
          <w:lang w:val="en-US" w:eastAsia="zh-CN"/>
        </w:rPr>
        <w:t>具</w:t>
      </w:r>
      <w:r>
        <w:rPr>
          <w:rFonts w:hint="eastAsia" w:asciiTheme="minorEastAsia" w:hAnsiTheme="minorEastAsia" w:eastAsiaTheme="minorEastAsia" w:cstheme="minorEastAsia"/>
          <w:b/>
          <w:bCs/>
          <w:color w:val="auto"/>
          <w:sz w:val="24"/>
          <w:szCs w:val="24"/>
          <w:highlight w:val="none"/>
        </w:rPr>
        <w:t>详细技术参数要求</w:t>
      </w:r>
      <w:bookmarkEnd w:id="55"/>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庭院灯灯</w:t>
      </w:r>
      <w:r>
        <w:rPr>
          <w:rFonts w:hint="eastAsia" w:asciiTheme="minorEastAsia" w:hAnsiTheme="minorEastAsia" w:eastAsiaTheme="minorEastAsia" w:cstheme="minorEastAsia"/>
          <w:color w:val="auto"/>
          <w:sz w:val="24"/>
          <w:szCs w:val="24"/>
          <w:highlight w:val="none"/>
          <w:lang w:val="en-US" w:eastAsia="zh-CN"/>
        </w:rPr>
        <w:t>具</w:t>
      </w:r>
      <w:r>
        <w:rPr>
          <w:rFonts w:hint="eastAsia" w:asciiTheme="minorEastAsia" w:hAnsiTheme="minorEastAsia" w:eastAsiaTheme="minorEastAsia" w:cstheme="minorEastAsia"/>
          <w:color w:val="auto"/>
          <w:sz w:val="24"/>
          <w:szCs w:val="24"/>
          <w:highlight w:val="none"/>
        </w:rPr>
        <w:t>技术参数表</w:t>
      </w:r>
    </w:p>
    <w:tbl>
      <w:tblPr>
        <w:tblStyle w:val="9"/>
        <w:tblW w:w="8371"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1"/>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71" w:type="dxa"/>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5火LED50W庭院灯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8371" w:type="dxa"/>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透光罩：抗紫外线聚碳酸酯(PC)一体注塑成型透光罩（乳白透光罩）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061" w:type="dxa"/>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光源：LED</w:t>
            </w:r>
          </w:p>
        </w:tc>
        <w:tc>
          <w:tcPr>
            <w:tcW w:w="4310" w:type="dxa"/>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w:t>
            </w:r>
            <w:r>
              <w:rPr>
                <w:rFonts w:hint="eastAsia" w:asciiTheme="minorEastAsia" w:hAnsiTheme="minorEastAsia" w:eastAsiaTheme="minorEastAsia" w:cstheme="minorEastAsia"/>
                <w:color w:val="auto"/>
                <w:sz w:val="24"/>
                <w:szCs w:val="24"/>
                <w:highlight w:val="none"/>
              </w:rPr>
              <w:t>灯系统总功率：≤</w:t>
            </w:r>
            <w:r>
              <w:rPr>
                <w:rFonts w:hint="eastAsia" w:asciiTheme="minorEastAsia" w:hAnsiTheme="minorEastAsia" w:eastAsiaTheme="minorEastAsia" w:cstheme="minorEastAsia"/>
                <w:color w:val="auto"/>
                <w:sz w:val="24"/>
                <w:szCs w:val="24"/>
                <w:highlight w:val="none"/>
                <w:lang w:val="en-US" w:eastAsia="zh-CN"/>
              </w:rPr>
              <w:t>50</w:t>
            </w:r>
            <w:r>
              <w:rPr>
                <w:rFonts w:hint="eastAsia" w:asciiTheme="minorEastAsia" w:hAnsiTheme="minorEastAsia" w:eastAsiaTheme="minorEastAsia" w:cstheme="minorEastAsia"/>
                <w:color w:val="auto"/>
                <w:sz w:val="24"/>
                <w:szCs w:val="24"/>
                <w:highlight w:val="none"/>
              </w:rPr>
              <w:t xml:space="preserv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8371" w:type="dxa"/>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w:t>
            </w:r>
            <w:r>
              <w:rPr>
                <w:rFonts w:hint="eastAsia" w:asciiTheme="minorEastAsia" w:hAnsiTheme="minorEastAsia" w:eastAsiaTheme="minorEastAsia" w:cstheme="minorEastAsia"/>
                <w:color w:val="auto"/>
                <w:sz w:val="24"/>
                <w:szCs w:val="24"/>
                <w:highlight w:val="none"/>
              </w:rPr>
              <w:t>灯光效:≥</w:t>
            </w:r>
            <w:r>
              <w:rPr>
                <w:rFonts w:hint="eastAsia" w:asciiTheme="minorEastAsia" w:hAnsiTheme="minorEastAsia" w:eastAsiaTheme="minorEastAsia" w:cstheme="minorEastAsia"/>
                <w:color w:val="auto"/>
                <w:sz w:val="24"/>
                <w:szCs w:val="24"/>
                <w:highlight w:val="none"/>
                <w:lang w:val="en-US" w:eastAsia="zh-CN"/>
              </w:rPr>
              <w:t>120l</w:t>
            </w:r>
            <w:r>
              <w:rPr>
                <w:rFonts w:hint="eastAsia" w:asciiTheme="minorEastAsia" w:hAnsiTheme="minorEastAsia" w:eastAsiaTheme="minorEastAsia" w:cstheme="minorEastAsia"/>
                <w:color w:val="auto"/>
                <w:sz w:val="24"/>
                <w:szCs w:val="24"/>
                <w:highlight w:val="none"/>
              </w:rPr>
              <w:t>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061" w:type="dxa"/>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显色指数:(CRI)≥70</w:t>
            </w:r>
          </w:p>
        </w:tc>
        <w:tc>
          <w:tcPr>
            <w:tcW w:w="4310" w:type="dxa"/>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灯具色容差:≤</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SDCM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061" w:type="dxa"/>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单灯功率因数:≥0.90</w:t>
            </w:r>
          </w:p>
        </w:tc>
        <w:tc>
          <w:tcPr>
            <w:tcW w:w="4310" w:type="dxa"/>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整灯防护等级：≥IP65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61" w:type="dxa"/>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色温： 3000K±</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00K</w:t>
            </w:r>
          </w:p>
        </w:tc>
        <w:tc>
          <w:tcPr>
            <w:tcW w:w="4310" w:type="dxa"/>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输入电压：176-264V/50-60Hz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8371" w:type="dxa"/>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灯具外</w:t>
            </w:r>
            <w:r>
              <w:rPr>
                <w:rFonts w:hint="eastAsia" w:asciiTheme="minorEastAsia" w:hAnsiTheme="minorEastAsia" w:eastAsiaTheme="minorEastAsia" w:cstheme="minorEastAsia"/>
                <w:color w:val="auto"/>
                <w:sz w:val="24"/>
                <w:szCs w:val="24"/>
                <w:highlight w:val="none"/>
                <w:lang w:val="en-US" w:eastAsia="zh-CN"/>
              </w:rPr>
              <w:t>型如下图一致，</w:t>
            </w:r>
            <w:r>
              <w:rPr>
                <w:rFonts w:hint="eastAsia" w:asciiTheme="minorEastAsia" w:hAnsiTheme="minorEastAsia" w:eastAsiaTheme="minorEastAsia" w:cstheme="minorEastAsia"/>
                <w:color w:val="auto"/>
                <w:sz w:val="24"/>
                <w:szCs w:val="24"/>
                <w:highlight w:val="none"/>
              </w:rPr>
              <w:t>尺寸如图（误差不超过10%）</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3" w:hRule="atLeast"/>
        </w:trPr>
        <w:tc>
          <w:tcPr>
            <w:tcW w:w="8371" w:type="dxa"/>
            <w:gridSpan w:val="2"/>
            <w:noWrap w:val="0"/>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sz w:val="24"/>
              </w:rPr>
              <w:drawing>
                <wp:inline distT="0" distB="0" distL="114300" distR="114300">
                  <wp:extent cx="3207385" cy="4306570"/>
                  <wp:effectExtent l="0" t="0" r="12065" b="177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3207385" cy="4306570"/>
                          </a:xfrm>
                          <a:prstGeom prst="rect">
                            <a:avLst/>
                          </a:prstGeom>
                          <a:noFill/>
                          <a:ln>
                            <a:noFill/>
                          </a:ln>
                        </pic:spPr>
                      </pic:pic>
                    </a:graphicData>
                  </a:graphic>
                </wp:inline>
              </w:drawing>
            </w:r>
          </w:p>
          <w:p>
            <w:pPr>
              <w:pageBreakBefore w:val="0"/>
              <w:kinsoku/>
              <w:wordWrap/>
              <w:overflowPunct/>
              <w:topLinePunct w:val="0"/>
              <w:autoSpaceDE/>
              <w:autoSpaceDN/>
              <w:bidi w:val="0"/>
              <w:spacing w:line="240" w:lineRule="auto"/>
              <w:jc w:val="left"/>
              <w:textAlignment w:val="auto"/>
              <w:rPr>
                <w:rFonts w:hint="eastAsia" w:asciiTheme="minorEastAsia" w:hAnsiTheme="minorEastAsia" w:eastAsiaTheme="minorEastAsia" w:cstheme="minorEastAsia"/>
                <w:color w:val="auto"/>
                <w:sz w:val="24"/>
                <w:szCs w:val="24"/>
                <w:highlight w:val="none"/>
                <w:lang w:eastAsia="zh-CN"/>
              </w:rPr>
            </w:pPr>
          </w:p>
          <w:p>
            <w:pPr>
              <w:pageBreakBefore w:val="0"/>
              <w:kinsoku/>
              <w:wordWrap/>
              <w:overflowPunct/>
              <w:topLinePunct w:val="0"/>
              <w:autoSpaceDE/>
              <w:autoSpaceDN/>
              <w:bidi w:val="0"/>
              <w:spacing w:line="240" w:lineRule="auto"/>
              <w:jc w:val="left"/>
              <w:textAlignment w:val="auto"/>
              <w:rPr>
                <w:rFonts w:hint="eastAsia" w:asciiTheme="minorEastAsia" w:hAnsiTheme="minorEastAsia" w:eastAsiaTheme="minorEastAsia" w:cstheme="minorEastAsia"/>
                <w:color w:val="auto"/>
                <w:sz w:val="24"/>
                <w:szCs w:val="24"/>
                <w:highlight w:val="none"/>
                <w:lang w:eastAsia="zh-CN"/>
              </w:rPr>
            </w:pPr>
          </w:p>
          <w:p>
            <w:pPr>
              <w:pageBreakBefore w:val="0"/>
              <w:kinsoku/>
              <w:wordWrap/>
              <w:overflowPunct/>
              <w:topLinePunct w:val="0"/>
              <w:autoSpaceDE/>
              <w:autoSpaceDN/>
              <w:bidi w:val="0"/>
              <w:spacing w:line="240" w:lineRule="auto"/>
              <w:jc w:val="left"/>
              <w:textAlignment w:val="auto"/>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8371" w:type="dxa"/>
            <w:gridSpan w:val="2"/>
            <w:noWrap w:val="0"/>
            <w:vAlign w:val="center"/>
          </w:tcPr>
          <w:p>
            <w:pPr>
              <w:pageBreakBefore w:val="0"/>
              <w:numPr>
                <w:ilvl w:val="0"/>
                <w:numId w:val="0"/>
              </w:numPr>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如尺寸图示，高压压铸铝YL113模具成型灯体，表面抛丸处理后喷涂室外专用塑粉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为保证灯具与灯杆的过度连续性和美观，灯具与灯杆连接处的压铸铝件接口外径尺寸必须满足，误差不能超过5mm。</w:t>
            </w:r>
          </w:p>
          <w:p>
            <w:pPr>
              <w:pageBreakBefore w:val="0"/>
              <w:numPr>
                <w:ilvl w:val="0"/>
                <w:numId w:val="0"/>
              </w:numPr>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灯具连接件材质为YL113（材质）高压压铸铝</w:t>
            </w:r>
            <w:r>
              <w:rPr>
                <w:rFonts w:hint="eastAsia" w:asciiTheme="minorEastAsia" w:hAnsiTheme="minorEastAsia" w:eastAsiaTheme="minorEastAsia" w:cstheme="minorEastAsia"/>
                <w:color w:val="auto"/>
                <w:sz w:val="24"/>
                <w:szCs w:val="24"/>
                <w:highlight w:val="none"/>
                <w:lang w:val="en-US" w:eastAsia="zh-CN"/>
              </w:rPr>
              <w:t>（内径为Φ76mm）</w:t>
            </w:r>
            <w:r>
              <w:rPr>
                <w:rFonts w:hint="eastAsia" w:asciiTheme="minorEastAsia" w:hAnsiTheme="minorEastAsia" w:eastAsiaTheme="minorEastAsia" w:cstheme="minorEastAsia"/>
                <w:color w:val="auto"/>
                <w:sz w:val="24"/>
                <w:szCs w:val="24"/>
                <w:highlight w:val="none"/>
              </w:rPr>
              <w:t>，壁厚不得小于3mm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连接件壁厚需结合灯具重量考虑，支钉螺丝紧固时连接件不得开裂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pageBreakBefore w:val="0"/>
              <w:numPr>
                <w:ilvl w:val="0"/>
                <w:numId w:val="0"/>
              </w:numPr>
              <w:kinsoku/>
              <w:wordWrap/>
              <w:overflowPunct/>
              <w:topLinePunct w:val="0"/>
              <w:autoSpaceDE/>
              <w:autoSpaceDN/>
              <w:bidi w:val="0"/>
              <w:adjustRightInd/>
              <w:snapToGrid/>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3.灯具为上开盖形式(上盖打开有限位装置，灯具维护时无需手扶上盖)。</w:t>
            </w:r>
            <w:r>
              <w:rPr>
                <w:rFonts w:hint="eastAsia" w:asciiTheme="minorEastAsia" w:hAnsiTheme="minorEastAsia" w:eastAsiaTheme="minorEastAsia" w:cstheme="minorEastAsia"/>
                <w:b w:val="0"/>
                <w:bCs w:val="0"/>
                <w:color w:val="000000"/>
                <w:sz w:val="24"/>
                <w:szCs w:val="24"/>
                <w:lang w:val="en-US" w:eastAsia="zh-CN"/>
              </w:rPr>
              <w:t>灯具</w:t>
            </w:r>
            <w:r>
              <w:rPr>
                <w:rFonts w:hint="eastAsia" w:asciiTheme="minorEastAsia" w:hAnsiTheme="minorEastAsia" w:eastAsiaTheme="minorEastAsia" w:cstheme="minorEastAsia"/>
                <w:b w:val="0"/>
                <w:bCs w:val="0"/>
                <w:color w:val="000000"/>
                <w:sz w:val="24"/>
                <w:szCs w:val="24"/>
              </w:rPr>
              <w:t>采用硅橡胶密封圈实现，不能使用胶水密封。</w:t>
            </w:r>
            <w:r>
              <w:rPr>
                <w:rFonts w:hint="eastAsia" w:asciiTheme="minorEastAsia" w:hAnsiTheme="minorEastAsia" w:eastAsiaTheme="minorEastAsia" w:cstheme="minorEastAsia"/>
                <w:color w:val="auto"/>
                <w:sz w:val="24"/>
                <w:szCs w:val="24"/>
                <w:highlight w:val="none"/>
                <w:lang w:val="en-US" w:eastAsia="zh-CN"/>
              </w:rPr>
              <w:t>灯具防护等级≥IP65，同时不得有蚊虫进入灯具的情况。（螺丝固定非限位装置和密封圈）</w:t>
            </w:r>
          </w:p>
          <w:p>
            <w:pPr>
              <w:pageBreakBefore w:val="0"/>
              <w:numPr>
                <w:ilvl w:val="0"/>
                <w:numId w:val="0"/>
              </w:numPr>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4.灯具内需敷设RVV3×2.5+2×1电线至灯杆检修门，其中3×2.5为电源线（芯线颜色为红、蓝及黄绿双色），2×1为控制线（芯线颜色为分别为红色(正极)及蓝色(负极)）。</w:t>
            </w:r>
          </w:p>
          <w:p>
            <w:pPr>
              <w:pageBreakBefore w:val="0"/>
              <w:numPr>
                <w:ilvl w:val="0"/>
                <w:numId w:val="0"/>
              </w:numPr>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5.驱动电源放置在灯杆内部检修门处(驱动电源应有独立的散热装置)，位置设置合理，拆装方便。灯具内线路排布美观且科学合理方便维修。电线接头须采用电线快速插拔接头。</w:t>
            </w:r>
          </w:p>
        </w:tc>
      </w:tr>
    </w:tbl>
    <w:p>
      <w:pPr>
        <w:spacing w:line="360" w:lineRule="auto"/>
        <w:ind w:firstLine="482" w:firstLineChars="200"/>
        <w:rPr>
          <w:rFonts w:hint="eastAsia" w:asciiTheme="minorEastAsia" w:hAnsiTheme="minorEastAsia" w:eastAsiaTheme="minorEastAsia" w:cstheme="minorEastAsia"/>
          <w:b/>
          <w:bCs/>
          <w:sz w:val="24"/>
          <w:szCs w:val="24"/>
          <w:lang w:val="en-US" w:eastAsia="zh-CN"/>
        </w:rPr>
      </w:pPr>
    </w:p>
    <w:p>
      <w:pPr>
        <w:widowControl w:val="0"/>
        <w:numPr>
          <w:ilvl w:val="0"/>
          <w:numId w:val="0"/>
        </w:numPr>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材质和工艺：高压铸铝</w:t>
      </w:r>
      <w:r>
        <w:rPr>
          <w:rFonts w:hint="eastAsia" w:asciiTheme="minorEastAsia" w:hAnsiTheme="minorEastAsia" w:eastAsiaTheme="minorEastAsia" w:cstheme="minorEastAsia"/>
          <w:color w:val="auto"/>
          <w:sz w:val="24"/>
          <w:szCs w:val="24"/>
        </w:rPr>
        <w:t>灯</w:t>
      </w:r>
      <w:r>
        <w:rPr>
          <w:rFonts w:hint="eastAsia" w:asciiTheme="minorEastAsia" w:hAnsiTheme="minorEastAsia" w:eastAsiaTheme="minorEastAsia" w:cstheme="minorEastAsia"/>
          <w:color w:val="auto"/>
          <w:sz w:val="24"/>
          <w:szCs w:val="24"/>
          <w:lang w:eastAsia="zh-CN"/>
        </w:rPr>
        <w:t>头，灯杆为精铸铝装饰件内主杆为钢制品。</w:t>
      </w:r>
    </w:p>
    <w:p>
      <w:pPr>
        <w:widowControl w:val="0"/>
        <w:numPr>
          <w:ilvl w:val="0"/>
          <w:numId w:val="0"/>
        </w:numPr>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灯具颜色：RAL7016,可根据业主要求调整。</w:t>
      </w:r>
    </w:p>
    <w:p>
      <w:pPr>
        <w:widowControl w:val="0"/>
        <w:numPr>
          <w:ilvl w:val="0"/>
          <w:numId w:val="0"/>
        </w:numPr>
        <w:spacing w:line="360" w:lineRule="auto"/>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附件：含所有安装所需附件。</w:t>
      </w:r>
    </w:p>
    <w:p>
      <w:pPr>
        <w:widowControl w:val="0"/>
        <w:numPr>
          <w:ilvl w:val="0"/>
          <w:numId w:val="0"/>
        </w:numPr>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9.灯具安装方式</w:t>
      </w:r>
      <w:r>
        <w:rPr>
          <w:rFonts w:hint="eastAsia" w:asciiTheme="minorEastAsia" w:hAnsiTheme="minorEastAsia" w:eastAsiaTheme="minorEastAsia" w:cstheme="minorEastAsia"/>
          <w:sz w:val="24"/>
          <w:szCs w:val="24"/>
        </w:rPr>
        <w:t>灯杆顶装</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snapToGrid w:val="0"/>
        <w:spacing w:line="570" w:lineRule="exact"/>
        <w:ind w:left="0" w:leftChars="0" w:firstLine="314" w:firstLineChars="131"/>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（二）灯杆部分的具体要求</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1．材质要求</w:t>
      </w:r>
    </w:p>
    <w:p>
      <w:pPr>
        <w:pStyle w:val="14"/>
        <w:snapToGrid w:val="0"/>
        <w:spacing w:line="360" w:lineRule="auto"/>
        <w:ind w:firstLine="48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灯杆尺寸按照所提供图纸制作。灯杆采用圆型钢杆，钢管型号为φ89及φ165普通钢管，壁厚尺寸详见图纸。钢制品为优质Q235钢材。供货时附钢材生产厂家“产品质量证明书”。法兰盘安装孔中心距如附图。法兰盘材质为18毫米Q235优质钢板，供货时附钢材生产厂家“产品质量证明书”。灯杆（不含灯罩重量）重量如下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320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481" w:type="dxa"/>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名称型号规格</w:t>
            </w:r>
          </w:p>
        </w:tc>
        <w:tc>
          <w:tcPr>
            <w:tcW w:w="3201" w:type="dxa"/>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镀锌喷塑前杆重量</w:t>
            </w:r>
          </w:p>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c>
          <w:tcPr>
            <w:tcW w:w="2840" w:type="dxa"/>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镀锌喷塑后重量</w:t>
            </w:r>
          </w:p>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81" w:type="dxa"/>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庭院灯</w:t>
            </w:r>
            <w:r>
              <w:rPr>
                <w:rFonts w:hint="eastAsia" w:asciiTheme="minorEastAsia" w:hAnsiTheme="minorEastAsia" w:eastAsiaTheme="minorEastAsia" w:cstheme="minorEastAsia"/>
                <w:color w:val="auto"/>
                <w:sz w:val="24"/>
                <w:szCs w:val="24"/>
                <w:highlight w:val="none"/>
                <w:lang w:val="en-US" w:eastAsia="zh-CN"/>
              </w:rPr>
              <w:t>灯杆</w:t>
            </w:r>
          </w:p>
        </w:tc>
        <w:tc>
          <w:tcPr>
            <w:tcW w:w="3201" w:type="dxa"/>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82</w:t>
            </w:r>
          </w:p>
        </w:tc>
        <w:tc>
          <w:tcPr>
            <w:tcW w:w="2840" w:type="dxa"/>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22" w:type="dxa"/>
            <w:gridSpan w:val="3"/>
            <w:noWrap w:val="0"/>
            <w:vAlign w:val="center"/>
          </w:tcPr>
          <w:p>
            <w:pPr>
              <w:pageBreakBefore w:val="0"/>
              <w:kinsoku/>
              <w:wordWrap/>
              <w:overflowPunct/>
              <w:topLinePunct w:val="0"/>
              <w:autoSpaceDE/>
              <w:autoSpaceDN/>
              <w:bidi w:val="0"/>
              <w:snapToGrid w:val="0"/>
              <w:spacing w:line="57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备注：镀锌喷塑后乘系数1.05；允许重量公差范围为±5%。</w:t>
            </w:r>
          </w:p>
        </w:tc>
      </w:tr>
    </w:tbl>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．加工工艺要求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整个杆体及部件焊接要求不应低于图示要求，应无任何一处漏焊，焊缝平整，表面光滑，无任何焊接缺陷。焊接工艺符合国家标准。要求提供焊接探伤报告</w:t>
      </w:r>
      <w:r>
        <w:rPr>
          <w:rFonts w:hint="eastAsia" w:asciiTheme="minorEastAsia" w:hAnsiTheme="minorEastAsia" w:eastAsiaTheme="minorEastAsia" w:cstheme="minorEastAsia"/>
          <w:color w:val="auto"/>
          <w:sz w:val="24"/>
          <w:szCs w:val="24"/>
          <w:highlight w:val="none"/>
          <w:lang w:eastAsia="zh-CN"/>
        </w:rPr>
        <w:t>，热浸锌防腐处理厚度δ≥70μm</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．喷塑要求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表面喷塑处理，不允许做磨砂喷塑，喷塑涂层外观表面光滑,平整,无露铁,桔皮,细小颗粒和缩孔等涂装缺陷。</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喷塑表面涂层平均厚度应达到85μm 以上。</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喷塑涂层的附着力应达到GB/T 9286 规定的0 级要求。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喷塑涂层的硬度应按GB/T 6739规定，并达到2H要求。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喷塑涂层的冲击强度不小于1kg/50cm，并符合GB/T 1732 的要求。</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bookmarkStart w:id="56" w:name="_Toc15113"/>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颜色要求</w:t>
      </w:r>
      <w:bookmarkEnd w:id="56"/>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RAL7016</w:t>
      </w:r>
      <w:r>
        <w:rPr>
          <w:rFonts w:hint="eastAsia" w:asciiTheme="minorEastAsia" w:hAnsiTheme="minorEastAsia" w:eastAsiaTheme="minorEastAsia" w:cstheme="minorEastAsia"/>
          <w:color w:val="auto"/>
          <w:sz w:val="24"/>
          <w:szCs w:val="24"/>
          <w:highlight w:val="none"/>
        </w:rPr>
        <w:t>。可根据采购单位要求更换其他颜色。</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配置要求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检修门内配置304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不锈钢螺丝（母）和304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不锈钢垫片，灯杆套接、固定处配置304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不锈钢材质螺丝（母），配置灯杆安装的镀锌螺母，具体尺寸和数量详见灯杆图纸要求。必须配置接地螺栓。灯杆和检修门在进行了镀锌工艺后，严禁再进行焊接工艺；检修门采用304</w:t>
      </w:r>
      <w:r>
        <w:rPr>
          <w:rFonts w:hint="eastAsia" w:asciiTheme="minorEastAsia" w:hAnsiTheme="minorEastAsia" w:eastAsiaTheme="minorEastAsia" w:cstheme="minorEastAsia"/>
          <w:color w:val="auto"/>
          <w:sz w:val="24"/>
          <w:szCs w:val="24"/>
          <w:highlight w:val="none"/>
          <w:lang w:val="en-US" w:eastAsia="zh-CN"/>
        </w:rPr>
        <w:t>/2B</w:t>
      </w:r>
      <w:r>
        <w:rPr>
          <w:rFonts w:hint="eastAsia" w:asciiTheme="minorEastAsia" w:hAnsiTheme="minorEastAsia" w:eastAsiaTheme="minorEastAsia" w:cstheme="minorEastAsia"/>
          <w:color w:val="auto"/>
          <w:sz w:val="24"/>
          <w:szCs w:val="24"/>
          <w:highlight w:val="none"/>
        </w:rPr>
        <w:t>不锈钢中空三角防盗螺栓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边长为8mm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固定。</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运输包装标准</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灯杆防涂鸦抗粘贴水性涂料的一般要求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厂家在所有灯杆部位（整杆整体全部喷涂，除灯罩外）喷涂专业抗涂鸦防粘贴涂料（即聚硅氧烷产品等），同时预留灯杆号牌位置（具体要求以业主通知为准），具体涂料特性要求能：抗紫外线老化、有优异的保光性、低VOC、 优异的耐热性、持久的可清洗性（用水就可清除涂鸦）、防广告粘贴、持久的弹性、憎水憎油、呼吸透气、不易燃烧、适用于无机基材料表面。涂料特性为油性且环保特征，且不易沾灰。涂鸦防粘贴涂具体技术要求详见下文（第五部分灯杆防涂鸦抗粘贴水性涂料技术要求）。</w:t>
      </w: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灯杆加工尺寸示意图</w:t>
      </w:r>
    </w:p>
    <w:p>
      <w:pPr>
        <w:pageBreakBefore w:val="0"/>
        <w:kinsoku/>
        <w:wordWrap/>
        <w:overflowPunct/>
        <w:topLinePunct w:val="0"/>
        <w:autoSpaceDE/>
        <w:autoSpaceDN/>
        <w:bidi w:val="0"/>
        <w:snapToGrid w:val="0"/>
        <w:spacing w:line="24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z w:val="24"/>
        </w:rPr>
        <w:drawing>
          <wp:anchor distT="0" distB="0" distL="114300" distR="114300" simplePos="0" relativeHeight="251662336" behindDoc="1" locked="0" layoutInCell="1" allowOverlap="1">
            <wp:simplePos x="0" y="0"/>
            <wp:positionH relativeFrom="column">
              <wp:posOffset>488315</wp:posOffset>
            </wp:positionH>
            <wp:positionV relativeFrom="paragraph">
              <wp:posOffset>-3775075</wp:posOffset>
            </wp:positionV>
            <wp:extent cx="4764405" cy="5809615"/>
            <wp:effectExtent l="0" t="0" r="36195" b="38735"/>
            <wp:wrapTight wrapText="bothSides">
              <wp:wrapPolygon>
                <wp:start x="0" y="0"/>
                <wp:lineTo x="0" y="21532"/>
                <wp:lineTo x="21505" y="21532"/>
                <wp:lineTo x="21505" y="0"/>
                <wp:lineTo x="0" y="0"/>
              </wp:wrapPolygon>
            </wp:wrapTight>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1"/>
                    <a:stretch>
                      <a:fillRect/>
                    </a:stretch>
                  </pic:blipFill>
                  <pic:spPr>
                    <a:xfrm>
                      <a:off x="0" y="0"/>
                      <a:ext cx="4764405" cy="5809615"/>
                    </a:xfrm>
                    <a:prstGeom prst="rect">
                      <a:avLst/>
                    </a:prstGeom>
                    <a:noFill/>
                    <a:ln>
                      <a:noFill/>
                    </a:ln>
                  </pic:spPr>
                </pic:pic>
              </a:graphicData>
            </a:graphic>
          </wp:anchor>
        </w:drawing>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ageBreakBefore w:val="0"/>
        <w:kinsoku/>
        <w:wordWrap/>
        <w:overflowPunct/>
        <w:topLinePunct w:val="0"/>
        <w:autoSpaceDE/>
        <w:autoSpaceDN/>
        <w:bidi w:val="0"/>
        <w:snapToGrid w:val="0"/>
        <w:spacing w:line="57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庭院灯检修门、防盗盖板制作图</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anchor distT="0" distB="0" distL="114300" distR="114300" simplePos="0" relativeHeight="251664384" behindDoc="0" locked="0" layoutInCell="1" allowOverlap="1">
            <wp:simplePos x="0" y="0"/>
            <wp:positionH relativeFrom="column">
              <wp:posOffset>139700</wp:posOffset>
            </wp:positionH>
            <wp:positionV relativeFrom="paragraph">
              <wp:posOffset>37465</wp:posOffset>
            </wp:positionV>
            <wp:extent cx="5203190" cy="3406140"/>
            <wp:effectExtent l="0" t="0" r="16510" b="3810"/>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2"/>
                    <a:srcRect t="11378" b="7032"/>
                    <a:stretch>
                      <a:fillRect/>
                    </a:stretch>
                  </pic:blipFill>
                  <pic:spPr>
                    <a:xfrm>
                      <a:off x="0" y="0"/>
                      <a:ext cx="5203190" cy="3406140"/>
                    </a:xfrm>
                    <a:prstGeom prst="rect">
                      <a:avLst/>
                    </a:prstGeom>
                    <a:noFill/>
                    <a:ln>
                      <a:noFill/>
                    </a:ln>
                  </pic:spPr>
                </pic:pic>
              </a:graphicData>
            </a:graphic>
          </wp:anchor>
        </w:drawing>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门板及铰链制作方式参照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城市照明图集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苏Z02-2014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防盗盖板根据招标单位要求进行配置。</w:t>
      </w:r>
    </w:p>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Theme="minorEastAsia" w:hAnsiTheme="minorEastAsia" w:eastAsiaTheme="minorEastAsia" w:cstheme="minorEastAsia"/>
          <w:b w:val="0"/>
          <w:bCs/>
          <w:color w:val="auto"/>
          <w:sz w:val="24"/>
          <w:szCs w:val="24"/>
          <w:highlight w:val="none"/>
          <w:lang w:eastAsia="zh-CN"/>
        </w:rPr>
      </w:pPr>
      <w:bookmarkStart w:id="57" w:name="_Toc92188483"/>
      <w:bookmarkStart w:id="58" w:name="_Toc11301"/>
      <w:r>
        <w:rPr>
          <w:rFonts w:hint="eastAsia" w:asciiTheme="minorEastAsia" w:hAnsiTheme="minorEastAsia" w:eastAsiaTheme="minorEastAsia" w:cstheme="minorEastAsia"/>
          <w:b w:val="0"/>
          <w:bCs/>
          <w:color w:val="auto"/>
          <w:sz w:val="24"/>
          <w:szCs w:val="24"/>
          <w:highlight w:val="none"/>
          <w:lang w:val="en-US" w:eastAsia="zh-CN"/>
        </w:rPr>
        <w:t>四</w:t>
      </w:r>
      <w:r>
        <w:rPr>
          <w:rFonts w:hint="eastAsia" w:asciiTheme="minorEastAsia" w:hAnsiTheme="minorEastAsia" w:eastAsiaTheme="minorEastAsia" w:cstheme="minorEastAsia"/>
          <w:b w:val="0"/>
          <w:bCs/>
          <w:color w:val="auto"/>
          <w:sz w:val="24"/>
          <w:szCs w:val="24"/>
          <w:highlight w:val="none"/>
          <w:lang w:eastAsia="zh-CN"/>
        </w:rPr>
        <w:t>、灯杆防涂鸦抗粘贴水性涂料技术要求</w:t>
      </w:r>
      <w:bookmarkEnd w:id="57"/>
      <w:bookmarkEnd w:id="58"/>
    </w:p>
    <w:p>
      <w:pPr>
        <w:pStyle w:val="14"/>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一）</w:t>
      </w:r>
      <w:r>
        <w:rPr>
          <w:rFonts w:hint="eastAsia" w:asciiTheme="minorEastAsia" w:hAnsiTheme="minorEastAsia" w:eastAsiaTheme="minorEastAsia" w:cstheme="minorEastAsia"/>
          <w:b w:val="0"/>
          <w:bCs w:val="0"/>
          <w:color w:val="auto"/>
          <w:sz w:val="24"/>
          <w:szCs w:val="24"/>
          <w:highlight w:val="none"/>
        </w:rPr>
        <w:t>执行技术标准</w:t>
      </w:r>
    </w:p>
    <w:p>
      <w:pPr>
        <w:pStyle w:val="14"/>
        <w:pageBreakBefore w:val="0"/>
        <w:kinsoku/>
        <w:wordWrap/>
        <w:overflowPunct/>
        <w:topLinePunct w:val="0"/>
        <w:autoSpaceDE/>
        <w:autoSpaceDN/>
        <w:bidi w:val="0"/>
        <w:snapToGrid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GB/T1728漆膜、腻子膜干燥时间测定法。</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GB/T1766色漆和清漆  涂层老化的评级方法。</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GB/T1865色漆和清漆 人工气候老化利人工辐射暴露(滤过的氙弧辐射)。</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GB/T2792压敏胶带180°剥离强度试验方法。</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 xml:space="preserve">GB/T3186色漆、清漆和色漆与清漆用原材料 取样(IS015528：2000，IDT)。 </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 xml:space="preserve">GB/T6682 分析实验室用水规格和实验方法(IS03696：1987.MOD)。 </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GB/T6739涂膜硬度铅笔测定法。</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GB/T9271色漆和清漆  标准试板。</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GB/T9278 涂料试样状态调节和试验的温湿度(IS03270：1984.IDT)。</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GB/T9286色漆和清漆  漆膜的划格试验。</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GB/T9750涂料产品包装标志。</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GB/T13491涂料产品包装通则。</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HG/T 2458 涂料产品检验、运输和贮存通则。</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GB 24408 建筑用外墙涂料中有害物质限量。</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JG/T 304 建筑用防涂鸦抗粘贴涂料。</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BB/T0047气雾漆。</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JC/T412.1纤维水泥平板  第1部分：无石棉纤维水泥平板。</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QB/T2777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记号笔。</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QB/T2860墨汁。</w:t>
      </w:r>
    </w:p>
    <w:p>
      <w:pPr>
        <w:pStyle w:val="15"/>
        <w:pageBreakBefore w:val="0"/>
        <w:kinsoku/>
        <w:wordWrap/>
        <w:overflowPunct/>
        <w:topLinePunct w:val="0"/>
        <w:autoSpaceDE/>
        <w:autoSpaceDN/>
        <w:bidi w:val="0"/>
        <w:spacing w:line="570" w:lineRule="exact"/>
        <w:ind w:firstLine="56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（二）性能要求  </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highlight w:val="none"/>
          <w:lang w:val="en-US" w:eastAsia="zh-CN" w:bidi="ar-SA"/>
        </w:rPr>
        <w:t>防涂鸦抗粘贴涂料需具有如下特性：</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（1）具有良好的抗黏贴性、防涂鸦性、户外耐久性、耐寒性、</w:t>
      </w:r>
      <w:r>
        <w:rPr>
          <w:rFonts w:hint="eastAsia" w:asciiTheme="minorEastAsia" w:hAnsiTheme="minorEastAsia" w:eastAsiaTheme="minorEastAsia" w:cstheme="minorEastAsia"/>
          <w:color w:val="auto"/>
          <w:sz w:val="24"/>
          <w:szCs w:val="24"/>
          <w:highlight w:val="none"/>
        </w:rPr>
        <w:t xml:space="preserve">耐粘贴性、耐擦洗性、耐溶剂性、防水防漏电，可调配各种颜色等特点；涂料特性为油性且环保特征。 </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2）苯、甲醛、重金属等有害物质的含量应符合GB24408《建筑用外墙涂料中有害物质限量》中规定的要求，具有户外用环</w:t>
      </w:r>
      <w:r>
        <w:rPr>
          <w:rFonts w:hint="eastAsia" w:asciiTheme="minorEastAsia" w:hAnsiTheme="minorEastAsia" w:eastAsiaTheme="minorEastAsia" w:cstheme="minorEastAsia"/>
          <w:color w:val="auto"/>
          <w:kern w:val="2"/>
          <w:sz w:val="24"/>
          <w:szCs w:val="24"/>
          <w:highlight w:val="none"/>
          <w:lang w:val="en-US" w:eastAsia="zh-CN" w:bidi="ar-SA"/>
        </w:rPr>
        <w:t>保型、美化城市环境等特点。</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highlight w:val="none"/>
          <w:lang w:val="en-US" w:eastAsia="zh-CN" w:bidi="ar-SA"/>
        </w:rPr>
        <w:t>防涂鸦抗粘贴涂料应具有如下使用效果：</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（1）质感面、凹凸面、不干胶、防水类等粘贴物不粘。 </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（2）浆糊类粘贴物干透风吹雨淋自行脱落或可轻易揭去。</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（3）涂鸦印章和笔等不易涂写，手喷漆不渗透，油性笔，喷漆自动聚合成小液滴，不成字形或不形成图案用清水即可清理干净。</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highlight w:val="none"/>
          <w:lang w:val="en-US" w:eastAsia="zh-CN" w:bidi="ar-SA"/>
        </w:rPr>
        <w:t>防涂鸦抗粘贴涂料的具体性能要求，应符合《JG/T 304 建筑用防涂鸦抗粘贴涂料》中的要求，具体见表一。防涂鸦抗粘贴涂料的有害物质含量应符合《GB 24408 建筑用外墙涂料中有害物质限量》中表1的要求。</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highlight w:val="none"/>
          <w:lang w:val="en-US" w:eastAsia="zh-CN" w:bidi="ar-SA"/>
        </w:rPr>
        <w:t>防涂鸦抗粘贴涂料要求质保至少2年。 防涂鸦抗粘贴涂料的颜色应与路灯灯杆原颜色匹配，具体颜色待中标后以招标人通知为准。</w:t>
      </w:r>
    </w:p>
    <w:p>
      <w:pPr>
        <w:pageBreakBefore w:val="0"/>
        <w:kinsoku/>
        <w:wordWrap/>
        <w:overflowPunct/>
        <w:topLinePunct w:val="0"/>
        <w:autoSpaceDE/>
        <w:autoSpaceDN/>
        <w:bidi w:val="0"/>
        <w:snapToGrid w:val="0"/>
        <w:spacing w:line="570" w:lineRule="exact"/>
        <w:ind w:left="0" w:leftChars="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highlight w:val="none"/>
          <w:lang w:val="en-US" w:eastAsia="zh-CN" w:bidi="ar-SA"/>
        </w:rPr>
        <w:t>防涂鸦抗粘贴涂料具体检测要求如下表。</w:t>
      </w:r>
    </w:p>
    <w:tbl>
      <w:tblPr>
        <w:tblStyle w:val="9"/>
        <w:tblW w:w="9060" w:type="dxa"/>
        <w:tblInd w:w="0" w:type="dxa"/>
        <w:tblLayout w:type="fixed"/>
        <w:tblCellMar>
          <w:top w:w="0" w:type="dxa"/>
          <w:left w:w="108" w:type="dxa"/>
          <w:bottom w:w="0" w:type="dxa"/>
          <w:right w:w="108" w:type="dxa"/>
        </w:tblCellMar>
      </w:tblPr>
      <w:tblGrid>
        <w:gridCol w:w="808"/>
        <w:gridCol w:w="1386"/>
        <w:gridCol w:w="110"/>
        <w:gridCol w:w="1645"/>
        <w:gridCol w:w="5111"/>
      </w:tblGrid>
      <w:tr>
        <w:tblPrEx>
          <w:tblCellMar>
            <w:top w:w="0" w:type="dxa"/>
            <w:left w:w="108" w:type="dxa"/>
            <w:bottom w:w="0" w:type="dxa"/>
            <w:right w:w="108" w:type="dxa"/>
          </w:tblCellMar>
        </w:tblPrEx>
        <w:trPr>
          <w:trHeight w:val="102" w:hRule="atLeast"/>
          <w:tblHeader/>
        </w:trPr>
        <w:tc>
          <w:tcPr>
            <w:tcW w:w="808"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141"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检验项目</w:t>
            </w:r>
          </w:p>
        </w:tc>
        <w:tc>
          <w:tcPr>
            <w:tcW w:w="5111"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标准及性能合格要求                             （C型抗粘贴并防涂鸦型）</w:t>
            </w:r>
          </w:p>
        </w:tc>
      </w:tr>
      <w:tr>
        <w:tblPrEx>
          <w:tblCellMar>
            <w:top w:w="0" w:type="dxa"/>
            <w:left w:w="108" w:type="dxa"/>
            <w:bottom w:w="0" w:type="dxa"/>
            <w:right w:w="108" w:type="dxa"/>
          </w:tblCellMar>
        </w:tblPrEx>
        <w:trPr>
          <w:trHeight w:val="90" w:hRule="atLeast"/>
        </w:trPr>
        <w:tc>
          <w:tcPr>
            <w:tcW w:w="8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容器中状态</w:t>
            </w:r>
          </w:p>
        </w:tc>
        <w:tc>
          <w:tcPr>
            <w:tcW w:w="511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搅拌后无硬块、无凝聚，呈均匀状态</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141"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施工性</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施涂无障碍</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141"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涂膜外观</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涂膜均匀，无针孔、无流挂</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141"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表干时间</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≦1h</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141"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耐水性</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96h无气泡、无掉粉、无明显变色和失光</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141"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耐碱性</w:t>
            </w:r>
          </w:p>
        </w:tc>
        <w:tc>
          <w:tcPr>
            <w:tcW w:w="511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48h无气泡、无掉粉、无明显变色和失光</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141"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铅笔硬度</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≧4h</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3141"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耐溶剂擦拭性</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100次不露底</w:t>
            </w:r>
          </w:p>
        </w:tc>
      </w:tr>
      <w:tr>
        <w:tblPrEx>
          <w:tblCellMar>
            <w:top w:w="0" w:type="dxa"/>
            <w:left w:w="108" w:type="dxa"/>
            <w:bottom w:w="0" w:type="dxa"/>
            <w:right w:w="108" w:type="dxa"/>
          </w:tblCellMar>
        </w:tblPrEx>
        <w:trPr>
          <w:trHeight w:val="90" w:hRule="atLeast"/>
        </w:trPr>
        <w:tc>
          <w:tcPr>
            <w:tcW w:w="808"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3141" w:type="dxa"/>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附着力（划格法）/级</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≦1级</w:t>
            </w:r>
          </w:p>
        </w:tc>
      </w:tr>
      <w:tr>
        <w:tblPrEx>
          <w:tblCellMar>
            <w:top w:w="0" w:type="dxa"/>
            <w:left w:w="108" w:type="dxa"/>
            <w:bottom w:w="0" w:type="dxa"/>
            <w:right w:w="108" w:type="dxa"/>
          </w:tblCellMar>
        </w:tblPrEx>
        <w:trPr>
          <w:trHeight w:val="90" w:hRule="atLeast"/>
        </w:trPr>
        <w:tc>
          <w:tcPr>
            <w:tcW w:w="8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抗粘贴性（180°剥离强度）/(N/mm)</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≦0.10N/mm</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496" w:type="dxa"/>
            <w:gridSpan w:val="2"/>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抗反复粘贴性50次</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外观</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无剥落、无明显失光、无胶残留物</w:t>
            </w:r>
          </w:p>
        </w:tc>
      </w:tr>
      <w:tr>
        <w:tblPrEx>
          <w:tblCellMar>
            <w:top w:w="0" w:type="dxa"/>
            <w:left w:w="108" w:type="dxa"/>
            <w:bottom w:w="0" w:type="dxa"/>
            <w:right w:w="108" w:type="dxa"/>
          </w:tblCellMar>
        </w:tblPrEx>
        <w:trPr>
          <w:trHeight w:val="90" w:hRule="atLeast"/>
        </w:trPr>
        <w:tc>
          <w:tcPr>
            <w:tcW w:w="808"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496" w:type="dxa"/>
            <w:gridSpan w:val="2"/>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180°剥离强度/(N/mm）</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pPr>
              <w:pageBreakBefore w:val="0"/>
              <w:widowControl/>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≦0.20N/mm，胶带无法粘贴</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496" w:type="dxa"/>
            <w:gridSpan w:val="2"/>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抗高温粘贴性50℃,24h</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外观</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无剥落、无明显失光、无胶残留物</w:t>
            </w:r>
          </w:p>
        </w:tc>
      </w:tr>
      <w:tr>
        <w:tblPrEx>
          <w:tblCellMar>
            <w:top w:w="0" w:type="dxa"/>
            <w:left w:w="108" w:type="dxa"/>
            <w:bottom w:w="0" w:type="dxa"/>
            <w:right w:w="108" w:type="dxa"/>
          </w:tblCellMar>
        </w:tblPrEx>
        <w:trPr>
          <w:trHeight w:val="90" w:hRule="atLeast"/>
        </w:trPr>
        <w:tc>
          <w:tcPr>
            <w:tcW w:w="808"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496" w:type="dxa"/>
            <w:gridSpan w:val="2"/>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180°剥离强度/(N/mm）</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≦0.25N/mm，胶带无法粘贴</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4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耐人工气候老化性400h</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外观</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无开裂、无剥落、无明显失光</w:t>
            </w:r>
          </w:p>
        </w:tc>
      </w:tr>
      <w:tr>
        <w:tblPrEx>
          <w:tblCellMar>
            <w:top w:w="0" w:type="dxa"/>
            <w:left w:w="108" w:type="dxa"/>
            <w:bottom w:w="0" w:type="dxa"/>
            <w:right w:w="108" w:type="dxa"/>
          </w:tblCellMar>
        </w:tblPrEx>
        <w:trPr>
          <w:trHeight w:val="90" w:hRule="atLeast"/>
        </w:trPr>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4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180°剥离强度/(N/mm）</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≦0.20N/mm</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4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防涂鸦性</w:t>
            </w:r>
          </w:p>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(可清洗级别）</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墨汁/级</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r>
        <w:tblPrEx>
          <w:tblCellMar>
            <w:top w:w="0" w:type="dxa"/>
            <w:left w:w="108" w:type="dxa"/>
            <w:bottom w:w="0" w:type="dxa"/>
            <w:right w:w="108" w:type="dxa"/>
          </w:tblCellMar>
        </w:tblPrEx>
        <w:trPr>
          <w:trHeight w:val="90" w:hRule="atLeast"/>
        </w:trPr>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4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油性记号笔/级</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r>
        <w:tblPrEx>
          <w:tblCellMar>
            <w:top w:w="0" w:type="dxa"/>
            <w:left w:w="108" w:type="dxa"/>
            <w:bottom w:w="0" w:type="dxa"/>
            <w:right w:w="108" w:type="dxa"/>
          </w:tblCellMar>
        </w:tblPrEx>
        <w:trPr>
          <w:trHeight w:val="90" w:hRule="atLeast"/>
        </w:trPr>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4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喷漆/级</w:t>
            </w:r>
          </w:p>
        </w:tc>
        <w:tc>
          <w:tcPr>
            <w:tcW w:w="511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r>
      <w:tr>
        <w:tblPrEx>
          <w:tblCellMar>
            <w:top w:w="0" w:type="dxa"/>
            <w:left w:w="108" w:type="dxa"/>
            <w:bottom w:w="0" w:type="dxa"/>
            <w:right w:w="108" w:type="dxa"/>
          </w:tblCellMar>
        </w:tblPrEx>
        <w:trPr>
          <w:trHeight w:val="102" w:hRule="atLeast"/>
        </w:trPr>
        <w:tc>
          <w:tcPr>
            <w:tcW w:w="8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防涂鸦抗粘贴涂料</w:t>
            </w:r>
          </w:p>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有害物质含量</w:t>
            </w:r>
          </w:p>
        </w:tc>
        <w:tc>
          <w:tcPr>
            <w:tcW w:w="511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应符合《GB 24408 建筑用外墙涂料中有害物质限量》中表1的要求</w:t>
            </w:r>
          </w:p>
        </w:tc>
      </w:tr>
      <w:tr>
        <w:tblPrEx>
          <w:tblCellMar>
            <w:top w:w="0" w:type="dxa"/>
            <w:left w:w="108" w:type="dxa"/>
            <w:bottom w:w="0" w:type="dxa"/>
            <w:right w:w="108" w:type="dxa"/>
          </w:tblCellMar>
        </w:tblPrEx>
        <w:trPr>
          <w:trHeight w:val="90" w:hRule="atLeast"/>
        </w:trPr>
        <w:tc>
          <w:tcPr>
            <w:tcW w:w="808" w:type="dxa"/>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1386" w:type="dxa"/>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可清洗性</w:t>
            </w: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墨汁</w:t>
            </w:r>
          </w:p>
        </w:tc>
        <w:tc>
          <w:tcPr>
            <w:tcW w:w="511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自动聚合成液滴，棉布蘸清水可清洗</w:t>
            </w:r>
          </w:p>
        </w:tc>
      </w:tr>
      <w:tr>
        <w:tblPrEx>
          <w:tblCellMar>
            <w:top w:w="0" w:type="dxa"/>
            <w:left w:w="108" w:type="dxa"/>
            <w:bottom w:w="0" w:type="dxa"/>
            <w:right w:w="108" w:type="dxa"/>
          </w:tblCellMar>
        </w:tblPrEx>
        <w:trPr>
          <w:trHeight w:val="90" w:hRule="atLeast"/>
        </w:trPr>
        <w:tc>
          <w:tcPr>
            <w:tcW w:w="808" w:type="dxa"/>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386" w:type="dxa"/>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油性记号笔</w:t>
            </w:r>
          </w:p>
        </w:tc>
        <w:tc>
          <w:tcPr>
            <w:tcW w:w="511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自动聚合成液滴，棉布蘸清水可清洗</w:t>
            </w:r>
          </w:p>
        </w:tc>
      </w:tr>
      <w:tr>
        <w:tblPrEx>
          <w:tblCellMar>
            <w:top w:w="0" w:type="dxa"/>
            <w:left w:w="108" w:type="dxa"/>
            <w:bottom w:w="0" w:type="dxa"/>
            <w:right w:w="108" w:type="dxa"/>
          </w:tblCellMar>
        </w:tblPrEx>
        <w:trPr>
          <w:trHeight w:val="90" w:hRule="atLeast"/>
        </w:trPr>
        <w:tc>
          <w:tcPr>
            <w:tcW w:w="808"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386"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喷漆</w:t>
            </w:r>
          </w:p>
        </w:tc>
        <w:tc>
          <w:tcPr>
            <w:tcW w:w="511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自动聚合成液滴，棉布蘸清水可清洗</w:t>
            </w:r>
          </w:p>
        </w:tc>
      </w:tr>
      <w:tr>
        <w:tblPrEx>
          <w:tblCellMar>
            <w:top w:w="0" w:type="dxa"/>
            <w:left w:w="108" w:type="dxa"/>
            <w:bottom w:w="0" w:type="dxa"/>
            <w:right w:w="108" w:type="dxa"/>
          </w:tblCellMar>
        </w:tblPrEx>
        <w:trPr>
          <w:trHeight w:val="185" w:hRule="atLeast"/>
        </w:trPr>
        <w:tc>
          <w:tcPr>
            <w:tcW w:w="9060"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该表格内容为防涂鸦抗粘贴涂料投标时需要提供检测报告的必要内容。</w:t>
            </w:r>
          </w:p>
          <w:p>
            <w:pPr>
              <w:pageBreakBefore w:val="0"/>
              <w:widowControl/>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highlight w:val="none"/>
              </w:rPr>
              <w:t>该表格内容同时为防涂鸦抗粘贴涂料中标后抽检时必要的检测项目。</w:t>
            </w:r>
          </w:p>
        </w:tc>
      </w:tr>
    </w:tbl>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（三）喷涂部位要求</w:t>
      </w:r>
    </w:p>
    <w:p>
      <w:pPr>
        <w:pageBreakBefore w:val="0"/>
        <w:numPr>
          <w:ilvl w:val="0"/>
          <w:numId w:val="0"/>
        </w:numPr>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灯杆从上到下满喷，并在离法兰2m处预留号牌位置（号牌宽度为110mm，号牌详细尺寸待中标后由采购单位向中标单位提供）。</w:t>
      </w: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z w:val="24"/>
        </w:rPr>
        <w:drawing>
          <wp:anchor distT="0" distB="0" distL="114300" distR="114300" simplePos="0" relativeHeight="251663360" behindDoc="1" locked="0" layoutInCell="1" allowOverlap="1">
            <wp:simplePos x="0" y="0"/>
            <wp:positionH relativeFrom="column">
              <wp:posOffset>1666875</wp:posOffset>
            </wp:positionH>
            <wp:positionV relativeFrom="paragraph">
              <wp:posOffset>-52705</wp:posOffset>
            </wp:positionV>
            <wp:extent cx="2423160" cy="4513580"/>
            <wp:effectExtent l="0" t="0" r="0" b="0"/>
            <wp:wrapTight wrapText="bothSides">
              <wp:wrapPolygon>
                <wp:start x="0" y="0"/>
                <wp:lineTo x="0" y="21515"/>
                <wp:lineTo x="21396" y="21515"/>
                <wp:lineTo x="21396" y="0"/>
                <wp:lineTo x="0" y="0"/>
              </wp:wrapPolygon>
            </wp:wrapTight>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3"/>
                    <a:stretch>
                      <a:fillRect/>
                    </a:stretch>
                  </pic:blipFill>
                  <pic:spPr>
                    <a:xfrm>
                      <a:off x="0" y="0"/>
                      <a:ext cx="2423160" cy="4513580"/>
                    </a:xfrm>
                    <a:prstGeom prst="rect">
                      <a:avLst/>
                    </a:prstGeom>
                    <a:noFill/>
                    <a:ln>
                      <a:noFill/>
                    </a:ln>
                  </pic:spPr>
                </pic:pic>
              </a:graphicData>
            </a:graphic>
          </wp:anchor>
        </w:drawing>
      </w: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lang w:eastAsia="zh-CN"/>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lang w:eastAsia="zh-CN"/>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（四）灯杆防涂鸦抗粘贴涂料要求</w:t>
      </w:r>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灯杆防涂鸦抗粘贴涂料是否运用需经采购单位通知后实施。</w:t>
      </w:r>
      <w:bookmarkStart w:id="59" w:name="_Toc92188484"/>
    </w:p>
    <w:p>
      <w:pPr>
        <w:pStyle w:val="5"/>
        <w:pageBreakBefore w:val="0"/>
        <w:kinsoku/>
        <w:wordWrap/>
        <w:overflowPunct/>
        <w:topLinePunct w:val="0"/>
        <w:autoSpaceDE/>
        <w:autoSpaceDN/>
        <w:bidi w:val="0"/>
        <w:spacing w:line="570" w:lineRule="exact"/>
        <w:ind w:left="197" w:leftChars="94" w:right="210" w:firstLine="328" w:firstLineChars="137"/>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五、检验要求</w:t>
      </w:r>
      <w:bookmarkEnd w:id="59"/>
    </w:p>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lang w:val="en-US" w:eastAsia="zh-CN"/>
        </w:rPr>
        <w:t>表一</w:t>
      </w:r>
      <w:r>
        <w:rPr>
          <w:rFonts w:hint="eastAsia" w:asciiTheme="minorEastAsia" w:hAnsiTheme="minorEastAsia" w:eastAsiaTheme="minorEastAsia" w:cstheme="minorEastAsia"/>
          <w:b w:val="0"/>
          <w:bCs w:val="0"/>
          <w:color w:val="auto"/>
          <w:sz w:val="24"/>
          <w:szCs w:val="24"/>
          <w:highlight w:val="none"/>
        </w:rPr>
        <w:t>：投标时以及中标后灯具必须的检测项目</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0"/>
        <w:gridCol w:w="654"/>
        <w:gridCol w:w="3171"/>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b w:val="0"/>
                <w:bCs w:val="0"/>
                <w:color w:val="auto"/>
                <w:sz w:val="24"/>
                <w:szCs w:val="24"/>
                <w:highlight w:val="none"/>
              </w:rPr>
            </w:pPr>
            <w:bookmarkStart w:id="60" w:name="_Toc1568"/>
            <w:r>
              <w:rPr>
                <w:rFonts w:hint="eastAsia" w:asciiTheme="minorEastAsia" w:hAnsiTheme="minorEastAsia" w:eastAsiaTheme="minorEastAsia" w:cstheme="minorEastAsia"/>
                <w:b w:val="0"/>
                <w:bCs w:val="0"/>
                <w:color w:val="auto"/>
                <w:sz w:val="24"/>
                <w:szCs w:val="24"/>
                <w:highlight w:val="none"/>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935"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测试方式</w:t>
            </w:r>
          </w:p>
        </w:tc>
        <w:tc>
          <w:tcPr>
            <w:tcW w:w="1050"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类型</w:t>
            </w:r>
          </w:p>
        </w:tc>
        <w:tc>
          <w:tcPr>
            <w:tcW w:w="654"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序号</w:t>
            </w:r>
          </w:p>
        </w:tc>
        <w:tc>
          <w:tcPr>
            <w:tcW w:w="3171"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测试内容</w:t>
            </w:r>
          </w:p>
        </w:tc>
        <w:tc>
          <w:tcPr>
            <w:tcW w:w="3229"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达标要求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现场目测</w:t>
            </w:r>
          </w:p>
        </w:tc>
        <w:tc>
          <w:tcPr>
            <w:tcW w:w="1050"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外观</w:t>
            </w: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尺寸(灯头与装饰件)</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误差10%（特殊规定处除外）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检测报告</w:t>
            </w:r>
          </w:p>
        </w:tc>
        <w:tc>
          <w:tcPr>
            <w:tcW w:w="1050"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材质</w:t>
            </w: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高压压铸铝YL113(材质)模具成型灯体</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灯头材质需符合GB/T 15115压铸铝合金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1050"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安全</w:t>
            </w: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安全与试验要求</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1.符合本文件“三、灯具部分的具体要求中‘安全要求’”。</w:t>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2.灯体应采用高压压铸铝YL113模具成型。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防护等级</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检测</w:t>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报告</w:t>
            </w:r>
          </w:p>
        </w:tc>
        <w:tc>
          <w:tcPr>
            <w:tcW w:w="1050"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光学及模拟配光</w:t>
            </w:r>
          </w:p>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（在本招标文件上述模拟安装条件下）</w:t>
            </w: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单</w:t>
            </w:r>
            <w:r>
              <w:rPr>
                <w:rFonts w:hint="eastAsia" w:asciiTheme="minorEastAsia" w:hAnsiTheme="minorEastAsia" w:eastAsiaTheme="minorEastAsia" w:cstheme="minorEastAsia"/>
                <w:color w:val="auto"/>
                <w:sz w:val="24"/>
                <w:szCs w:val="24"/>
                <w:highlight w:val="none"/>
              </w:rPr>
              <w:t>灯系统总功率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W</w:t>
            </w:r>
            <w:r>
              <w:rPr>
                <w:rFonts w:hint="eastAsia" w:asciiTheme="minorEastAsia" w:hAnsiTheme="minorEastAsia" w:eastAsiaTheme="minorEastAsia" w:cstheme="minorEastAsia"/>
                <w:color w:val="auto"/>
                <w:sz w:val="24"/>
                <w:szCs w:val="24"/>
                <w:highlight w:val="none"/>
                <w:lang w:eastAsia="zh-CN"/>
              </w:rPr>
              <w:t>）</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shd w:val="clear" w:color="auto" w:fill="FFFFFF"/>
                <w:lang w:val="en-US" w:eastAsia="zh-CN"/>
              </w:rPr>
              <w:t>单</w:t>
            </w:r>
            <w:r>
              <w:rPr>
                <w:rFonts w:hint="eastAsia" w:asciiTheme="minorEastAsia" w:hAnsiTheme="minorEastAsia" w:eastAsiaTheme="minorEastAsia" w:cstheme="minorEastAsia"/>
                <w:color w:val="auto"/>
                <w:sz w:val="24"/>
                <w:szCs w:val="24"/>
                <w:highlight w:val="none"/>
                <w:shd w:val="clear" w:color="auto" w:fill="FFFFFF"/>
              </w:rPr>
              <w:t>灯光效</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lang w:val="en-US" w:eastAsia="zh-CN"/>
              </w:rPr>
              <w:t>含透光罩</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lang w:val="en-US" w:eastAsia="zh-CN"/>
              </w:rPr>
              <w:t>(</w:t>
            </w:r>
            <w:r>
              <w:rPr>
                <w:rFonts w:hint="eastAsia" w:asciiTheme="minorEastAsia" w:hAnsiTheme="minorEastAsia" w:eastAsiaTheme="minorEastAsia" w:cstheme="minorEastAsia"/>
                <w:color w:val="auto"/>
                <w:sz w:val="24"/>
                <w:szCs w:val="24"/>
                <w:highlight w:val="none"/>
                <w:shd w:val="clear" w:color="auto" w:fill="FFFFFF"/>
              </w:rPr>
              <w:t>lm/W</w:t>
            </w:r>
            <w:r>
              <w:rPr>
                <w:rFonts w:hint="eastAsia" w:asciiTheme="minorEastAsia" w:hAnsiTheme="minorEastAsia" w:eastAsiaTheme="minorEastAsia" w:cstheme="minorEastAsia"/>
                <w:color w:val="auto"/>
                <w:sz w:val="24"/>
                <w:szCs w:val="24"/>
                <w:highlight w:val="none"/>
                <w:shd w:val="clear" w:color="auto" w:fill="FFFFFF"/>
                <w:lang w:val="en-US" w:eastAsia="zh-CN"/>
              </w:rPr>
              <w:t>)</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色温</w:t>
            </w:r>
            <w:r>
              <w:rPr>
                <w:rFonts w:hint="eastAsia" w:asciiTheme="minorEastAsia" w:hAnsiTheme="minorEastAsia" w:eastAsiaTheme="minorEastAsia" w:cstheme="minorEastAsia"/>
                <w:color w:val="auto"/>
                <w:sz w:val="24"/>
                <w:szCs w:val="24"/>
                <w:highlight w:val="none"/>
                <w:lang w:val="en-US" w:eastAsia="zh-CN"/>
              </w:rPr>
              <w:t>(K)</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3000±</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单灯功率因数</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≥0.9</w:t>
            </w:r>
            <w:r>
              <w:rPr>
                <w:rFonts w:hint="eastAsia" w:asciiTheme="minorEastAsia" w:hAnsiTheme="minorEastAsia" w:eastAsiaTheme="minorEastAsia" w:cstheme="minorEastAsia"/>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一般显色指数</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灯具色容差</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SDCM</w:t>
            </w:r>
            <w:r>
              <w:rPr>
                <w:rFonts w:hint="eastAsia" w:asciiTheme="minorEastAsia" w:hAnsiTheme="minorEastAsia" w:eastAsiaTheme="minorEastAsia" w:cstheme="minorEastAsia"/>
                <w:color w:val="auto"/>
                <w:sz w:val="24"/>
                <w:szCs w:val="24"/>
                <w:highlight w:val="none"/>
                <w:lang w:val="en-US" w:eastAsia="zh-CN"/>
              </w:rPr>
              <w:t>)</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35" w:type="dxa"/>
            <w:noWrap w:val="0"/>
            <w:vAlign w:val="center"/>
          </w:tcPr>
          <w:p>
            <w:pPr>
              <w:pageBreakBefore w:val="0"/>
              <w:kinsoku/>
              <w:wordWrap/>
              <w:overflowPunct/>
              <w:topLinePunct w:val="0"/>
              <w:autoSpaceDE/>
              <w:autoSpaceDN/>
              <w:bidi w:val="0"/>
              <w:snapToGrid w:val="0"/>
              <w:spacing w:line="57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8104" w:type="dxa"/>
            <w:gridSpan w:val="4"/>
            <w:noWrap w:val="0"/>
            <w:vAlign w:val="top"/>
          </w:tcPr>
          <w:p>
            <w:pPr>
              <w:pageBreakBefore w:val="0"/>
              <w:kinsoku/>
              <w:wordWrap/>
              <w:overflowPunct/>
              <w:topLinePunct w:val="0"/>
              <w:autoSpaceDE/>
              <w:autoSpaceDN/>
              <w:bidi w:val="0"/>
              <w:snapToGrid w:val="0"/>
              <w:spacing w:line="57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供应商自行送检，送至国家级权威机构检测，检测结果必须满足技术文件相关指标要求（其中</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项为必须满足项，有一项不满足的按废标处理），同时需自行提供符合采购文件要求的防涂鸦抗粘贴涂料的检测报告（检测报告不合格按废标处理），检测费由供应商承担。</w:t>
            </w:r>
          </w:p>
          <w:p>
            <w:pPr>
              <w:pageBreakBefore w:val="0"/>
              <w:kinsoku/>
              <w:wordWrap/>
              <w:overflowPunct/>
              <w:topLinePunct w:val="0"/>
              <w:autoSpaceDE/>
              <w:autoSpaceDN/>
              <w:bidi w:val="0"/>
              <w:snapToGrid w:val="0"/>
              <w:spacing w:line="57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该表格内容为所投灯具投标时需要提供检测报告的必要内容。</w:t>
            </w:r>
          </w:p>
        </w:tc>
      </w:tr>
    </w:tbl>
    <w:p>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表二</w:t>
      </w:r>
      <w:r>
        <w:rPr>
          <w:rFonts w:hint="eastAsia" w:asciiTheme="minorEastAsia" w:hAnsiTheme="minorEastAsia" w:eastAsiaTheme="minorEastAsia" w:cstheme="minorEastAsia"/>
          <w:b w:val="0"/>
          <w:bCs w:val="0"/>
          <w:color w:val="auto"/>
          <w:sz w:val="24"/>
          <w:szCs w:val="24"/>
          <w:highlight w:val="none"/>
        </w:rPr>
        <w:t>：灯杆的检测内容</w:t>
      </w:r>
      <w:bookmarkEnd w:id="60"/>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629"/>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检测项目</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是否有合格探伤报告</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尺寸要求</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参考技术文件内容，技术文件内规定了尺寸误差范围的按照技术文件执行，未标注公差的，按照GB-T1804的精度C级别标准执行，其中安装公差和位置公差按照精度M级别标准执行。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85" w:type="dxa"/>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629" w:type="dxa"/>
            <w:vMerge w:val="restart"/>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喷塑要求</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颜色是否一致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5" w:type="dxa"/>
            <w:vMerge w:val="continue"/>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p>
        </w:tc>
        <w:tc>
          <w:tcPr>
            <w:tcW w:w="1629" w:type="dxa"/>
            <w:vMerge w:val="continue"/>
            <w:noWrap w:val="0"/>
            <w:vAlign w:val="center"/>
          </w:tcPr>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85" w:type="dxa"/>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1629" w:type="dxa"/>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法兰</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法兰厚度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5" w:type="dxa"/>
            <w:vMerge w:val="continue"/>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p>
        </w:tc>
        <w:tc>
          <w:tcPr>
            <w:tcW w:w="1629" w:type="dxa"/>
            <w:vMerge w:val="continue"/>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安装孔间距及尺寸是否符合采购文件要求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材质</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接地</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是否有接地螺栓或接地线连接孔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杆体</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灯杆重量</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门板</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85"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1629"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配件</w:t>
            </w:r>
          </w:p>
        </w:tc>
        <w:tc>
          <w:tcPr>
            <w:tcW w:w="6646" w:type="dxa"/>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满足技术文件要求</w:t>
            </w:r>
          </w:p>
        </w:tc>
      </w:tr>
    </w:tbl>
    <w:p>
      <w:pPr>
        <w:pageBreakBefore w:val="0"/>
        <w:kinsoku/>
        <w:wordWrap/>
        <w:overflowPunct/>
        <w:topLinePunct w:val="0"/>
        <w:autoSpaceDE/>
        <w:autoSpaceDN/>
        <w:bidi w:val="0"/>
        <w:spacing w:line="57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p>
    <w:p>
      <w:pPr>
        <w:pageBreakBefore w:val="0"/>
        <w:kinsoku/>
        <w:wordWrap/>
        <w:overflowPunct/>
        <w:topLinePunct w:val="0"/>
        <w:autoSpaceDE/>
        <w:autoSpaceDN/>
        <w:bidi w:val="0"/>
        <w:spacing w:line="570" w:lineRule="exact"/>
        <w:jc w:val="left"/>
        <w:textAlignment w:val="auto"/>
        <w:rPr>
          <w:rFonts w:hint="eastAsia" w:asciiTheme="minorEastAsia" w:hAnsiTheme="minorEastAsia" w:eastAsiaTheme="minorEastAsia" w:cstheme="minorEastAsia"/>
          <w:color w:val="auto"/>
          <w:sz w:val="24"/>
          <w:szCs w:val="24"/>
          <w:highlight w:val="none"/>
        </w:rPr>
      </w:pPr>
    </w:p>
    <w:p>
      <w:pPr>
        <w:pStyle w:val="2"/>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YTJmNDNiOTJkNzA0MWEwZWY3ZGUzYWVhMmY3MDIifQ=="/>
  </w:docVars>
  <w:rsids>
    <w:rsidRoot w:val="00172A27"/>
    <w:rsid w:val="00003E59"/>
    <w:rsid w:val="00017A8B"/>
    <w:rsid w:val="00025778"/>
    <w:rsid w:val="00043A95"/>
    <w:rsid w:val="00043DC6"/>
    <w:rsid w:val="00052248"/>
    <w:rsid w:val="00053166"/>
    <w:rsid w:val="0005562E"/>
    <w:rsid w:val="00057701"/>
    <w:rsid w:val="000674B6"/>
    <w:rsid w:val="000806D8"/>
    <w:rsid w:val="00087865"/>
    <w:rsid w:val="00092B1F"/>
    <w:rsid w:val="00094BB1"/>
    <w:rsid w:val="0009559B"/>
    <w:rsid w:val="00095766"/>
    <w:rsid w:val="000C09D8"/>
    <w:rsid w:val="000C3062"/>
    <w:rsid w:val="000C6D92"/>
    <w:rsid w:val="000D4D1A"/>
    <w:rsid w:val="000D7707"/>
    <w:rsid w:val="000E5112"/>
    <w:rsid w:val="000F01C5"/>
    <w:rsid w:val="000F16A5"/>
    <w:rsid w:val="000F45CA"/>
    <w:rsid w:val="00101AC3"/>
    <w:rsid w:val="001060EE"/>
    <w:rsid w:val="0011095F"/>
    <w:rsid w:val="00114C9B"/>
    <w:rsid w:val="001216A9"/>
    <w:rsid w:val="00121B10"/>
    <w:rsid w:val="00123437"/>
    <w:rsid w:val="00124226"/>
    <w:rsid w:val="00133229"/>
    <w:rsid w:val="00146D48"/>
    <w:rsid w:val="0014725F"/>
    <w:rsid w:val="00150190"/>
    <w:rsid w:val="0015397B"/>
    <w:rsid w:val="00154C80"/>
    <w:rsid w:val="0016067B"/>
    <w:rsid w:val="001710D9"/>
    <w:rsid w:val="00172A27"/>
    <w:rsid w:val="00173FD4"/>
    <w:rsid w:val="00180F1F"/>
    <w:rsid w:val="0018507B"/>
    <w:rsid w:val="00191E54"/>
    <w:rsid w:val="00191FC5"/>
    <w:rsid w:val="00192B59"/>
    <w:rsid w:val="001936D3"/>
    <w:rsid w:val="001B09A8"/>
    <w:rsid w:val="001B1D67"/>
    <w:rsid w:val="001B4C61"/>
    <w:rsid w:val="001B76F8"/>
    <w:rsid w:val="001C33EE"/>
    <w:rsid w:val="001D3C46"/>
    <w:rsid w:val="001D4E33"/>
    <w:rsid w:val="001E387A"/>
    <w:rsid w:val="001F063D"/>
    <w:rsid w:val="001F51B0"/>
    <w:rsid w:val="001F7FBB"/>
    <w:rsid w:val="002063EE"/>
    <w:rsid w:val="00210A68"/>
    <w:rsid w:val="0021388B"/>
    <w:rsid w:val="00214A9A"/>
    <w:rsid w:val="00223B89"/>
    <w:rsid w:val="002334BE"/>
    <w:rsid w:val="00245D80"/>
    <w:rsid w:val="002577F7"/>
    <w:rsid w:val="00260E11"/>
    <w:rsid w:val="002627AD"/>
    <w:rsid w:val="002707AA"/>
    <w:rsid w:val="00273E6A"/>
    <w:rsid w:val="0027431D"/>
    <w:rsid w:val="002858DA"/>
    <w:rsid w:val="002958D8"/>
    <w:rsid w:val="002A20F8"/>
    <w:rsid w:val="002A2ED0"/>
    <w:rsid w:val="002A6AC9"/>
    <w:rsid w:val="002B07B9"/>
    <w:rsid w:val="002B080B"/>
    <w:rsid w:val="002C4CCA"/>
    <w:rsid w:val="002D2D8A"/>
    <w:rsid w:val="002D6394"/>
    <w:rsid w:val="002D7E4A"/>
    <w:rsid w:val="002F5A63"/>
    <w:rsid w:val="002F5C84"/>
    <w:rsid w:val="00305E48"/>
    <w:rsid w:val="00314FFA"/>
    <w:rsid w:val="00322475"/>
    <w:rsid w:val="003245B0"/>
    <w:rsid w:val="00324BCC"/>
    <w:rsid w:val="00326F44"/>
    <w:rsid w:val="00334714"/>
    <w:rsid w:val="003422F5"/>
    <w:rsid w:val="00357A4A"/>
    <w:rsid w:val="00361E83"/>
    <w:rsid w:val="00374384"/>
    <w:rsid w:val="00375F31"/>
    <w:rsid w:val="00385C69"/>
    <w:rsid w:val="0038674D"/>
    <w:rsid w:val="00386DA5"/>
    <w:rsid w:val="003969E7"/>
    <w:rsid w:val="003C456A"/>
    <w:rsid w:val="003C4F1E"/>
    <w:rsid w:val="003C6ADC"/>
    <w:rsid w:val="003D2C9E"/>
    <w:rsid w:val="003D5147"/>
    <w:rsid w:val="003E38FD"/>
    <w:rsid w:val="003F4895"/>
    <w:rsid w:val="003F7115"/>
    <w:rsid w:val="004013FD"/>
    <w:rsid w:val="00404671"/>
    <w:rsid w:val="004216CB"/>
    <w:rsid w:val="00423947"/>
    <w:rsid w:val="004428CA"/>
    <w:rsid w:val="004537D9"/>
    <w:rsid w:val="004615A5"/>
    <w:rsid w:val="004667A2"/>
    <w:rsid w:val="00467A4E"/>
    <w:rsid w:val="0047056D"/>
    <w:rsid w:val="00485AE3"/>
    <w:rsid w:val="0048619F"/>
    <w:rsid w:val="004875E3"/>
    <w:rsid w:val="004965A5"/>
    <w:rsid w:val="0049784C"/>
    <w:rsid w:val="004A2819"/>
    <w:rsid w:val="004A41A1"/>
    <w:rsid w:val="004B22A8"/>
    <w:rsid w:val="004B3304"/>
    <w:rsid w:val="004C3FE7"/>
    <w:rsid w:val="004C4C08"/>
    <w:rsid w:val="004C4FD7"/>
    <w:rsid w:val="004D04DB"/>
    <w:rsid w:val="004D104B"/>
    <w:rsid w:val="004D362F"/>
    <w:rsid w:val="004D7B54"/>
    <w:rsid w:val="004E0501"/>
    <w:rsid w:val="004E6619"/>
    <w:rsid w:val="004E722B"/>
    <w:rsid w:val="00501FAB"/>
    <w:rsid w:val="005038E0"/>
    <w:rsid w:val="00523201"/>
    <w:rsid w:val="00525835"/>
    <w:rsid w:val="00537208"/>
    <w:rsid w:val="00544CB1"/>
    <w:rsid w:val="00551B47"/>
    <w:rsid w:val="0055545B"/>
    <w:rsid w:val="005638B9"/>
    <w:rsid w:val="00573107"/>
    <w:rsid w:val="005761FD"/>
    <w:rsid w:val="00577222"/>
    <w:rsid w:val="00580E1F"/>
    <w:rsid w:val="005848EA"/>
    <w:rsid w:val="005905FC"/>
    <w:rsid w:val="0059453D"/>
    <w:rsid w:val="005A2A86"/>
    <w:rsid w:val="005B41EF"/>
    <w:rsid w:val="005C359E"/>
    <w:rsid w:val="005C5329"/>
    <w:rsid w:val="005D2101"/>
    <w:rsid w:val="005D317E"/>
    <w:rsid w:val="005D61BB"/>
    <w:rsid w:val="005E1A23"/>
    <w:rsid w:val="005F11E9"/>
    <w:rsid w:val="005F179E"/>
    <w:rsid w:val="005F24B2"/>
    <w:rsid w:val="006017F7"/>
    <w:rsid w:val="006074E8"/>
    <w:rsid w:val="00610722"/>
    <w:rsid w:val="0061201F"/>
    <w:rsid w:val="00614FEC"/>
    <w:rsid w:val="00624730"/>
    <w:rsid w:val="006315E3"/>
    <w:rsid w:val="00632CDD"/>
    <w:rsid w:val="006370D2"/>
    <w:rsid w:val="0064710A"/>
    <w:rsid w:val="00654EF8"/>
    <w:rsid w:val="0065675F"/>
    <w:rsid w:val="00667500"/>
    <w:rsid w:val="0067039D"/>
    <w:rsid w:val="00674E0A"/>
    <w:rsid w:val="00694BDC"/>
    <w:rsid w:val="00695F48"/>
    <w:rsid w:val="006A1397"/>
    <w:rsid w:val="006D1548"/>
    <w:rsid w:val="006D2612"/>
    <w:rsid w:val="006E4360"/>
    <w:rsid w:val="006E4BBC"/>
    <w:rsid w:val="006F23DA"/>
    <w:rsid w:val="006F6100"/>
    <w:rsid w:val="006F78D8"/>
    <w:rsid w:val="00714A56"/>
    <w:rsid w:val="007160D2"/>
    <w:rsid w:val="00717301"/>
    <w:rsid w:val="007209C8"/>
    <w:rsid w:val="00722095"/>
    <w:rsid w:val="00725B4D"/>
    <w:rsid w:val="00731CF7"/>
    <w:rsid w:val="00735D4E"/>
    <w:rsid w:val="00742FBD"/>
    <w:rsid w:val="007441C5"/>
    <w:rsid w:val="00751AAB"/>
    <w:rsid w:val="00753525"/>
    <w:rsid w:val="00756422"/>
    <w:rsid w:val="00763A87"/>
    <w:rsid w:val="0076614C"/>
    <w:rsid w:val="00766873"/>
    <w:rsid w:val="007673BE"/>
    <w:rsid w:val="00777B58"/>
    <w:rsid w:val="00780C40"/>
    <w:rsid w:val="0078209A"/>
    <w:rsid w:val="00787329"/>
    <w:rsid w:val="007D38EF"/>
    <w:rsid w:val="007D7C3E"/>
    <w:rsid w:val="007E46AC"/>
    <w:rsid w:val="007E56A1"/>
    <w:rsid w:val="0080748E"/>
    <w:rsid w:val="00812568"/>
    <w:rsid w:val="00815C03"/>
    <w:rsid w:val="0082582B"/>
    <w:rsid w:val="00835EDF"/>
    <w:rsid w:val="0084723D"/>
    <w:rsid w:val="00856095"/>
    <w:rsid w:val="00862A20"/>
    <w:rsid w:val="00891165"/>
    <w:rsid w:val="0089116B"/>
    <w:rsid w:val="00892677"/>
    <w:rsid w:val="008A3743"/>
    <w:rsid w:val="008A7187"/>
    <w:rsid w:val="008B1D78"/>
    <w:rsid w:val="008D2DAC"/>
    <w:rsid w:val="008D560D"/>
    <w:rsid w:val="008E1406"/>
    <w:rsid w:val="008E41CF"/>
    <w:rsid w:val="008E4707"/>
    <w:rsid w:val="008F46E7"/>
    <w:rsid w:val="00902DF2"/>
    <w:rsid w:val="009156ED"/>
    <w:rsid w:val="00916F0C"/>
    <w:rsid w:val="00917E16"/>
    <w:rsid w:val="00924DC4"/>
    <w:rsid w:val="009331A3"/>
    <w:rsid w:val="00937148"/>
    <w:rsid w:val="00943005"/>
    <w:rsid w:val="00946DB1"/>
    <w:rsid w:val="00947DF2"/>
    <w:rsid w:val="00951464"/>
    <w:rsid w:val="00956493"/>
    <w:rsid w:val="009611BD"/>
    <w:rsid w:val="0096524C"/>
    <w:rsid w:val="009779FD"/>
    <w:rsid w:val="009969E6"/>
    <w:rsid w:val="009A4119"/>
    <w:rsid w:val="009B04BF"/>
    <w:rsid w:val="009B73D1"/>
    <w:rsid w:val="009C6FCB"/>
    <w:rsid w:val="009D04C8"/>
    <w:rsid w:val="009D6D2D"/>
    <w:rsid w:val="009E2668"/>
    <w:rsid w:val="009E30F3"/>
    <w:rsid w:val="009F619F"/>
    <w:rsid w:val="00A11E64"/>
    <w:rsid w:val="00A14F1F"/>
    <w:rsid w:val="00A1651B"/>
    <w:rsid w:val="00A21885"/>
    <w:rsid w:val="00A256FD"/>
    <w:rsid w:val="00A32778"/>
    <w:rsid w:val="00A40E98"/>
    <w:rsid w:val="00A430E9"/>
    <w:rsid w:val="00A46CC5"/>
    <w:rsid w:val="00A47A1E"/>
    <w:rsid w:val="00A528DE"/>
    <w:rsid w:val="00A5756E"/>
    <w:rsid w:val="00A60C60"/>
    <w:rsid w:val="00A70811"/>
    <w:rsid w:val="00A717DE"/>
    <w:rsid w:val="00A813F7"/>
    <w:rsid w:val="00A83C88"/>
    <w:rsid w:val="00A908B9"/>
    <w:rsid w:val="00A921B0"/>
    <w:rsid w:val="00AB277D"/>
    <w:rsid w:val="00AB2EDD"/>
    <w:rsid w:val="00AC0C41"/>
    <w:rsid w:val="00AC39EB"/>
    <w:rsid w:val="00AD34C4"/>
    <w:rsid w:val="00AD42AD"/>
    <w:rsid w:val="00AD51C0"/>
    <w:rsid w:val="00AE201D"/>
    <w:rsid w:val="00AE35ED"/>
    <w:rsid w:val="00AE65E2"/>
    <w:rsid w:val="00AF0AD3"/>
    <w:rsid w:val="00AF0EC5"/>
    <w:rsid w:val="00AF6A4F"/>
    <w:rsid w:val="00B0178B"/>
    <w:rsid w:val="00B23402"/>
    <w:rsid w:val="00B23746"/>
    <w:rsid w:val="00B25205"/>
    <w:rsid w:val="00B31C48"/>
    <w:rsid w:val="00B34E49"/>
    <w:rsid w:val="00B46D75"/>
    <w:rsid w:val="00B47799"/>
    <w:rsid w:val="00B60E5D"/>
    <w:rsid w:val="00B61DE9"/>
    <w:rsid w:val="00B659B5"/>
    <w:rsid w:val="00B733F8"/>
    <w:rsid w:val="00B742F6"/>
    <w:rsid w:val="00B8175C"/>
    <w:rsid w:val="00B8589B"/>
    <w:rsid w:val="00B87844"/>
    <w:rsid w:val="00B96900"/>
    <w:rsid w:val="00BA302D"/>
    <w:rsid w:val="00BB1F12"/>
    <w:rsid w:val="00BC18F7"/>
    <w:rsid w:val="00BD5870"/>
    <w:rsid w:val="00BE027E"/>
    <w:rsid w:val="00BE4EB2"/>
    <w:rsid w:val="00BE527A"/>
    <w:rsid w:val="00BE71AB"/>
    <w:rsid w:val="00BF51E4"/>
    <w:rsid w:val="00C0424B"/>
    <w:rsid w:val="00C05657"/>
    <w:rsid w:val="00C07933"/>
    <w:rsid w:val="00C10F63"/>
    <w:rsid w:val="00C22E95"/>
    <w:rsid w:val="00C27D77"/>
    <w:rsid w:val="00C3079A"/>
    <w:rsid w:val="00C33C15"/>
    <w:rsid w:val="00C358D1"/>
    <w:rsid w:val="00C421D3"/>
    <w:rsid w:val="00C45F6E"/>
    <w:rsid w:val="00C50C5D"/>
    <w:rsid w:val="00C600D3"/>
    <w:rsid w:val="00C605D7"/>
    <w:rsid w:val="00C61FF6"/>
    <w:rsid w:val="00C65C2B"/>
    <w:rsid w:val="00C74889"/>
    <w:rsid w:val="00C820ED"/>
    <w:rsid w:val="00C901A5"/>
    <w:rsid w:val="00CA7453"/>
    <w:rsid w:val="00CA7D76"/>
    <w:rsid w:val="00CB2ACB"/>
    <w:rsid w:val="00CC458D"/>
    <w:rsid w:val="00CD4EA6"/>
    <w:rsid w:val="00CD7239"/>
    <w:rsid w:val="00CF43C3"/>
    <w:rsid w:val="00D16475"/>
    <w:rsid w:val="00D17C4C"/>
    <w:rsid w:val="00D2408C"/>
    <w:rsid w:val="00D351A3"/>
    <w:rsid w:val="00D72F10"/>
    <w:rsid w:val="00D82A1A"/>
    <w:rsid w:val="00D87849"/>
    <w:rsid w:val="00D92483"/>
    <w:rsid w:val="00DA151C"/>
    <w:rsid w:val="00DA6D01"/>
    <w:rsid w:val="00DA7466"/>
    <w:rsid w:val="00DB2919"/>
    <w:rsid w:val="00DD2AA3"/>
    <w:rsid w:val="00DD7208"/>
    <w:rsid w:val="00DD7BD7"/>
    <w:rsid w:val="00DE32DB"/>
    <w:rsid w:val="00DF2F7C"/>
    <w:rsid w:val="00DF3968"/>
    <w:rsid w:val="00E05CDF"/>
    <w:rsid w:val="00E11BA0"/>
    <w:rsid w:val="00E12758"/>
    <w:rsid w:val="00E1752C"/>
    <w:rsid w:val="00E179C7"/>
    <w:rsid w:val="00E20CB1"/>
    <w:rsid w:val="00E32881"/>
    <w:rsid w:val="00E354ED"/>
    <w:rsid w:val="00E36C4D"/>
    <w:rsid w:val="00E36D96"/>
    <w:rsid w:val="00E52026"/>
    <w:rsid w:val="00E623E6"/>
    <w:rsid w:val="00E6246F"/>
    <w:rsid w:val="00E637B7"/>
    <w:rsid w:val="00E7049B"/>
    <w:rsid w:val="00E75985"/>
    <w:rsid w:val="00E80447"/>
    <w:rsid w:val="00E81C35"/>
    <w:rsid w:val="00E851A6"/>
    <w:rsid w:val="00E93297"/>
    <w:rsid w:val="00EA49AF"/>
    <w:rsid w:val="00EA4AD3"/>
    <w:rsid w:val="00EA6EFC"/>
    <w:rsid w:val="00EB44F9"/>
    <w:rsid w:val="00EB48AA"/>
    <w:rsid w:val="00EB4BC3"/>
    <w:rsid w:val="00EC37EF"/>
    <w:rsid w:val="00ED638E"/>
    <w:rsid w:val="00ED6B7E"/>
    <w:rsid w:val="00EE2ED0"/>
    <w:rsid w:val="00EE498F"/>
    <w:rsid w:val="00EF0018"/>
    <w:rsid w:val="00EF44D4"/>
    <w:rsid w:val="00EF49BF"/>
    <w:rsid w:val="00F015C5"/>
    <w:rsid w:val="00F0519F"/>
    <w:rsid w:val="00F16A45"/>
    <w:rsid w:val="00F179EE"/>
    <w:rsid w:val="00F3177E"/>
    <w:rsid w:val="00F32CA5"/>
    <w:rsid w:val="00F44D98"/>
    <w:rsid w:val="00F5565D"/>
    <w:rsid w:val="00F937F9"/>
    <w:rsid w:val="00F94EAA"/>
    <w:rsid w:val="00F97ECA"/>
    <w:rsid w:val="00FA30EC"/>
    <w:rsid w:val="00FA686E"/>
    <w:rsid w:val="00FB15DC"/>
    <w:rsid w:val="00FB1DB3"/>
    <w:rsid w:val="00FB26C8"/>
    <w:rsid w:val="00FB7DD2"/>
    <w:rsid w:val="00FC2415"/>
    <w:rsid w:val="00FC2F62"/>
    <w:rsid w:val="00FC6E41"/>
    <w:rsid w:val="00FD36DB"/>
    <w:rsid w:val="00FE0D18"/>
    <w:rsid w:val="012064D3"/>
    <w:rsid w:val="012D479D"/>
    <w:rsid w:val="01B62E2C"/>
    <w:rsid w:val="0212471E"/>
    <w:rsid w:val="02A1111E"/>
    <w:rsid w:val="030E3A3D"/>
    <w:rsid w:val="030F60AD"/>
    <w:rsid w:val="0389389E"/>
    <w:rsid w:val="04385253"/>
    <w:rsid w:val="04EB76C2"/>
    <w:rsid w:val="05132001"/>
    <w:rsid w:val="05CC46CC"/>
    <w:rsid w:val="06057289"/>
    <w:rsid w:val="07351E35"/>
    <w:rsid w:val="082333EB"/>
    <w:rsid w:val="086D1F6C"/>
    <w:rsid w:val="09C2344C"/>
    <w:rsid w:val="0A795CEF"/>
    <w:rsid w:val="0ADB139B"/>
    <w:rsid w:val="0B640E1B"/>
    <w:rsid w:val="0B8969EF"/>
    <w:rsid w:val="0DD12221"/>
    <w:rsid w:val="0DDE06D5"/>
    <w:rsid w:val="0E347D8E"/>
    <w:rsid w:val="0E9E1DF6"/>
    <w:rsid w:val="0EAC258E"/>
    <w:rsid w:val="0EEA0007"/>
    <w:rsid w:val="0EFE09D9"/>
    <w:rsid w:val="0F275D57"/>
    <w:rsid w:val="0F3B1796"/>
    <w:rsid w:val="0F3B4206"/>
    <w:rsid w:val="0FD66C52"/>
    <w:rsid w:val="10516711"/>
    <w:rsid w:val="10583B58"/>
    <w:rsid w:val="10A125DE"/>
    <w:rsid w:val="10A44AD8"/>
    <w:rsid w:val="110E5BD1"/>
    <w:rsid w:val="11313C88"/>
    <w:rsid w:val="1132262E"/>
    <w:rsid w:val="120448F1"/>
    <w:rsid w:val="124461D0"/>
    <w:rsid w:val="12933CF6"/>
    <w:rsid w:val="129E2F84"/>
    <w:rsid w:val="137A7742"/>
    <w:rsid w:val="13E64BE3"/>
    <w:rsid w:val="13EE260A"/>
    <w:rsid w:val="143A55F1"/>
    <w:rsid w:val="150F0169"/>
    <w:rsid w:val="15877D00"/>
    <w:rsid w:val="15A57C41"/>
    <w:rsid w:val="15AC59B8"/>
    <w:rsid w:val="17066EDE"/>
    <w:rsid w:val="17536FCC"/>
    <w:rsid w:val="175516FD"/>
    <w:rsid w:val="175D340E"/>
    <w:rsid w:val="17BE6B31"/>
    <w:rsid w:val="18FE616A"/>
    <w:rsid w:val="195E7DBF"/>
    <w:rsid w:val="1A623F7A"/>
    <w:rsid w:val="1A653C81"/>
    <w:rsid w:val="1A717988"/>
    <w:rsid w:val="1A8A18EB"/>
    <w:rsid w:val="1AE12376"/>
    <w:rsid w:val="1B1172E5"/>
    <w:rsid w:val="1B6E4F14"/>
    <w:rsid w:val="1B9A2B3F"/>
    <w:rsid w:val="1BB55FDE"/>
    <w:rsid w:val="1D231454"/>
    <w:rsid w:val="1E2F1BEB"/>
    <w:rsid w:val="1E3E050C"/>
    <w:rsid w:val="1E722BA1"/>
    <w:rsid w:val="1ED81636"/>
    <w:rsid w:val="1EDD26A8"/>
    <w:rsid w:val="1F360ED9"/>
    <w:rsid w:val="1F6A5AA1"/>
    <w:rsid w:val="20616146"/>
    <w:rsid w:val="206C6EF0"/>
    <w:rsid w:val="210D179A"/>
    <w:rsid w:val="21514E5B"/>
    <w:rsid w:val="23B06991"/>
    <w:rsid w:val="23B532A2"/>
    <w:rsid w:val="242B3E7A"/>
    <w:rsid w:val="24CD196D"/>
    <w:rsid w:val="24DC1BF4"/>
    <w:rsid w:val="250B708D"/>
    <w:rsid w:val="252E154C"/>
    <w:rsid w:val="253146B8"/>
    <w:rsid w:val="25612297"/>
    <w:rsid w:val="266C4CB8"/>
    <w:rsid w:val="272401AF"/>
    <w:rsid w:val="27991A74"/>
    <w:rsid w:val="27BD4A69"/>
    <w:rsid w:val="27C2106B"/>
    <w:rsid w:val="27F5026B"/>
    <w:rsid w:val="28421972"/>
    <w:rsid w:val="28810954"/>
    <w:rsid w:val="288F719F"/>
    <w:rsid w:val="28CA391A"/>
    <w:rsid w:val="28D52E43"/>
    <w:rsid w:val="28E02AE8"/>
    <w:rsid w:val="29321468"/>
    <w:rsid w:val="293852C5"/>
    <w:rsid w:val="293C46D4"/>
    <w:rsid w:val="29772031"/>
    <w:rsid w:val="298E3B37"/>
    <w:rsid w:val="2A1F257C"/>
    <w:rsid w:val="2A966272"/>
    <w:rsid w:val="2B1B392C"/>
    <w:rsid w:val="2B267E53"/>
    <w:rsid w:val="2B482914"/>
    <w:rsid w:val="2B82101E"/>
    <w:rsid w:val="2BB76ED8"/>
    <w:rsid w:val="2BE0339C"/>
    <w:rsid w:val="2C526E62"/>
    <w:rsid w:val="2CD31625"/>
    <w:rsid w:val="2CE77AE2"/>
    <w:rsid w:val="2D727090"/>
    <w:rsid w:val="2DC75FFD"/>
    <w:rsid w:val="2E38018A"/>
    <w:rsid w:val="2E6725F0"/>
    <w:rsid w:val="2EDA085E"/>
    <w:rsid w:val="2EF42D2D"/>
    <w:rsid w:val="2F0320CD"/>
    <w:rsid w:val="2F416D00"/>
    <w:rsid w:val="2F55173C"/>
    <w:rsid w:val="2F9D7DB2"/>
    <w:rsid w:val="2F9E67CC"/>
    <w:rsid w:val="2FD43A25"/>
    <w:rsid w:val="30B359F5"/>
    <w:rsid w:val="31461EEF"/>
    <w:rsid w:val="318468A8"/>
    <w:rsid w:val="31BC23BD"/>
    <w:rsid w:val="31F96DDA"/>
    <w:rsid w:val="323B0398"/>
    <w:rsid w:val="323B2EB3"/>
    <w:rsid w:val="32A44FF2"/>
    <w:rsid w:val="330D2CFA"/>
    <w:rsid w:val="3333106F"/>
    <w:rsid w:val="338A3EE6"/>
    <w:rsid w:val="33BB5931"/>
    <w:rsid w:val="33D2699B"/>
    <w:rsid w:val="3408637E"/>
    <w:rsid w:val="347B794C"/>
    <w:rsid w:val="349121A4"/>
    <w:rsid w:val="349362C5"/>
    <w:rsid w:val="34E47257"/>
    <w:rsid w:val="36015455"/>
    <w:rsid w:val="368E5D4F"/>
    <w:rsid w:val="3696733C"/>
    <w:rsid w:val="36A22C9F"/>
    <w:rsid w:val="36AF4CC0"/>
    <w:rsid w:val="374055DE"/>
    <w:rsid w:val="37470093"/>
    <w:rsid w:val="37F1079D"/>
    <w:rsid w:val="38496425"/>
    <w:rsid w:val="3851417C"/>
    <w:rsid w:val="385C3473"/>
    <w:rsid w:val="3872263A"/>
    <w:rsid w:val="38EF200A"/>
    <w:rsid w:val="39C51821"/>
    <w:rsid w:val="39C656B0"/>
    <w:rsid w:val="3A554158"/>
    <w:rsid w:val="3A8E528F"/>
    <w:rsid w:val="3B80367F"/>
    <w:rsid w:val="3BD91D17"/>
    <w:rsid w:val="3C2126FB"/>
    <w:rsid w:val="3C221C81"/>
    <w:rsid w:val="3C333E47"/>
    <w:rsid w:val="3C487E80"/>
    <w:rsid w:val="3C6C2709"/>
    <w:rsid w:val="3CF643B0"/>
    <w:rsid w:val="3CFC1221"/>
    <w:rsid w:val="3D6C61F5"/>
    <w:rsid w:val="3D7E1C21"/>
    <w:rsid w:val="3DC11DDC"/>
    <w:rsid w:val="3EA66B99"/>
    <w:rsid w:val="3EE32FE9"/>
    <w:rsid w:val="3F003F81"/>
    <w:rsid w:val="3F3023A3"/>
    <w:rsid w:val="3FBC3707"/>
    <w:rsid w:val="3FFD5DB9"/>
    <w:rsid w:val="400E0EDD"/>
    <w:rsid w:val="403A72E0"/>
    <w:rsid w:val="404B79F8"/>
    <w:rsid w:val="40971F84"/>
    <w:rsid w:val="40D849B8"/>
    <w:rsid w:val="411A68FA"/>
    <w:rsid w:val="41306BEE"/>
    <w:rsid w:val="420E5181"/>
    <w:rsid w:val="421A0B4E"/>
    <w:rsid w:val="42203234"/>
    <w:rsid w:val="424F6B75"/>
    <w:rsid w:val="42547074"/>
    <w:rsid w:val="42CB6BCE"/>
    <w:rsid w:val="430A1A36"/>
    <w:rsid w:val="4344571B"/>
    <w:rsid w:val="43846E0E"/>
    <w:rsid w:val="44057AC3"/>
    <w:rsid w:val="441439FF"/>
    <w:rsid w:val="441A0008"/>
    <w:rsid w:val="446B2DAE"/>
    <w:rsid w:val="448C75D4"/>
    <w:rsid w:val="451F459B"/>
    <w:rsid w:val="454755CE"/>
    <w:rsid w:val="463356FA"/>
    <w:rsid w:val="472E670B"/>
    <w:rsid w:val="4733173E"/>
    <w:rsid w:val="47565285"/>
    <w:rsid w:val="478B0A95"/>
    <w:rsid w:val="484A0F8C"/>
    <w:rsid w:val="487F4BD1"/>
    <w:rsid w:val="4A8E2E42"/>
    <w:rsid w:val="4ADA1AD1"/>
    <w:rsid w:val="4AFB116A"/>
    <w:rsid w:val="4B583A7D"/>
    <w:rsid w:val="4B6C225F"/>
    <w:rsid w:val="4D0C0CF4"/>
    <w:rsid w:val="4D4B1038"/>
    <w:rsid w:val="4DAC668D"/>
    <w:rsid w:val="4DFA25C9"/>
    <w:rsid w:val="4E422E51"/>
    <w:rsid w:val="4F211D1F"/>
    <w:rsid w:val="4F5E7115"/>
    <w:rsid w:val="4FEE77E7"/>
    <w:rsid w:val="50332C0A"/>
    <w:rsid w:val="50EF7E09"/>
    <w:rsid w:val="510C536A"/>
    <w:rsid w:val="516C77CE"/>
    <w:rsid w:val="51D25264"/>
    <w:rsid w:val="51EA3604"/>
    <w:rsid w:val="522B58DB"/>
    <w:rsid w:val="523D6E46"/>
    <w:rsid w:val="52525C01"/>
    <w:rsid w:val="52682B1D"/>
    <w:rsid w:val="52823932"/>
    <w:rsid w:val="52AA6936"/>
    <w:rsid w:val="52F63DBF"/>
    <w:rsid w:val="53172B10"/>
    <w:rsid w:val="533B097A"/>
    <w:rsid w:val="536A1E57"/>
    <w:rsid w:val="541C41F6"/>
    <w:rsid w:val="54C9046B"/>
    <w:rsid w:val="54EA70B5"/>
    <w:rsid w:val="54F73E2E"/>
    <w:rsid w:val="55027E0C"/>
    <w:rsid w:val="555B28B2"/>
    <w:rsid w:val="55752738"/>
    <w:rsid w:val="560E3C36"/>
    <w:rsid w:val="562F7E1A"/>
    <w:rsid w:val="56CD5AE2"/>
    <w:rsid w:val="56F672DE"/>
    <w:rsid w:val="57BD35FB"/>
    <w:rsid w:val="58337298"/>
    <w:rsid w:val="583D3ABD"/>
    <w:rsid w:val="586609E9"/>
    <w:rsid w:val="5911614E"/>
    <w:rsid w:val="591506B1"/>
    <w:rsid w:val="5B09414A"/>
    <w:rsid w:val="5B0A4242"/>
    <w:rsid w:val="5C3026AA"/>
    <w:rsid w:val="5C3A137F"/>
    <w:rsid w:val="5CA95565"/>
    <w:rsid w:val="5CE46AB5"/>
    <w:rsid w:val="5D4C58EE"/>
    <w:rsid w:val="5D7509CD"/>
    <w:rsid w:val="5DE55405"/>
    <w:rsid w:val="5DE87AE6"/>
    <w:rsid w:val="5E01273F"/>
    <w:rsid w:val="5E6E5EBB"/>
    <w:rsid w:val="5EA00698"/>
    <w:rsid w:val="5EE66CDB"/>
    <w:rsid w:val="5EE6758F"/>
    <w:rsid w:val="5F105BB1"/>
    <w:rsid w:val="5F3F16A6"/>
    <w:rsid w:val="5FC93F22"/>
    <w:rsid w:val="600E14DC"/>
    <w:rsid w:val="601954DC"/>
    <w:rsid w:val="60C66A9B"/>
    <w:rsid w:val="61C962D2"/>
    <w:rsid w:val="624D53FA"/>
    <w:rsid w:val="62752F22"/>
    <w:rsid w:val="627B3D15"/>
    <w:rsid w:val="62B2245C"/>
    <w:rsid w:val="63452684"/>
    <w:rsid w:val="63C72641"/>
    <w:rsid w:val="641D37F7"/>
    <w:rsid w:val="648A1680"/>
    <w:rsid w:val="64AF0FD0"/>
    <w:rsid w:val="64CA346F"/>
    <w:rsid w:val="650A755C"/>
    <w:rsid w:val="65C27C05"/>
    <w:rsid w:val="65E6703A"/>
    <w:rsid w:val="66982F46"/>
    <w:rsid w:val="66B645E3"/>
    <w:rsid w:val="671E39AE"/>
    <w:rsid w:val="67323183"/>
    <w:rsid w:val="67E624A3"/>
    <w:rsid w:val="67E81EC1"/>
    <w:rsid w:val="681813A2"/>
    <w:rsid w:val="68442E05"/>
    <w:rsid w:val="687342F4"/>
    <w:rsid w:val="69156574"/>
    <w:rsid w:val="6A4D1869"/>
    <w:rsid w:val="6AA52AB8"/>
    <w:rsid w:val="6AD211B7"/>
    <w:rsid w:val="6B4C0725"/>
    <w:rsid w:val="6BA71EC2"/>
    <w:rsid w:val="6BC248F1"/>
    <w:rsid w:val="6C102593"/>
    <w:rsid w:val="6C11750A"/>
    <w:rsid w:val="6C447EDB"/>
    <w:rsid w:val="6CAE1BD2"/>
    <w:rsid w:val="6CBD3CE8"/>
    <w:rsid w:val="6CBF6EF4"/>
    <w:rsid w:val="6CFB6181"/>
    <w:rsid w:val="6D1A6001"/>
    <w:rsid w:val="6D374DE5"/>
    <w:rsid w:val="6D4D0561"/>
    <w:rsid w:val="6D573B7A"/>
    <w:rsid w:val="6DE31AE5"/>
    <w:rsid w:val="6E45057B"/>
    <w:rsid w:val="6E935C91"/>
    <w:rsid w:val="6EAD1AD1"/>
    <w:rsid w:val="6EE34CD2"/>
    <w:rsid w:val="6F4D4C8B"/>
    <w:rsid w:val="6F566932"/>
    <w:rsid w:val="6F984159"/>
    <w:rsid w:val="6FAA3799"/>
    <w:rsid w:val="6FC35856"/>
    <w:rsid w:val="6FD32149"/>
    <w:rsid w:val="7004610C"/>
    <w:rsid w:val="701267C9"/>
    <w:rsid w:val="70163A47"/>
    <w:rsid w:val="7084106C"/>
    <w:rsid w:val="71921F5F"/>
    <w:rsid w:val="723D4915"/>
    <w:rsid w:val="72B3540C"/>
    <w:rsid w:val="72F1646D"/>
    <w:rsid w:val="72F22E9E"/>
    <w:rsid w:val="738959CD"/>
    <w:rsid w:val="740753E6"/>
    <w:rsid w:val="743014D4"/>
    <w:rsid w:val="7487654A"/>
    <w:rsid w:val="74B3196C"/>
    <w:rsid w:val="74D548B2"/>
    <w:rsid w:val="753C5780"/>
    <w:rsid w:val="753E6DD7"/>
    <w:rsid w:val="75911F91"/>
    <w:rsid w:val="76144F29"/>
    <w:rsid w:val="764F75B3"/>
    <w:rsid w:val="767F029B"/>
    <w:rsid w:val="76A2645F"/>
    <w:rsid w:val="76A61C34"/>
    <w:rsid w:val="76B46C0A"/>
    <w:rsid w:val="76F51445"/>
    <w:rsid w:val="7784241B"/>
    <w:rsid w:val="783340AB"/>
    <w:rsid w:val="78DB4B00"/>
    <w:rsid w:val="78E66C4B"/>
    <w:rsid w:val="79276269"/>
    <w:rsid w:val="792F24E1"/>
    <w:rsid w:val="79480349"/>
    <w:rsid w:val="79C93887"/>
    <w:rsid w:val="7AEF7E73"/>
    <w:rsid w:val="7B0C70C5"/>
    <w:rsid w:val="7B291921"/>
    <w:rsid w:val="7B457C36"/>
    <w:rsid w:val="7B5E6391"/>
    <w:rsid w:val="7B7B726E"/>
    <w:rsid w:val="7BA64EF7"/>
    <w:rsid w:val="7C2C5CB1"/>
    <w:rsid w:val="7C9642AB"/>
    <w:rsid w:val="7CFE395E"/>
    <w:rsid w:val="7D8C4B7F"/>
    <w:rsid w:val="7E153BCF"/>
    <w:rsid w:val="7E513576"/>
    <w:rsid w:val="7E576C33"/>
    <w:rsid w:val="7E991353"/>
    <w:rsid w:val="7EDB5290"/>
    <w:rsid w:val="7F336F33"/>
    <w:rsid w:val="7F625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0"/>
    <w:pPr>
      <w:keepNext/>
      <w:keepLines/>
      <w:spacing w:beforeLines="50" w:afterLines="150"/>
      <w:jc w:val="center"/>
      <w:outlineLvl w:val="0"/>
    </w:pPr>
    <w:rPr>
      <w:rFonts w:ascii="Times New Roman" w:hAnsi="Times New Roman" w:cs="Times New Roman"/>
      <w:b/>
      <w:kern w:val="44"/>
      <w:sz w:val="48"/>
      <w:szCs w:val="20"/>
    </w:rPr>
  </w:style>
  <w:style w:type="paragraph" w:styleId="4">
    <w:name w:val="heading 2"/>
    <w:basedOn w:val="1"/>
    <w:next w:val="1"/>
    <w:link w:val="22"/>
    <w:unhideWhenUsed/>
    <w:qFormat/>
    <w:uiPriority w:val="0"/>
    <w:pPr>
      <w:keepNext/>
      <w:keepLines/>
      <w:spacing w:before="260" w:after="260"/>
      <w:jc w:val="center"/>
      <w:outlineLvl w:val="1"/>
    </w:pPr>
    <w:rPr>
      <w:rFonts w:ascii="Arial" w:hAnsi="Arial" w:eastAsia="黑体"/>
      <w:b/>
      <w:sz w:val="32"/>
    </w:rPr>
  </w:style>
  <w:style w:type="paragraph" w:styleId="5">
    <w:name w:val="heading 3"/>
    <w:basedOn w:val="1"/>
    <w:next w:val="1"/>
    <w:link w:val="29"/>
    <w:unhideWhenUsed/>
    <w:qFormat/>
    <w:uiPriority w:val="0"/>
    <w:pPr>
      <w:keepNext/>
      <w:keepLines/>
      <w:ind w:left="420" w:leftChars="200" w:firstLine="880" w:firstLineChars="200"/>
      <w:jc w:val="left"/>
      <w:outlineLvl w:val="2"/>
    </w:pPr>
    <w:rPr>
      <w:rFonts w:ascii="Calibri" w:hAnsi="Calibri" w:eastAsia="黑体"/>
      <w:b/>
      <w:kern w:val="0"/>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
    <w:name w:val="列出段落1"/>
    <w:basedOn w:val="1"/>
    <w:qFormat/>
    <w:uiPriority w:val="0"/>
    <w:pPr>
      <w:adjustRightInd w:val="0"/>
      <w:spacing w:line="312" w:lineRule="atLeast"/>
      <w:ind w:firstLine="420" w:firstLineChars="200"/>
    </w:pPr>
    <w:rPr>
      <w:rFonts w:ascii="等线" w:hAnsi="等线" w:eastAsia="等线" w:cs="Times New Roman"/>
      <w:szCs w:val="22"/>
    </w:rPr>
  </w:style>
  <w:style w:type="paragraph" w:customStyle="1" w:styleId="14">
    <w:name w:val="_Style 2"/>
    <w:basedOn w:val="1"/>
    <w:qFormat/>
    <w:uiPriority w:val="0"/>
    <w:pPr>
      <w:ind w:firstLine="420" w:firstLineChars="200"/>
    </w:pPr>
    <w:rPr>
      <w:rFonts w:ascii="Calibri" w:hAnsi="Calibri" w:eastAsia="宋体" w:cs="Times New Roman"/>
    </w:rPr>
  </w:style>
  <w:style w:type="paragraph" w:customStyle="1" w:styleId="15">
    <w:name w:val="_Style 3"/>
    <w:basedOn w:val="1"/>
    <w:qFormat/>
    <w:uiPriority w:val="0"/>
    <w:pPr>
      <w:ind w:firstLine="420" w:firstLineChars="200"/>
    </w:pPr>
    <w:rPr>
      <w:rFonts w:ascii="Calibri" w:hAnsi="Calibri" w:eastAsia="宋体" w:cs="Times New Roman"/>
    </w:rPr>
  </w:style>
  <w:style w:type="character" w:customStyle="1" w:styleId="16">
    <w:name w:val="页眉 Char"/>
    <w:basedOn w:val="11"/>
    <w:link w:val="8"/>
    <w:qFormat/>
    <w:uiPriority w:val="0"/>
    <w:rPr>
      <w:rFonts w:asciiTheme="minorHAnsi" w:hAnsiTheme="minorHAnsi" w:eastAsiaTheme="minorEastAsia" w:cstheme="minorBidi"/>
      <w:kern w:val="2"/>
      <w:sz w:val="18"/>
      <w:szCs w:val="18"/>
    </w:rPr>
  </w:style>
  <w:style w:type="character" w:customStyle="1" w:styleId="17">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8">
    <w:name w:val="标题 3 Char"/>
    <w:basedOn w:val="11"/>
    <w:link w:val="5"/>
    <w:qFormat/>
    <w:uiPriority w:val="0"/>
    <w:rPr>
      <w:rFonts w:eastAsia="黑体" w:cstheme="minorBidi"/>
      <w:b/>
      <w:sz w:val="28"/>
      <w:szCs w:val="32"/>
    </w:rPr>
  </w:style>
  <w:style w:type="paragraph" w:styleId="19">
    <w:name w:val="List Paragraph"/>
    <w:basedOn w:val="1"/>
    <w:unhideWhenUsed/>
    <w:qFormat/>
    <w:uiPriority w:val="99"/>
    <w:pPr>
      <w:ind w:firstLine="420" w:firstLineChars="200"/>
    </w:pPr>
  </w:style>
  <w:style w:type="paragraph" w:customStyle="1" w:styleId="20">
    <w:name w:val="p0"/>
    <w:basedOn w:val="1"/>
    <w:qFormat/>
    <w:uiPriority w:val="0"/>
    <w:pPr>
      <w:widowControl/>
      <w:spacing w:line="360" w:lineRule="auto"/>
    </w:pPr>
    <w:rPr>
      <w:kern w:val="0"/>
      <w:szCs w:val="21"/>
    </w:rPr>
  </w:style>
  <w:style w:type="character" w:customStyle="1" w:styleId="21">
    <w:name w:val="标题 1 Char"/>
    <w:basedOn w:val="11"/>
    <w:link w:val="3"/>
    <w:qFormat/>
    <w:uiPriority w:val="0"/>
    <w:rPr>
      <w:rFonts w:ascii="Times New Roman" w:hAnsi="Times New Roman" w:eastAsiaTheme="minorEastAsia"/>
      <w:b/>
      <w:kern w:val="44"/>
      <w:sz w:val="48"/>
    </w:rPr>
  </w:style>
  <w:style w:type="character" w:customStyle="1" w:styleId="22">
    <w:name w:val="标题 2 Char"/>
    <w:basedOn w:val="11"/>
    <w:link w:val="4"/>
    <w:qFormat/>
    <w:uiPriority w:val="0"/>
    <w:rPr>
      <w:rFonts w:ascii="Arial" w:hAnsi="Arial" w:eastAsia="黑体" w:cstheme="minorBidi"/>
      <w:b/>
      <w:kern w:val="2"/>
      <w:sz w:val="32"/>
      <w:szCs w:val="24"/>
    </w:rPr>
  </w:style>
  <w:style w:type="paragraph" w:customStyle="1" w:styleId="23">
    <w:name w:val="备注"/>
    <w:basedOn w:val="1"/>
    <w:link w:val="24"/>
    <w:qFormat/>
    <w:uiPriority w:val="0"/>
    <w:pPr>
      <w:autoSpaceDE w:val="0"/>
      <w:autoSpaceDN w:val="0"/>
      <w:adjustRightInd w:val="0"/>
      <w:jc w:val="left"/>
    </w:pPr>
    <w:rPr>
      <w:rFonts w:ascii="微软雅黑" w:cs="微软雅黑"/>
      <w:color w:val="000000"/>
      <w:kern w:val="0"/>
      <w:sz w:val="18"/>
    </w:rPr>
  </w:style>
  <w:style w:type="character" w:customStyle="1" w:styleId="24">
    <w:name w:val="备注 Char"/>
    <w:basedOn w:val="11"/>
    <w:link w:val="23"/>
    <w:qFormat/>
    <w:uiPriority w:val="0"/>
    <w:rPr>
      <w:rFonts w:ascii="微软雅黑" w:cs="微软雅黑" w:hAnsiTheme="minorHAnsi" w:eastAsiaTheme="minorEastAsia"/>
      <w:color w:val="000000"/>
      <w:sz w:val="18"/>
      <w:szCs w:val="24"/>
    </w:rPr>
  </w:style>
  <w:style w:type="character" w:customStyle="1" w:styleId="25">
    <w:name w:val="font11"/>
    <w:basedOn w:val="11"/>
    <w:qFormat/>
    <w:uiPriority w:val="0"/>
    <w:rPr>
      <w:rFonts w:hint="eastAsia" w:ascii="宋体" w:hAnsi="宋体" w:eastAsia="宋体" w:cs="宋体"/>
      <w:color w:val="000000"/>
      <w:sz w:val="22"/>
      <w:szCs w:val="22"/>
      <w:u w:val="none"/>
    </w:rPr>
  </w:style>
  <w:style w:type="character" w:customStyle="1" w:styleId="26">
    <w:name w:val="font01"/>
    <w:basedOn w:val="11"/>
    <w:qFormat/>
    <w:uiPriority w:val="0"/>
    <w:rPr>
      <w:rFonts w:hint="eastAsia" w:ascii="宋体" w:hAnsi="宋体" w:eastAsia="宋体" w:cs="宋体"/>
      <w:color w:val="000000"/>
      <w:sz w:val="22"/>
      <w:szCs w:val="22"/>
      <w:u w:val="none"/>
    </w:rPr>
  </w:style>
  <w:style w:type="paragraph" w:customStyle="1" w:styleId="27">
    <w:name w:val="7.正文"/>
    <w:qFormat/>
    <w:uiPriority w:val="0"/>
    <w:pPr>
      <w:spacing w:line="360" w:lineRule="auto"/>
      <w:ind w:firstLine="200" w:firstLineChars="200"/>
      <w:jc w:val="both"/>
    </w:pPr>
    <w:rPr>
      <w:rFonts w:ascii="Times New Roman" w:hAnsi="Times New Roman" w:eastAsiaTheme="minorEastAsia" w:cstheme="minorBidi"/>
      <w:kern w:val="2"/>
      <w:sz w:val="24"/>
      <w:szCs w:val="21"/>
      <w:lang w:val="en-US" w:eastAsia="zh-CN" w:bidi="ar-SA"/>
    </w:rPr>
  </w:style>
  <w:style w:type="character" w:customStyle="1" w:styleId="28">
    <w:name w:val="标题 3 字符"/>
    <w:qFormat/>
    <w:uiPriority w:val="0"/>
    <w:rPr>
      <w:rFonts w:ascii="Calibri" w:hAnsi="Calibri" w:eastAsia="黑体"/>
      <w:b/>
      <w:kern w:val="0"/>
      <w:sz w:val="28"/>
      <w:szCs w:val="32"/>
    </w:rPr>
  </w:style>
  <w:style w:type="character" w:customStyle="1" w:styleId="29">
    <w:name w:val="标题 3 字符1"/>
    <w:link w:val="5"/>
    <w:qFormat/>
    <w:uiPriority w:val="0"/>
    <w:rPr>
      <w:rFonts w:ascii="Calibri" w:hAnsi="Calibri" w:eastAsia="黑体"/>
      <w:b/>
      <w:kern w:val="0"/>
      <w:sz w:val="28"/>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DD930-86D9-498F-8ADD-EA246D3B5A90}">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6120</Words>
  <Characters>7089</Characters>
  <Lines>19</Lines>
  <Paragraphs>26</Paragraphs>
  <TotalTime>10</TotalTime>
  <ScaleCrop>false</ScaleCrop>
  <LinksUpToDate>false</LinksUpToDate>
  <CharactersWithSpaces>7282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2020-04-12T01:30:00Z</dcterms:created>
  <dc:creator>Administrator</dc:creator>
  <cp:lastModifiedBy>王晨怡</cp:lastModifiedBy>
  <cp:lastPrinted>2023-01-30T08:28:00Z</cp:lastPrinted>
  <dcterms:modified xsi:type="dcterms:W3CDTF">2023-08-15T01:46:16Z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B77285FDEDF645D0A584A89036AA0488_13</vt:lpwstr>
  </property>
  <property fmtid="{D5CDD505-2E9C-101B-9397-08002B2CF9AE}" pid="4" name="commondata">
    <vt:lpwstr>eyJoZGlkIjoiNGZjZjg0MDE5MDAwMjdmMDYxZGFmODAwYjVjYmNiNDMifQ==</vt:lpwstr>
  </property>
</Properties>
</file>