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kinsoku/>
        <w:wordWrap/>
        <w:overflowPunct/>
        <w:topLinePunct w:val="0"/>
        <w:autoSpaceDE/>
        <w:autoSpaceDN/>
        <w:bidi w:val="0"/>
        <w:spacing w:line="570" w:lineRule="exact"/>
        <w:jc w:val="center"/>
        <w:textAlignment w:val="auto"/>
        <w:rPr>
          <w:rFonts w:hint="eastAsia" w:ascii="方正小标宋简体" w:hAnsi="方正小标宋简体" w:eastAsia="方正小标宋简体" w:cs="方正小标宋简体"/>
          <w:b w:val="0"/>
          <w:bCs w:val="0"/>
          <w:color w:val="auto"/>
          <w:sz w:val="44"/>
          <w:szCs w:val="44"/>
          <w:highlight w:val="none"/>
        </w:rPr>
      </w:pPr>
      <w:bookmarkStart w:id="0" w:name="_Toc92188479"/>
      <w:r>
        <w:rPr>
          <w:rFonts w:hint="eastAsia" w:ascii="方正小标宋简体" w:hAnsi="方正小标宋简体" w:eastAsia="方正小标宋简体" w:cs="方正小标宋简体"/>
          <w:b w:val="0"/>
          <w:bCs w:val="0"/>
          <w:color w:val="auto"/>
          <w:sz w:val="44"/>
          <w:szCs w:val="44"/>
          <w:highlight w:val="none"/>
          <w:lang w:val="en-US" w:eastAsia="zh-CN"/>
        </w:rPr>
        <w:t>金箍棒型庭院灯</w:t>
      </w:r>
      <w:r>
        <w:rPr>
          <w:rFonts w:hint="eastAsia" w:ascii="方正小标宋简体" w:hAnsi="方正小标宋简体" w:eastAsia="方正小标宋简体" w:cs="方正小标宋简体"/>
          <w:b w:val="0"/>
          <w:bCs w:val="0"/>
          <w:color w:val="auto"/>
          <w:sz w:val="44"/>
          <w:szCs w:val="44"/>
          <w:highlight w:val="none"/>
        </w:rPr>
        <w:t>技术文件</w:t>
      </w:r>
      <w:bookmarkEnd w:id="0"/>
    </w:p>
    <w:p>
      <w:pPr>
        <w:pStyle w:val="4"/>
        <w:pageBreakBefore w:val="0"/>
        <w:kinsoku/>
        <w:wordWrap/>
        <w:overflowPunct/>
        <w:topLinePunct w:val="0"/>
        <w:autoSpaceDE/>
        <w:autoSpaceDN/>
        <w:bidi w:val="0"/>
        <w:spacing w:line="570" w:lineRule="exact"/>
        <w:ind w:left="197" w:leftChars="94" w:right="210" w:firstLine="438" w:firstLineChars="137"/>
        <w:jc w:val="left"/>
        <w:textAlignment w:val="auto"/>
        <w:rPr>
          <w:rFonts w:hint="eastAsia" w:ascii="黑体" w:hAnsi="黑体" w:eastAsia="黑体" w:cs="黑体"/>
          <w:b w:val="0"/>
          <w:bCs/>
          <w:color w:val="auto"/>
          <w:sz w:val="32"/>
          <w:szCs w:val="32"/>
          <w:highlight w:val="none"/>
        </w:rPr>
      </w:pPr>
      <w:bookmarkStart w:id="1" w:name="_Toc19004"/>
      <w:bookmarkStart w:id="2" w:name="_Toc92188480"/>
      <w:r>
        <w:rPr>
          <w:rFonts w:hint="eastAsia" w:ascii="黑体" w:hAnsi="黑体" w:eastAsia="黑体" w:cs="黑体"/>
          <w:b w:val="0"/>
          <w:bCs/>
          <w:color w:val="auto"/>
          <w:sz w:val="32"/>
          <w:szCs w:val="32"/>
          <w:highlight w:val="none"/>
        </w:rPr>
        <w:t>一、灯具清单</w:t>
      </w:r>
      <w:bookmarkEnd w:id="1"/>
      <w:bookmarkEnd w:id="2"/>
    </w:p>
    <w:tbl>
      <w:tblPr>
        <w:tblStyle w:val="8"/>
        <w:tblW w:w="5052" w:type="pct"/>
        <w:jc w:val="center"/>
        <w:tblLayout w:type="fixed"/>
        <w:tblCellMar>
          <w:top w:w="15" w:type="dxa"/>
          <w:left w:w="108" w:type="dxa"/>
          <w:bottom w:w="15" w:type="dxa"/>
          <w:right w:w="108" w:type="dxa"/>
        </w:tblCellMar>
      </w:tblPr>
      <w:tblGrid>
        <w:gridCol w:w="536"/>
        <w:gridCol w:w="1574"/>
        <w:gridCol w:w="809"/>
        <w:gridCol w:w="1009"/>
        <w:gridCol w:w="682"/>
        <w:gridCol w:w="705"/>
        <w:gridCol w:w="413"/>
        <w:gridCol w:w="1191"/>
        <w:gridCol w:w="1693"/>
      </w:tblGrid>
      <w:tr>
        <w:tblPrEx>
          <w:tblCellMar>
            <w:top w:w="15" w:type="dxa"/>
            <w:left w:w="108" w:type="dxa"/>
            <w:bottom w:w="15" w:type="dxa"/>
            <w:right w:w="108" w:type="dxa"/>
          </w:tblCellMar>
        </w:tblPrEx>
        <w:trPr>
          <w:trHeight w:val="365"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序号</w:t>
            </w:r>
          </w:p>
        </w:tc>
        <w:tc>
          <w:tcPr>
            <w:tcW w:w="913" w:type="pc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灯具名称</w:t>
            </w:r>
          </w:p>
        </w:tc>
        <w:tc>
          <w:tcPr>
            <w:tcW w:w="469" w:type="pc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光源</w:t>
            </w:r>
          </w:p>
        </w:tc>
        <w:tc>
          <w:tcPr>
            <w:tcW w:w="585" w:type="pc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色温</w:t>
            </w:r>
          </w:p>
        </w:tc>
        <w:tc>
          <w:tcPr>
            <w:tcW w:w="395" w:type="pct"/>
            <w:tcBorders>
              <w:top w:val="single" w:color="000000" w:sz="4" w:space="0"/>
              <w:left w:val="single" w:color="000000" w:sz="4" w:space="0"/>
              <w:bottom w:val="single" w:color="000000" w:sz="4" w:space="0"/>
              <w:right w:val="single" w:color="auto" w:sz="4" w:space="0"/>
            </w:tcBorders>
            <w:shd w:val="clear" w:color="auto" w:fill="D9D9D9"/>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功率</w:t>
            </w:r>
          </w:p>
        </w:tc>
        <w:tc>
          <w:tcPr>
            <w:tcW w:w="409" w:type="pct"/>
            <w:tcBorders>
              <w:top w:val="single" w:color="000000" w:sz="4" w:space="0"/>
              <w:left w:val="single" w:color="auto" w:sz="4" w:space="0"/>
              <w:bottom w:val="single" w:color="000000" w:sz="4" w:space="0"/>
              <w:right w:val="single" w:color="auto" w:sz="4" w:space="0"/>
            </w:tcBorders>
            <w:shd w:val="clear" w:color="auto" w:fill="D9D9D9"/>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lang w:val="en-US" w:eastAsia="zh-CN"/>
              </w:rPr>
            </w:pPr>
            <w:r>
              <w:rPr>
                <w:rFonts w:hint="eastAsia" w:ascii="仿宋" w:hAnsi="仿宋" w:eastAsia="仿宋" w:cs="仿宋"/>
                <w:color w:val="auto"/>
                <w:kern w:val="0"/>
                <w:sz w:val="30"/>
                <w:szCs w:val="30"/>
                <w:highlight w:val="none"/>
                <w:lang w:val="en-US" w:eastAsia="zh-CN"/>
              </w:rPr>
              <w:t>数量</w:t>
            </w:r>
          </w:p>
        </w:tc>
        <w:tc>
          <w:tcPr>
            <w:tcW w:w="239" w:type="pct"/>
            <w:tcBorders>
              <w:top w:val="single" w:color="000000" w:sz="4" w:space="0"/>
              <w:left w:val="single" w:color="auto" w:sz="4" w:space="0"/>
              <w:bottom w:val="single" w:color="000000" w:sz="4" w:space="0"/>
              <w:right w:val="single" w:color="auto" w:sz="4" w:space="0"/>
            </w:tcBorders>
            <w:shd w:val="clear" w:color="auto" w:fill="D9D9D9"/>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单位</w:t>
            </w:r>
          </w:p>
        </w:tc>
        <w:tc>
          <w:tcPr>
            <w:tcW w:w="691" w:type="pct"/>
            <w:tcBorders>
              <w:top w:val="single" w:color="000000" w:sz="4" w:space="0"/>
              <w:left w:val="single" w:color="auto" w:sz="4" w:space="0"/>
              <w:bottom w:val="single" w:color="000000" w:sz="4" w:space="0"/>
              <w:right w:val="single" w:color="auto" w:sz="4" w:space="0"/>
            </w:tcBorders>
            <w:shd w:val="clear" w:color="auto" w:fill="D9D9D9"/>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lang w:val="en-US" w:eastAsia="zh-CN"/>
              </w:rPr>
            </w:pPr>
            <w:r>
              <w:rPr>
                <w:rFonts w:hint="eastAsia" w:ascii="仿宋" w:hAnsi="仿宋" w:eastAsia="仿宋" w:cs="仿宋"/>
                <w:color w:val="auto"/>
                <w:kern w:val="0"/>
                <w:sz w:val="30"/>
                <w:szCs w:val="30"/>
                <w:highlight w:val="none"/>
                <w:lang w:val="en-US" w:eastAsia="zh-CN"/>
              </w:rPr>
              <w:t>预算价（元）</w:t>
            </w:r>
          </w:p>
        </w:tc>
        <w:tc>
          <w:tcPr>
            <w:tcW w:w="982" w:type="pct"/>
            <w:tcBorders>
              <w:top w:val="single" w:color="000000" w:sz="4" w:space="0"/>
              <w:left w:val="single" w:color="auto" w:sz="4" w:space="0"/>
              <w:bottom w:val="single" w:color="000000" w:sz="4" w:space="0"/>
              <w:right w:val="single" w:color="000000" w:sz="4" w:space="0"/>
            </w:tcBorders>
            <w:shd w:val="clear" w:color="auto" w:fill="D9D9D9"/>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材料编码</w:t>
            </w:r>
          </w:p>
        </w:tc>
      </w:tr>
      <w:tr>
        <w:tblPrEx>
          <w:tblCellMar>
            <w:top w:w="15" w:type="dxa"/>
            <w:left w:w="108" w:type="dxa"/>
            <w:bottom w:w="15" w:type="dxa"/>
            <w:right w:w="108" w:type="dxa"/>
          </w:tblCellMar>
        </w:tblPrEx>
        <w:trPr>
          <w:trHeight w:val="779" w:hRule="atLeast"/>
          <w:jc w:val="center"/>
        </w:trPr>
        <w:tc>
          <w:tcPr>
            <w:tcW w:w="311" w:type="pc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1</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0"/>
                <w:szCs w:val="30"/>
                <w:highlight w:val="none"/>
                <w:lang w:val="en-US" w:eastAsia="zh-CN"/>
              </w:rPr>
            </w:pPr>
            <w:r>
              <w:rPr>
                <w:rFonts w:hint="eastAsia" w:ascii="仿宋" w:hAnsi="仿宋" w:eastAsia="仿宋" w:cs="仿宋"/>
                <w:color w:val="auto"/>
                <w:kern w:val="0"/>
                <w:sz w:val="30"/>
                <w:szCs w:val="30"/>
                <w:highlight w:val="none"/>
                <w:lang w:val="en-US" w:eastAsia="zh-CN"/>
              </w:rPr>
              <w:t>金箍棒型庭院灯</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default" w:ascii="仿宋" w:hAnsi="仿宋" w:eastAsia="仿宋" w:cs="仿宋"/>
                <w:color w:val="auto"/>
                <w:kern w:val="0"/>
                <w:sz w:val="30"/>
                <w:szCs w:val="30"/>
                <w:highlight w:val="none"/>
                <w:lang w:val="en-US" w:eastAsia="zh-CN"/>
              </w:rPr>
            </w:pPr>
            <w:r>
              <w:rPr>
                <w:rFonts w:hint="eastAsia" w:ascii="仿宋" w:hAnsi="仿宋" w:eastAsia="仿宋" w:cs="仿宋"/>
                <w:color w:val="auto"/>
                <w:kern w:val="0"/>
                <w:sz w:val="30"/>
                <w:szCs w:val="30"/>
                <w:highlight w:val="none"/>
              </w:rPr>
              <w:t>LED</w:t>
            </w:r>
            <w:r>
              <w:rPr>
                <w:rFonts w:hint="eastAsia" w:ascii="仿宋" w:hAnsi="仿宋" w:eastAsia="仿宋" w:cs="仿宋"/>
                <w:color w:val="auto"/>
                <w:kern w:val="0"/>
                <w:sz w:val="30"/>
                <w:szCs w:val="30"/>
                <w:highlight w:val="none"/>
                <w:lang w:val="en-US" w:eastAsia="zh-CN"/>
              </w:rPr>
              <w:t xml:space="preserve">  </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3000K</w:t>
            </w:r>
          </w:p>
        </w:tc>
        <w:tc>
          <w:tcPr>
            <w:tcW w:w="395" w:type="pct"/>
            <w:tcBorders>
              <w:top w:val="single" w:color="000000" w:sz="4" w:space="0"/>
              <w:left w:val="single" w:color="000000" w:sz="4" w:space="0"/>
              <w:bottom w:val="single" w:color="000000"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lang w:val="en-US" w:eastAsia="zh-CN"/>
              </w:rPr>
              <w:t>4</w:t>
            </w:r>
            <w:r>
              <w:rPr>
                <w:rFonts w:hint="eastAsia" w:ascii="仿宋" w:hAnsi="仿宋" w:eastAsia="仿宋" w:cs="仿宋"/>
                <w:color w:val="auto"/>
                <w:kern w:val="0"/>
                <w:sz w:val="30"/>
                <w:szCs w:val="30"/>
                <w:highlight w:val="none"/>
              </w:rPr>
              <w:t>0W</w:t>
            </w:r>
          </w:p>
        </w:tc>
        <w:tc>
          <w:tcPr>
            <w:tcW w:w="409" w:type="pct"/>
            <w:tcBorders>
              <w:top w:val="single" w:color="000000" w:sz="4" w:space="0"/>
              <w:left w:val="single" w:color="auto" w:sz="4" w:space="0"/>
              <w:bottom w:val="single" w:color="000000"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default" w:ascii="仿宋" w:hAnsi="仿宋" w:eastAsia="仿宋" w:cs="仿宋"/>
                <w:color w:val="auto"/>
                <w:kern w:val="0"/>
                <w:sz w:val="30"/>
                <w:szCs w:val="30"/>
                <w:highlight w:val="none"/>
                <w:lang w:val="en-US" w:eastAsia="zh-CN"/>
              </w:rPr>
            </w:pPr>
            <w:r>
              <w:rPr>
                <w:rFonts w:hint="eastAsia" w:ascii="仿宋" w:hAnsi="仿宋" w:eastAsia="仿宋" w:cs="仿宋"/>
                <w:color w:val="auto"/>
                <w:kern w:val="0"/>
                <w:sz w:val="30"/>
                <w:szCs w:val="30"/>
                <w:highlight w:val="none"/>
                <w:lang w:val="en-US" w:eastAsia="zh-CN"/>
              </w:rPr>
              <w:t>35</w:t>
            </w:r>
          </w:p>
        </w:tc>
        <w:tc>
          <w:tcPr>
            <w:tcW w:w="239" w:type="pct"/>
            <w:tcBorders>
              <w:top w:val="single" w:color="000000" w:sz="4" w:space="0"/>
              <w:left w:val="single" w:color="auto" w:sz="4" w:space="0"/>
              <w:bottom w:val="single" w:color="000000"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套</w:t>
            </w:r>
          </w:p>
        </w:tc>
        <w:tc>
          <w:tcPr>
            <w:tcW w:w="691" w:type="pct"/>
            <w:tcBorders>
              <w:top w:val="single" w:color="000000" w:sz="4" w:space="0"/>
              <w:left w:val="single" w:color="auto" w:sz="4" w:space="0"/>
              <w:bottom w:val="single" w:color="000000"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default" w:ascii="仿宋" w:hAnsi="仿宋" w:eastAsia="仿宋" w:cs="仿宋"/>
                <w:color w:val="auto"/>
                <w:kern w:val="0"/>
                <w:sz w:val="30"/>
                <w:szCs w:val="30"/>
                <w:highlight w:val="none"/>
                <w:lang w:val="en-US" w:eastAsia="zh-CN"/>
              </w:rPr>
            </w:pPr>
            <w:r>
              <w:rPr>
                <w:rFonts w:hint="eastAsia" w:ascii="仿宋" w:hAnsi="仿宋" w:eastAsia="仿宋" w:cs="仿宋"/>
                <w:color w:val="auto"/>
                <w:kern w:val="0"/>
                <w:sz w:val="30"/>
                <w:szCs w:val="30"/>
                <w:highlight w:val="none"/>
                <w:lang w:val="en-US" w:eastAsia="zh-CN"/>
              </w:rPr>
              <w:t>99750</w:t>
            </w:r>
            <w:bookmarkStart w:id="61" w:name="_GoBack"/>
            <w:bookmarkEnd w:id="61"/>
          </w:p>
        </w:tc>
        <w:tc>
          <w:tcPr>
            <w:tcW w:w="982" w:type="pct"/>
            <w:tcBorders>
              <w:top w:val="single" w:color="000000" w:sz="4" w:space="0"/>
              <w:left w:val="single" w:color="auto"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kern w:val="0"/>
                <w:sz w:val="30"/>
                <w:szCs w:val="30"/>
                <w:highlight w:val="none"/>
                <w:lang w:val="en-US" w:eastAsia="zh-CN"/>
              </w:rPr>
            </w:pPr>
            <w:r>
              <w:rPr>
                <w:rFonts w:hint="eastAsia" w:ascii="仿宋" w:hAnsi="仿宋" w:eastAsia="仿宋" w:cs="仿宋"/>
                <w:color w:val="auto"/>
                <w:kern w:val="0"/>
                <w:sz w:val="30"/>
                <w:szCs w:val="30"/>
                <w:highlight w:val="none"/>
              </w:rPr>
              <w:t>0105010</w:t>
            </w:r>
            <w:r>
              <w:rPr>
                <w:rFonts w:hint="eastAsia" w:ascii="仿宋" w:hAnsi="仿宋" w:eastAsia="仿宋" w:cs="仿宋"/>
                <w:color w:val="auto"/>
                <w:kern w:val="0"/>
                <w:sz w:val="30"/>
                <w:szCs w:val="30"/>
                <w:highlight w:val="none"/>
                <w:lang w:val="en-US" w:eastAsia="zh-CN"/>
              </w:rPr>
              <w:t>60</w:t>
            </w:r>
            <w:r>
              <w:rPr>
                <w:rFonts w:hint="eastAsia" w:ascii="仿宋" w:hAnsi="仿宋" w:eastAsia="仿宋" w:cs="仿宋"/>
                <w:color w:val="auto"/>
                <w:kern w:val="0"/>
                <w:sz w:val="30"/>
                <w:szCs w:val="30"/>
                <w:highlight w:val="none"/>
              </w:rPr>
              <w:t>0</w:t>
            </w:r>
            <w:r>
              <w:rPr>
                <w:rFonts w:hint="eastAsia" w:ascii="仿宋" w:hAnsi="仿宋" w:eastAsia="仿宋" w:cs="仿宋"/>
                <w:color w:val="auto"/>
                <w:kern w:val="0"/>
                <w:sz w:val="30"/>
                <w:szCs w:val="30"/>
                <w:highlight w:val="none"/>
                <w:lang w:val="en-US" w:eastAsia="zh-CN"/>
              </w:rPr>
              <w:t>000001</w:t>
            </w:r>
          </w:p>
        </w:tc>
      </w:tr>
      <w:tr>
        <w:tblPrEx>
          <w:tblCellMar>
            <w:top w:w="15" w:type="dxa"/>
            <w:left w:w="108" w:type="dxa"/>
            <w:bottom w:w="15" w:type="dxa"/>
            <w:right w:w="108" w:type="dxa"/>
          </w:tblCellMar>
        </w:tblPrEx>
        <w:trPr>
          <w:trHeight w:val="509" w:hRule="atLeast"/>
          <w:jc w:val="center"/>
        </w:trPr>
        <w:tc>
          <w:tcPr>
            <w:tcW w:w="311" w:type="pc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备注</w:t>
            </w:r>
          </w:p>
        </w:tc>
        <w:tc>
          <w:tcPr>
            <w:tcW w:w="4688" w:type="pct"/>
            <w:gridSpan w:val="8"/>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1"/>
              </w:numPr>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庭院灯灯头</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灯杆应分别单独报价（报价中含有运输费</w:t>
            </w:r>
            <w:r>
              <w:rPr>
                <w:rFonts w:hint="eastAsia" w:ascii="仿宋" w:hAnsi="仿宋" w:eastAsia="仿宋" w:cs="仿宋"/>
                <w:color w:val="auto"/>
                <w:kern w:val="0"/>
                <w:sz w:val="32"/>
                <w:szCs w:val="32"/>
                <w:highlight w:val="none"/>
                <w:lang w:val="en-US" w:eastAsia="zh-CN"/>
              </w:rPr>
              <w:t>及防黏贴</w:t>
            </w:r>
            <w:r>
              <w:rPr>
                <w:rFonts w:hint="eastAsia" w:ascii="仿宋" w:hAnsi="仿宋" w:eastAsia="仿宋" w:cs="仿宋"/>
                <w:color w:val="auto"/>
                <w:kern w:val="0"/>
                <w:sz w:val="32"/>
                <w:szCs w:val="32"/>
                <w:highlight w:val="none"/>
              </w:rPr>
              <w:t>等所有费用）。</w:t>
            </w:r>
          </w:p>
          <w:p>
            <w:pPr>
              <w:pageBreakBefore w:val="0"/>
              <w:widowControl/>
              <w:numPr>
                <w:ilvl w:val="0"/>
                <w:numId w:val="1"/>
              </w:numPr>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根据成交供应商的成交单价，按实际供货量结算。</w:t>
            </w:r>
          </w:p>
        </w:tc>
      </w:tr>
    </w:tbl>
    <w:p>
      <w:pPr>
        <w:pStyle w:val="4"/>
        <w:pageBreakBefore w:val="0"/>
        <w:kinsoku/>
        <w:wordWrap/>
        <w:overflowPunct/>
        <w:topLinePunct w:val="0"/>
        <w:autoSpaceDE/>
        <w:autoSpaceDN/>
        <w:bidi w:val="0"/>
        <w:spacing w:line="570" w:lineRule="exact"/>
        <w:ind w:left="197" w:leftChars="94" w:right="210" w:firstLine="438" w:firstLineChars="137"/>
        <w:jc w:val="left"/>
        <w:textAlignment w:val="auto"/>
        <w:rPr>
          <w:rFonts w:hint="eastAsia" w:ascii="黑体" w:hAnsi="黑体" w:eastAsia="黑体" w:cs="黑体"/>
          <w:b w:val="0"/>
          <w:bCs/>
          <w:color w:val="auto"/>
          <w:sz w:val="32"/>
          <w:szCs w:val="32"/>
          <w:highlight w:val="none"/>
        </w:rPr>
      </w:pPr>
      <w:bookmarkStart w:id="3" w:name="_Toc92188481"/>
      <w:r>
        <w:rPr>
          <w:rFonts w:hint="eastAsia" w:ascii="黑体" w:hAnsi="黑体" w:eastAsia="黑体" w:cs="黑体"/>
          <w:b w:val="0"/>
          <w:bCs/>
          <w:color w:val="auto"/>
          <w:sz w:val="32"/>
          <w:szCs w:val="32"/>
          <w:highlight w:val="none"/>
        </w:rPr>
        <w:t>二、庭院灯一般要求</w:t>
      </w:r>
      <w:bookmarkEnd w:id="3"/>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lang w:val="en-US" w:eastAsia="zh-CN"/>
        </w:rPr>
        <w:t>1.一</w:t>
      </w:r>
      <w:r>
        <w:rPr>
          <w:rFonts w:hint="eastAsia" w:ascii="楷体" w:hAnsi="楷体" w:eastAsia="楷体" w:cs="楷体"/>
          <w:b w:val="0"/>
          <w:bCs w:val="0"/>
          <w:color w:val="auto"/>
          <w:sz w:val="32"/>
          <w:szCs w:val="32"/>
          <w:highlight w:val="none"/>
        </w:rPr>
        <w:t>般要求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成交后灯具供应阶段，投标人确定的灯具将视情况抽样检测。</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成交后，提供灯具安装说明书。</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成交后，按要求提供灯具实样一套，需进行供货前评审，评审通过后方能供货。</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报价含灯罩出线：出线为BVV3×2.5,长度不小于灯杆高度(2.9米或具体与灯杆同高)。</w:t>
      </w: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每套灯具报价需含一套安装辅材（具体材料清单见图</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图</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）：卡式熔壳（人民电器）、卡式熔芯（上海沪工）</w:t>
      </w: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u w:val="none"/>
          <w:lang w:val="en-US" w:eastAsia="zh-CN"/>
        </w:rPr>
      </w:pPr>
    </w:p>
    <w:p>
      <w:pPr>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75565</wp:posOffset>
            </wp:positionV>
            <wp:extent cx="1964690" cy="1367790"/>
            <wp:effectExtent l="0" t="0" r="3810" b="3810"/>
            <wp:wrapNone/>
            <wp:docPr id="8" name="图片 8"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x3"/>
                    <pic:cNvPicPr>
                      <a:picLocks noChangeAspect="1"/>
                    </pic:cNvPicPr>
                  </pic:nvPicPr>
                  <pic:blipFill>
                    <a:blip r:embed="rId8"/>
                    <a:stretch>
                      <a:fillRect/>
                    </a:stretch>
                  </pic:blipFill>
                  <pic:spPr>
                    <a:xfrm>
                      <a:off x="0" y="0"/>
                      <a:ext cx="1964690" cy="1367790"/>
                    </a:xfrm>
                    <a:prstGeom prst="rect">
                      <a:avLst/>
                    </a:prstGeom>
                  </pic:spPr>
                </pic:pic>
              </a:graphicData>
            </a:graphic>
          </wp:anchor>
        </w:drawing>
      </w: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drawing>
          <wp:anchor distT="0" distB="0" distL="114300" distR="114300" simplePos="0" relativeHeight="251661312" behindDoc="1" locked="0" layoutInCell="1" allowOverlap="1">
            <wp:simplePos x="0" y="0"/>
            <wp:positionH relativeFrom="column">
              <wp:posOffset>2671445</wp:posOffset>
            </wp:positionH>
            <wp:positionV relativeFrom="paragraph">
              <wp:posOffset>305435</wp:posOffset>
            </wp:positionV>
            <wp:extent cx="1823720" cy="565150"/>
            <wp:effectExtent l="0" t="0" r="5080" b="6350"/>
            <wp:wrapNone/>
            <wp:docPr id="4" name="图片 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X1"/>
                    <pic:cNvPicPr>
                      <a:picLocks noChangeAspect="1"/>
                    </pic:cNvPicPr>
                  </pic:nvPicPr>
                  <pic:blipFill>
                    <a:blip r:embed="rId9"/>
                    <a:stretch>
                      <a:fillRect/>
                    </a:stretch>
                  </pic:blipFill>
                  <pic:spPr>
                    <a:xfrm>
                      <a:off x="0" y="0"/>
                      <a:ext cx="1823720" cy="565150"/>
                    </a:xfrm>
                    <a:prstGeom prst="rect">
                      <a:avLst/>
                    </a:prstGeom>
                  </pic:spPr>
                </pic:pic>
              </a:graphicData>
            </a:graphic>
          </wp:anchor>
        </w:drawing>
      </w:r>
    </w:p>
    <w:p>
      <w:pPr>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color w:val="auto"/>
          <w:sz w:val="32"/>
          <w:szCs w:val="32"/>
          <w:highlight w:val="none"/>
          <w:u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 xml:space="preserve">        </w:t>
      </w: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u w:val="none"/>
          <w:lang w:val="en-US" w:eastAsia="zh-CN"/>
        </w:rPr>
      </w:pPr>
    </w:p>
    <w:p>
      <w:pPr>
        <w:pageBreakBefore w:val="0"/>
        <w:kinsoku/>
        <w:wordWrap/>
        <w:overflowPunct/>
        <w:topLinePunct w:val="0"/>
        <w:autoSpaceDE/>
        <w:autoSpaceDN/>
        <w:bidi w:val="0"/>
        <w:snapToGrid w:val="0"/>
        <w:spacing w:line="570" w:lineRule="exact"/>
        <w:jc w:val="both"/>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 xml:space="preserve">                              </w:t>
      </w:r>
    </w:p>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lang w:val="en-US" w:eastAsia="zh-CN"/>
        </w:rPr>
        <w:t xml:space="preserve">图1 </w:t>
      </w:r>
      <w:r>
        <w:rPr>
          <w:rFonts w:hint="eastAsia" w:ascii="仿宋" w:hAnsi="仿宋" w:eastAsia="仿宋" w:cs="仿宋"/>
          <w:color w:val="auto"/>
          <w:sz w:val="28"/>
          <w:szCs w:val="28"/>
          <w:highlight w:val="none"/>
          <w:u w:val="none"/>
          <w:lang w:val="en-US" w:eastAsia="zh-CN"/>
        </w:rPr>
        <w:t>面板、8×25螺丝、D8弹簧垫、D8螺母、卡式熔壳、卡式熔芯</w:t>
      </w: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u w:val="single"/>
          <w:lang w:val="en-US" w:eastAsia="zh-CN"/>
        </w:rPr>
      </w:pPr>
    </w:p>
    <w:p>
      <w:pPr>
        <w:pageBreakBefore w:val="0"/>
        <w:kinsoku/>
        <w:wordWrap/>
        <w:overflowPunct/>
        <w:topLinePunct w:val="0"/>
        <w:autoSpaceDE/>
        <w:autoSpaceDN/>
        <w:bidi w:val="0"/>
        <w:spacing w:line="240" w:lineRule="auto"/>
        <w:ind w:firstLine="640" w:firstLineChars="200"/>
        <w:jc w:val="left"/>
        <w:textAlignment w:val="auto"/>
        <w:rPr>
          <w:rFonts w:hint="eastAsia"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u w:val="single"/>
          <w:lang w:val="en-US" w:eastAsia="zh-CN"/>
        </w:rPr>
        <w:drawing>
          <wp:anchor distT="0" distB="0" distL="114300" distR="114300" simplePos="0" relativeHeight="251662336" behindDoc="0" locked="0" layoutInCell="1" allowOverlap="1">
            <wp:simplePos x="0" y="0"/>
            <wp:positionH relativeFrom="column">
              <wp:posOffset>1376680</wp:posOffset>
            </wp:positionH>
            <wp:positionV relativeFrom="paragraph">
              <wp:posOffset>107315</wp:posOffset>
            </wp:positionV>
            <wp:extent cx="1810385" cy="2407285"/>
            <wp:effectExtent l="0" t="0" r="0" b="0"/>
            <wp:wrapNone/>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10"/>
                    <a:stretch>
                      <a:fillRect/>
                    </a:stretch>
                  </pic:blipFill>
                  <pic:spPr>
                    <a:xfrm>
                      <a:off x="0" y="0"/>
                      <a:ext cx="1810385" cy="2407285"/>
                    </a:xfrm>
                    <a:prstGeom prst="rect">
                      <a:avLst/>
                    </a:prstGeom>
                  </pic:spPr>
                </pic:pic>
              </a:graphicData>
            </a:graphic>
          </wp:anchor>
        </w:drawing>
      </w: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u w:val="single"/>
          <w:lang w:val="en-US" w:eastAsia="zh-CN"/>
        </w:rPr>
      </w:pPr>
    </w:p>
    <w:p>
      <w:pPr>
        <w:pageBreakBefore w:val="0"/>
        <w:kinsoku/>
        <w:wordWrap/>
        <w:overflowPunct/>
        <w:topLinePunct w:val="0"/>
        <w:autoSpaceDE/>
        <w:autoSpaceDN/>
        <w:bidi w:val="0"/>
        <w:spacing w:line="240" w:lineRule="auto"/>
        <w:ind w:firstLine="640" w:firstLineChars="200"/>
        <w:jc w:val="left"/>
        <w:textAlignment w:val="auto"/>
        <w:rPr>
          <w:rFonts w:hint="eastAsia" w:ascii="仿宋" w:hAnsi="仿宋" w:eastAsia="仿宋" w:cs="仿宋"/>
          <w:color w:val="auto"/>
          <w:sz w:val="32"/>
          <w:szCs w:val="32"/>
          <w:highlight w:val="none"/>
          <w:u w:val="single"/>
          <w:lang w:val="en-US" w:eastAsia="zh-CN"/>
        </w:rPr>
      </w:pP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u w:val="single"/>
          <w:lang w:val="en-US" w:eastAsia="zh-CN"/>
        </w:rPr>
      </w:pP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u w:val="single"/>
          <w:lang w:val="en-US" w:eastAsia="zh-CN"/>
        </w:rPr>
      </w:pPr>
    </w:p>
    <w:p>
      <w:pPr>
        <w:pageBreakBefore w:val="0"/>
        <w:kinsoku/>
        <w:wordWrap/>
        <w:overflowPunct/>
        <w:topLinePunct w:val="0"/>
        <w:autoSpaceDE/>
        <w:autoSpaceDN/>
        <w:bidi w:val="0"/>
        <w:spacing w:line="570" w:lineRule="exact"/>
        <w:ind w:firstLine="640" w:firstLineChars="200"/>
        <w:jc w:val="left"/>
        <w:textAlignment w:val="auto"/>
        <w:rPr>
          <w:rFonts w:hint="default" w:ascii="仿宋" w:hAnsi="仿宋" w:eastAsia="仿宋" w:cs="仿宋"/>
          <w:color w:val="auto"/>
          <w:sz w:val="32"/>
          <w:szCs w:val="32"/>
          <w:highlight w:val="none"/>
          <w:u w:val="single"/>
          <w:lang w:val="en-US" w:eastAsia="zh-CN"/>
        </w:rPr>
      </w:pPr>
    </w:p>
    <w:p>
      <w:pPr>
        <w:pageBreakBefore w:val="0"/>
        <w:kinsoku/>
        <w:wordWrap/>
        <w:overflowPunct/>
        <w:topLinePunct w:val="0"/>
        <w:autoSpaceDE/>
        <w:autoSpaceDN/>
        <w:bidi w:val="0"/>
        <w:spacing w:line="570" w:lineRule="exact"/>
        <w:ind w:firstLine="640" w:firstLineChars="200"/>
        <w:jc w:val="left"/>
        <w:textAlignment w:val="auto"/>
        <w:rPr>
          <w:rFonts w:hint="default" w:ascii="仿宋" w:hAnsi="仿宋" w:eastAsia="仿宋" w:cs="仿宋"/>
          <w:color w:val="auto"/>
          <w:sz w:val="32"/>
          <w:szCs w:val="32"/>
          <w:highlight w:val="none"/>
          <w:u w:val="single"/>
          <w:lang w:val="en-US" w:eastAsia="zh-CN"/>
        </w:rPr>
      </w:pPr>
    </w:p>
    <w:p>
      <w:pPr>
        <w:pageBreakBefore w:val="0"/>
        <w:kinsoku/>
        <w:wordWrap/>
        <w:overflowPunct/>
        <w:topLinePunct w:val="0"/>
        <w:autoSpaceDE/>
        <w:autoSpaceDN/>
        <w:bidi w:val="0"/>
        <w:spacing w:line="570" w:lineRule="exact"/>
        <w:ind w:firstLine="560" w:firstLineChars="200"/>
        <w:jc w:val="center"/>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lang w:val="en-US" w:eastAsia="zh-CN"/>
        </w:rPr>
        <w:t xml:space="preserve">图2 </w:t>
      </w:r>
      <w:r>
        <w:rPr>
          <w:rFonts w:hint="eastAsia" w:ascii="仿宋" w:hAnsi="仿宋" w:eastAsia="仿宋" w:cs="仿宋"/>
          <w:color w:val="auto"/>
          <w:sz w:val="28"/>
          <w:szCs w:val="28"/>
          <w:highlight w:val="none"/>
          <w:u w:val="none"/>
          <w:lang w:val="en-US" w:eastAsia="zh-CN"/>
        </w:rPr>
        <w:t>热镀锌螺母D16、热镀锌加大垫片D16</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庭院灯安装辅材：热镀锌螺母D16(8个/套)、热镀锌加大垫片D16(8个/套)、304不锈钢8×25螺丝(2个/套)、304不锈钢D8垫片(4个/套)、304不锈钢D8弹簧垫(2个/套)、304不锈钢D8螺母(2个/套)、面板(1块/套)、卡式熔壳(1个/套)、4A卡式熔芯(1个/套)。</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（6）</w:t>
      </w:r>
      <w:r>
        <w:rPr>
          <w:rFonts w:hint="eastAsia" w:ascii="仿宋" w:hAnsi="仿宋" w:eastAsia="仿宋" w:cs="仿宋"/>
          <w:color w:val="auto"/>
          <w:sz w:val="32"/>
          <w:szCs w:val="32"/>
          <w:highlight w:val="none"/>
        </w:rPr>
        <w:t>质保：庭院灯灯头（含LED光源）整灯质保5年以上，庭院灯灯杆质保10年以上不掉漆、不生锈、喷塑不褪色。</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本招标文件中未标注公差的，按照GB-T1804的精度C级别标准执行，其中安装公差和位置公差按照精度M级别标准执行。</w:t>
      </w:r>
    </w:p>
    <w:p>
      <w:pPr>
        <w:pageBreakBefore w:val="0"/>
        <w:kinsoku/>
        <w:wordWrap/>
        <w:overflowPunct/>
        <w:topLinePunct w:val="0"/>
        <w:autoSpaceDE/>
        <w:autoSpaceDN/>
        <w:bidi w:val="0"/>
        <w:snapToGrid w:val="0"/>
        <w:spacing w:line="570" w:lineRule="exact"/>
        <w:ind w:firstLine="640" w:firstLineChars="200"/>
        <w:jc w:val="lef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（8）</w:t>
      </w:r>
      <w:r>
        <w:rPr>
          <w:rFonts w:hint="eastAsia" w:ascii="仿宋" w:hAnsi="仿宋" w:eastAsia="仿宋" w:cs="仿宋"/>
          <w:color w:val="auto"/>
          <w:kern w:val="2"/>
          <w:sz w:val="32"/>
          <w:szCs w:val="32"/>
          <w:highlight w:val="none"/>
          <w:lang w:val="en-US" w:eastAsia="zh-CN" w:bidi="ar-SA"/>
        </w:rPr>
        <w:t>本庭院灯不含单灯控制器，但检修门内须预留后续加装单灯控制器的条件。</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lang w:val="en-US" w:eastAsia="zh-CN"/>
        </w:rPr>
        <w:t>2.应严格执行相关</w:t>
      </w:r>
      <w:r>
        <w:rPr>
          <w:rFonts w:hint="eastAsia" w:ascii="楷体" w:hAnsi="楷体" w:eastAsia="楷体" w:cs="楷体"/>
          <w:b w:val="0"/>
          <w:bCs w:val="0"/>
          <w:color w:val="auto"/>
          <w:sz w:val="32"/>
          <w:szCs w:val="32"/>
          <w:highlight w:val="none"/>
        </w:rPr>
        <w:t>标准</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产品必须符合下列文件中的条款，凡是不注日期的引用文件，其最新版本适用于本标准。</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GB7000.1灯具 第1部分：一般要求与试验。</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GB7000.201灯具 第2-1部分：特殊要求 固定式通用灯具。</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GB7000.203灯具第2-3部分：特殊要求 道路与街路照明灯具。</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GB/T10485道路车辆—外部照明和光信号装置环境耐久性第二部分第15条中对透光罩的要求。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GB/T 4208外壳防护等级（IP代码）。</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（6）</w:t>
      </w:r>
      <w:r>
        <w:rPr>
          <w:rFonts w:hint="eastAsia" w:ascii="仿宋" w:hAnsi="仿宋" w:eastAsia="仿宋" w:cs="仿宋"/>
          <w:color w:val="auto"/>
          <w:sz w:val="32"/>
          <w:szCs w:val="32"/>
          <w:highlight w:val="none"/>
        </w:rPr>
        <w:t>GB/T 17743电气照明和类似设备的无线电骚扰特性的限值和测量方法。</w:t>
      </w:r>
    </w:p>
    <w:p>
      <w:pPr>
        <w:pageBreakBefore w:val="0"/>
        <w:kinsoku/>
        <w:wordWrap/>
        <w:overflowPunct/>
        <w:topLinePunct w:val="0"/>
        <w:autoSpaceDE/>
        <w:autoSpaceDN/>
        <w:bidi w:val="0"/>
        <w:snapToGrid w:val="0"/>
        <w:spacing w:line="57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（7）GB l7625.1</w:t>
      </w:r>
      <w:r>
        <w:rPr>
          <w:rFonts w:hint="eastAsia" w:ascii="仿宋" w:hAnsi="仿宋" w:eastAsia="仿宋" w:cs="仿宋"/>
          <w:color w:val="auto"/>
          <w:sz w:val="32"/>
          <w:szCs w:val="32"/>
          <w:highlight w:val="none"/>
        </w:rPr>
        <w:t>电磁兼容限值谐波电流发射限值</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(设备每相输入电流≤16A)。</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（8）</w:t>
      </w:r>
      <w:r>
        <w:rPr>
          <w:rFonts w:hint="eastAsia" w:ascii="仿宋" w:hAnsi="仿宋" w:eastAsia="仿宋" w:cs="仿宋"/>
          <w:color w:val="auto"/>
          <w:sz w:val="32"/>
          <w:szCs w:val="32"/>
          <w:highlight w:val="none"/>
        </w:rPr>
        <w:t>QB/T1551灯具油漆涂层。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QB/T3741灯具电镀、化学覆盖层。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CJJ45城市道路照明设计标准。</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（11）</w:t>
      </w:r>
      <w:r>
        <w:rPr>
          <w:rFonts w:hint="eastAsia" w:ascii="仿宋" w:hAnsi="仿宋" w:eastAsia="仿宋" w:cs="仿宋"/>
          <w:color w:val="auto"/>
          <w:sz w:val="32"/>
          <w:szCs w:val="32"/>
          <w:highlight w:val="none"/>
        </w:rPr>
        <w:t>GB-T1804</w:t>
      </w:r>
      <w:r>
        <w:rPr>
          <w:rFonts w:hint="eastAsia" w:ascii="仿宋" w:hAnsi="仿宋" w:eastAsia="仿宋" w:cs="仿宋"/>
          <w:color w:val="auto"/>
          <w:sz w:val="32"/>
          <w:szCs w:val="32"/>
          <w:highlight w:val="none"/>
          <w:lang w:val="en-US" w:eastAsia="zh-CN"/>
        </w:rPr>
        <w:t>一般公差未注公差的线性和角度尺寸的公差</w:t>
      </w:r>
      <w:r>
        <w:rPr>
          <w:rFonts w:hint="eastAsia" w:ascii="仿宋" w:hAnsi="仿宋" w:eastAsia="仿宋" w:cs="仿宋"/>
          <w:color w:val="auto"/>
          <w:sz w:val="32"/>
          <w:szCs w:val="32"/>
          <w:highlight w:val="none"/>
        </w:rPr>
        <w:t>。</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其他国家及江苏省现行标准规范、图集等；以及相关的灯具的现行的国家规范和标准。</w:t>
      </w:r>
      <w:bookmarkStart w:id="4" w:name="_Toc22741"/>
    </w:p>
    <w:p>
      <w:pPr>
        <w:pageBreakBefore w:val="0"/>
        <w:kinsoku/>
        <w:wordWrap/>
        <w:overflowPunct/>
        <w:topLinePunct w:val="0"/>
        <w:autoSpaceDE/>
        <w:autoSpaceDN/>
        <w:bidi w:val="0"/>
        <w:snapToGrid w:val="0"/>
        <w:spacing w:line="570" w:lineRule="exact"/>
        <w:ind w:firstLine="640" w:firstLineChars="200"/>
        <w:jc w:val="left"/>
        <w:textAlignment w:val="auto"/>
        <w:rPr>
          <w:rFonts w:hint="default"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3.整灯（含灯具、灯杆等）外形示意图</w:t>
      </w:r>
      <w:bookmarkEnd w:id="4"/>
      <w:r>
        <w:rPr>
          <w:rFonts w:hint="eastAsia" w:ascii="楷体" w:hAnsi="楷体" w:eastAsia="楷体" w:cs="楷体"/>
          <w:b w:val="0"/>
          <w:bCs w:val="0"/>
          <w:color w:val="auto"/>
          <w:sz w:val="32"/>
          <w:szCs w:val="32"/>
          <w:highlight w:val="none"/>
          <w:lang w:val="en-US" w:eastAsia="zh-CN"/>
        </w:rPr>
        <w:t>（图3）</w:t>
      </w:r>
    </w:p>
    <w:p>
      <w:pPr>
        <w:pageBreakBefore w:val="0"/>
        <w:kinsoku/>
        <w:wordWrap/>
        <w:overflowPunct/>
        <w:topLinePunct w:val="0"/>
        <w:autoSpaceDE/>
        <w:autoSpaceDN/>
        <w:bidi w:val="0"/>
        <w:snapToGrid w:val="0"/>
        <w:spacing w:line="570" w:lineRule="exact"/>
        <w:jc w:val="left"/>
        <w:textAlignment w:val="auto"/>
        <w:rPr>
          <w:rFonts w:hint="eastAsia" w:ascii="仿宋" w:hAnsi="仿宋" w:eastAsia="仿宋" w:cs="仿宋"/>
          <w:b/>
          <w:bCs/>
          <w:color w:val="auto"/>
          <w:sz w:val="32"/>
          <w:szCs w:val="32"/>
          <w:highlight w:val="none"/>
          <w:lang w:eastAsia="zh-CN"/>
        </w:rPr>
      </w:pPr>
      <w:r>
        <w:rPr>
          <w:rFonts w:hint="eastAsia" w:ascii="仿宋" w:hAnsi="仿宋" w:eastAsia="仿宋" w:cs="仿宋"/>
          <w:b/>
          <w:color w:val="auto"/>
          <w:sz w:val="32"/>
          <w:szCs w:val="32"/>
          <w:highlight w:val="none"/>
          <w:lang w:eastAsia="zh-CN"/>
        </w:rPr>
        <w:drawing>
          <wp:anchor distT="0" distB="0" distL="114300" distR="114300" simplePos="0" relativeHeight="251663360" behindDoc="0" locked="0" layoutInCell="1" allowOverlap="1">
            <wp:simplePos x="0" y="0"/>
            <wp:positionH relativeFrom="column">
              <wp:posOffset>2000250</wp:posOffset>
            </wp:positionH>
            <wp:positionV relativeFrom="paragraph">
              <wp:posOffset>57150</wp:posOffset>
            </wp:positionV>
            <wp:extent cx="638810" cy="3177540"/>
            <wp:effectExtent l="0" t="0" r="8890" b="3810"/>
            <wp:wrapSquare wrapText="bothSides"/>
            <wp:docPr id="6" name="图片 6" descr="33afe9227898c520dff0b507bf42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3afe9227898c520dff0b507bf4226e"/>
                    <pic:cNvPicPr>
                      <a:picLocks noChangeAspect="1"/>
                    </pic:cNvPicPr>
                  </pic:nvPicPr>
                  <pic:blipFill>
                    <a:blip r:embed="rId11"/>
                    <a:stretch>
                      <a:fillRect/>
                    </a:stretch>
                  </pic:blipFill>
                  <pic:spPr>
                    <a:xfrm>
                      <a:off x="0" y="0"/>
                      <a:ext cx="638810" cy="3177540"/>
                    </a:xfrm>
                    <a:prstGeom prst="rect">
                      <a:avLst/>
                    </a:prstGeom>
                  </pic:spPr>
                </pic:pic>
              </a:graphicData>
            </a:graphic>
          </wp:anchor>
        </w:drawing>
      </w:r>
    </w:p>
    <w:p>
      <w:pPr>
        <w:pageBreakBefore w:val="0"/>
        <w:kinsoku/>
        <w:wordWrap/>
        <w:overflowPunct/>
        <w:topLinePunct w:val="0"/>
        <w:autoSpaceDE/>
        <w:autoSpaceDN/>
        <w:bidi w:val="0"/>
        <w:snapToGrid w:val="0"/>
        <w:spacing w:line="570" w:lineRule="exact"/>
        <w:jc w:val="left"/>
        <w:textAlignment w:val="auto"/>
        <w:rPr>
          <w:rFonts w:hint="eastAsia" w:ascii="仿宋" w:hAnsi="仿宋" w:eastAsia="仿宋" w:cs="仿宋"/>
          <w:b/>
          <w:color w:val="auto"/>
          <w:sz w:val="32"/>
          <w:szCs w:val="32"/>
          <w:highlight w:val="none"/>
        </w:rPr>
      </w:pPr>
    </w:p>
    <w:p>
      <w:pPr>
        <w:pageBreakBefore w:val="0"/>
        <w:kinsoku/>
        <w:wordWrap/>
        <w:overflowPunct/>
        <w:topLinePunct w:val="0"/>
        <w:autoSpaceDE/>
        <w:autoSpaceDN/>
        <w:bidi w:val="0"/>
        <w:snapToGrid w:val="0"/>
        <w:spacing w:line="570" w:lineRule="exact"/>
        <w:jc w:val="left"/>
        <w:textAlignment w:val="auto"/>
        <w:rPr>
          <w:rFonts w:hint="eastAsia" w:ascii="仿宋" w:hAnsi="仿宋" w:eastAsia="仿宋" w:cs="仿宋"/>
          <w:b/>
          <w:color w:val="auto"/>
          <w:sz w:val="32"/>
          <w:szCs w:val="32"/>
          <w:highlight w:val="none"/>
        </w:rPr>
      </w:pPr>
    </w:p>
    <w:p>
      <w:pPr>
        <w:pageBreakBefore w:val="0"/>
        <w:kinsoku/>
        <w:wordWrap/>
        <w:overflowPunct/>
        <w:topLinePunct w:val="0"/>
        <w:autoSpaceDE/>
        <w:autoSpaceDN/>
        <w:bidi w:val="0"/>
        <w:snapToGrid w:val="0"/>
        <w:spacing w:line="570" w:lineRule="exact"/>
        <w:jc w:val="left"/>
        <w:textAlignment w:val="auto"/>
        <w:rPr>
          <w:rFonts w:hint="eastAsia" w:ascii="仿宋" w:hAnsi="仿宋" w:eastAsia="仿宋" w:cs="仿宋"/>
          <w:b/>
          <w:color w:val="auto"/>
          <w:sz w:val="32"/>
          <w:szCs w:val="32"/>
          <w:highlight w:val="none"/>
        </w:rPr>
      </w:pPr>
    </w:p>
    <w:p>
      <w:pPr>
        <w:pageBreakBefore w:val="0"/>
        <w:kinsoku/>
        <w:wordWrap/>
        <w:overflowPunct/>
        <w:topLinePunct w:val="0"/>
        <w:autoSpaceDE/>
        <w:autoSpaceDN/>
        <w:bidi w:val="0"/>
        <w:snapToGrid w:val="0"/>
        <w:spacing w:line="570" w:lineRule="exact"/>
        <w:jc w:val="left"/>
        <w:textAlignment w:val="auto"/>
        <w:rPr>
          <w:rFonts w:hint="eastAsia" w:ascii="仿宋" w:hAnsi="仿宋" w:eastAsia="仿宋" w:cs="仿宋"/>
          <w:b/>
          <w:color w:val="auto"/>
          <w:sz w:val="32"/>
          <w:szCs w:val="32"/>
          <w:highlight w:val="none"/>
        </w:rPr>
      </w:pPr>
    </w:p>
    <w:p>
      <w:pPr>
        <w:pageBreakBefore w:val="0"/>
        <w:kinsoku/>
        <w:wordWrap/>
        <w:overflowPunct/>
        <w:topLinePunct w:val="0"/>
        <w:autoSpaceDE/>
        <w:autoSpaceDN/>
        <w:bidi w:val="0"/>
        <w:snapToGrid w:val="0"/>
        <w:spacing w:line="570" w:lineRule="exact"/>
        <w:jc w:val="left"/>
        <w:textAlignment w:val="auto"/>
        <w:rPr>
          <w:rFonts w:hint="eastAsia" w:ascii="仿宋" w:hAnsi="仿宋" w:eastAsia="仿宋" w:cs="仿宋"/>
          <w:b/>
          <w:color w:val="auto"/>
          <w:sz w:val="32"/>
          <w:szCs w:val="32"/>
          <w:highlight w:val="none"/>
          <w:lang w:eastAsia="zh-CN"/>
        </w:rPr>
      </w:pPr>
    </w:p>
    <w:p>
      <w:pPr>
        <w:pageBreakBefore w:val="0"/>
        <w:kinsoku/>
        <w:wordWrap/>
        <w:overflowPunct/>
        <w:topLinePunct w:val="0"/>
        <w:autoSpaceDE/>
        <w:autoSpaceDN/>
        <w:bidi w:val="0"/>
        <w:snapToGrid w:val="0"/>
        <w:spacing w:line="570" w:lineRule="exact"/>
        <w:jc w:val="left"/>
        <w:textAlignment w:val="auto"/>
        <w:rPr>
          <w:rFonts w:hint="eastAsia" w:ascii="仿宋" w:hAnsi="仿宋" w:eastAsia="仿宋" w:cs="仿宋"/>
          <w:b/>
          <w:color w:val="auto"/>
          <w:sz w:val="32"/>
          <w:szCs w:val="32"/>
          <w:highlight w:val="none"/>
        </w:rPr>
      </w:pPr>
    </w:p>
    <w:p>
      <w:pPr>
        <w:pageBreakBefore w:val="0"/>
        <w:kinsoku/>
        <w:wordWrap/>
        <w:overflowPunct/>
        <w:topLinePunct w:val="0"/>
        <w:autoSpaceDE/>
        <w:autoSpaceDN/>
        <w:bidi w:val="0"/>
        <w:snapToGrid w:val="0"/>
        <w:spacing w:line="570" w:lineRule="exact"/>
        <w:jc w:val="left"/>
        <w:textAlignment w:val="auto"/>
        <w:rPr>
          <w:rFonts w:hint="eastAsia" w:ascii="仿宋" w:hAnsi="仿宋" w:eastAsia="仿宋" w:cs="仿宋"/>
          <w:b/>
          <w:color w:val="auto"/>
          <w:sz w:val="32"/>
          <w:szCs w:val="32"/>
          <w:highlight w:val="none"/>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 xml:space="preserve">                 </w:t>
      </w:r>
    </w:p>
    <w:p>
      <w:pPr>
        <w:pageBreakBefore w:val="0"/>
        <w:kinsoku/>
        <w:wordWrap/>
        <w:overflowPunct/>
        <w:topLinePunct w:val="0"/>
        <w:autoSpaceDE/>
        <w:autoSpaceDN/>
        <w:bidi w:val="0"/>
        <w:snapToGrid w:val="0"/>
        <w:spacing w:line="57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图3 整灯（含灯具、灯杆等）外形示意图</w:t>
      </w:r>
    </w:p>
    <w:p>
      <w:pPr>
        <w:pStyle w:val="4"/>
        <w:pageBreakBefore w:val="0"/>
        <w:kinsoku/>
        <w:wordWrap/>
        <w:overflowPunct/>
        <w:topLinePunct w:val="0"/>
        <w:autoSpaceDE/>
        <w:autoSpaceDN/>
        <w:bidi w:val="0"/>
        <w:spacing w:line="570" w:lineRule="exact"/>
        <w:ind w:left="197" w:leftChars="94" w:right="210" w:firstLine="438" w:firstLineChars="137"/>
        <w:jc w:val="left"/>
        <w:textAlignment w:val="auto"/>
        <w:rPr>
          <w:rFonts w:hint="eastAsia" w:ascii="黑体" w:hAnsi="黑体" w:eastAsia="黑体" w:cs="黑体"/>
          <w:b w:val="0"/>
          <w:bCs/>
          <w:color w:val="auto"/>
          <w:sz w:val="32"/>
          <w:szCs w:val="32"/>
          <w:highlight w:val="none"/>
        </w:rPr>
      </w:pPr>
      <w:bookmarkStart w:id="5" w:name="_Toc92188482"/>
      <w:r>
        <w:rPr>
          <w:rFonts w:hint="eastAsia" w:ascii="黑体" w:hAnsi="黑体" w:eastAsia="黑体" w:cs="黑体"/>
          <w:b w:val="0"/>
          <w:bCs/>
          <w:color w:val="auto"/>
          <w:sz w:val="32"/>
          <w:szCs w:val="32"/>
          <w:highlight w:val="none"/>
        </w:rPr>
        <w:t>三、庭院灯技术要求</w:t>
      </w:r>
      <w:bookmarkEnd w:id="5"/>
    </w:p>
    <w:p>
      <w:pPr>
        <w:pageBreakBefore w:val="0"/>
        <w:kinsoku/>
        <w:wordWrap/>
        <w:overflowPunct/>
        <w:topLinePunct w:val="0"/>
        <w:autoSpaceDE/>
        <w:autoSpaceDN/>
        <w:bidi w:val="0"/>
        <w:snapToGrid w:val="0"/>
        <w:spacing w:line="570" w:lineRule="exact"/>
        <w:ind w:left="0" w:leftChars="0" w:firstLine="736" w:firstLineChars="230"/>
        <w:jc w:val="left"/>
        <w:textAlignment w:val="auto"/>
        <w:rPr>
          <w:rFonts w:hint="eastAsia" w:ascii="楷体" w:hAnsi="楷体" w:eastAsia="楷体" w:cs="楷体"/>
          <w:color w:val="auto"/>
          <w:sz w:val="32"/>
          <w:szCs w:val="32"/>
          <w:highlight w:val="none"/>
        </w:rPr>
      </w:pPr>
      <w:bookmarkStart w:id="6" w:name="_Toc14090"/>
      <w:r>
        <w:rPr>
          <w:rFonts w:hint="eastAsia" w:ascii="楷体" w:hAnsi="楷体" w:eastAsia="楷体" w:cs="楷体"/>
          <w:color w:val="auto"/>
          <w:sz w:val="32"/>
          <w:szCs w:val="32"/>
          <w:highlight w:val="none"/>
          <w:lang w:val="en-US" w:eastAsia="zh-CN"/>
        </w:rPr>
        <w:t>1.</w:t>
      </w:r>
      <w:r>
        <w:rPr>
          <w:rFonts w:hint="eastAsia" w:ascii="楷体" w:hAnsi="楷体" w:eastAsia="楷体" w:cs="楷体"/>
          <w:color w:val="auto"/>
          <w:sz w:val="32"/>
          <w:szCs w:val="32"/>
          <w:highlight w:val="none"/>
        </w:rPr>
        <w:t>灯具部分的具体要求</w:t>
      </w:r>
      <w:bookmarkEnd w:id="6"/>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bookmarkStart w:id="7" w:name="_Toc28447"/>
      <w:bookmarkStart w:id="8" w:name="_Toc7829"/>
      <w:bookmarkStart w:id="9" w:name="_Toc13723"/>
      <w:bookmarkStart w:id="10" w:name="_Toc4110"/>
      <w:bookmarkStart w:id="11" w:name="_Toc328"/>
      <w:bookmarkStart w:id="12" w:name="_Toc23425"/>
      <w:bookmarkStart w:id="13" w:name="_Toc1176"/>
      <w:bookmarkStart w:id="14" w:name="_Toc6546"/>
      <w:r>
        <w:rPr>
          <w:rFonts w:hint="eastAsia" w:ascii="仿宋" w:hAnsi="仿宋" w:eastAsia="仿宋" w:cs="仿宋"/>
          <w:b w:val="0"/>
          <w:bCs w:val="0"/>
          <w:color w:val="auto"/>
          <w:kern w:val="2"/>
          <w:sz w:val="32"/>
          <w:szCs w:val="32"/>
          <w:highlight w:val="none"/>
          <w:lang w:val="en-US" w:eastAsia="zh-CN" w:bidi="ar-SA"/>
        </w:rPr>
        <w:t>(1)外形尺寸和外观质量</w:t>
      </w:r>
      <w:bookmarkEnd w:id="7"/>
      <w:bookmarkEnd w:id="8"/>
      <w:bookmarkEnd w:id="9"/>
      <w:bookmarkEnd w:id="10"/>
      <w:bookmarkEnd w:id="11"/>
      <w:bookmarkEnd w:id="12"/>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b w:val="0"/>
          <w:bCs w:val="0"/>
          <w:color w:val="auto"/>
          <w:kern w:val="2"/>
          <w:sz w:val="32"/>
          <w:szCs w:val="32"/>
          <w:highlight w:val="none"/>
          <w:lang w:val="en-US" w:eastAsia="zh-CN" w:bidi="ar-SA"/>
        </w:rPr>
        <w:t>1)灯具外形尺寸见灯具技</w:t>
      </w:r>
      <w:r>
        <w:rPr>
          <w:rFonts w:hint="eastAsia" w:ascii="仿宋" w:hAnsi="仿宋" w:eastAsia="仿宋" w:cs="仿宋"/>
          <w:color w:val="auto"/>
          <w:sz w:val="32"/>
          <w:szCs w:val="32"/>
          <w:highlight w:val="none"/>
        </w:rPr>
        <w:t>术参数表。</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灯具外观需与图片一致。</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灯具的表面应光滑，以防污物堆积和便于清洗，无损伤、变形、涂层剥落，透光罩应无气泡、明显划痕和裂纹等缺陷，灯杆表面喷超耐侯防涂鸦涂料。</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bookmarkStart w:id="15" w:name="_Toc28868"/>
      <w:bookmarkStart w:id="16" w:name="_Toc1199"/>
      <w:bookmarkStart w:id="17" w:name="_Toc4530"/>
      <w:bookmarkStart w:id="18" w:name="_Toc19104"/>
      <w:r>
        <w:rPr>
          <w:rFonts w:hint="eastAsia" w:ascii="仿宋" w:hAnsi="仿宋" w:eastAsia="仿宋" w:cs="仿宋"/>
          <w:b w:val="0"/>
          <w:bCs w:val="0"/>
          <w:color w:val="auto"/>
          <w:kern w:val="2"/>
          <w:sz w:val="32"/>
          <w:szCs w:val="32"/>
          <w:highlight w:val="none"/>
          <w:lang w:val="en-US" w:eastAsia="zh-CN" w:bidi="ar-SA"/>
        </w:rPr>
        <w:t>（2）安全要求</w:t>
      </w:r>
      <w:bookmarkEnd w:id="13"/>
      <w:bookmarkEnd w:id="14"/>
      <w:bookmarkEnd w:id="15"/>
      <w:bookmarkEnd w:id="16"/>
      <w:bookmarkEnd w:id="17"/>
      <w:bookmarkEnd w:id="18"/>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bookmarkStart w:id="19" w:name="_Toc16367"/>
      <w:bookmarkStart w:id="20" w:name="_Toc29147"/>
      <w:bookmarkStart w:id="21" w:name="_Toc10606"/>
      <w:bookmarkStart w:id="22" w:name="_Toc16557"/>
      <w:bookmarkStart w:id="23" w:name="_Toc10142"/>
      <w:bookmarkStart w:id="24" w:name="_Toc23696"/>
      <w:r>
        <w:rPr>
          <w:rFonts w:hint="eastAsia" w:ascii="仿宋" w:hAnsi="仿宋" w:eastAsia="仿宋" w:cs="仿宋"/>
          <w:color w:val="auto"/>
          <w:sz w:val="32"/>
          <w:szCs w:val="32"/>
          <w:highlight w:val="none"/>
        </w:rPr>
        <w:t>灯具应符合GB7000.1及GB7000.203的要求。当GB7000.1及GB7000.203与“灯具一般要求”有冲突时，以“灯具一般要求”为准。</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（3）光源要求</w:t>
      </w:r>
      <w:bookmarkEnd w:id="19"/>
      <w:bookmarkEnd w:id="20"/>
      <w:bookmarkEnd w:id="21"/>
      <w:bookmarkEnd w:id="22"/>
      <w:bookmarkEnd w:id="23"/>
      <w:bookmarkEnd w:id="24"/>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LED颗粒应满足拥有LM-80认证，推荐采用Philips Lumileds、Cree、OSRAM、Nichia原厂封装芯片，不得采用集成式芯片，交货前须附原厂供货证明。采用全模块化结构设计，模块可以现场拆换，每个LED模块具有独立的散热、防水和配光，可随意组合。</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bookmarkStart w:id="25" w:name="_Toc31812"/>
      <w:bookmarkStart w:id="26" w:name="_Toc4270"/>
      <w:bookmarkStart w:id="27" w:name="_Toc2167"/>
      <w:bookmarkStart w:id="28" w:name="_Toc19980"/>
      <w:bookmarkStart w:id="29" w:name="_Toc30033"/>
      <w:bookmarkStart w:id="30" w:name="_Toc18961"/>
      <w:r>
        <w:rPr>
          <w:rFonts w:hint="eastAsia" w:ascii="仿宋" w:hAnsi="仿宋" w:eastAsia="仿宋" w:cs="仿宋"/>
          <w:b w:val="0"/>
          <w:bCs w:val="0"/>
          <w:color w:val="auto"/>
          <w:kern w:val="2"/>
          <w:sz w:val="32"/>
          <w:szCs w:val="32"/>
          <w:highlight w:val="none"/>
          <w:lang w:val="en-US" w:eastAsia="zh-CN" w:bidi="ar-SA"/>
        </w:rPr>
        <w:t>（4）灯具一般要求</w:t>
      </w:r>
      <w:bookmarkEnd w:id="25"/>
      <w:bookmarkEnd w:id="26"/>
      <w:bookmarkEnd w:id="27"/>
      <w:bookmarkEnd w:id="28"/>
      <w:bookmarkEnd w:id="29"/>
      <w:bookmarkEnd w:id="30"/>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灯具散热设计要先进合理，灯具适应温度：-40℃～+</w:t>
      </w:r>
      <w:r>
        <w:rPr>
          <w:rFonts w:hint="eastAsia" w:ascii="仿宋" w:hAnsi="仿宋" w:eastAsia="仿宋" w:cs="仿宋"/>
          <w:color w:val="auto"/>
          <w:sz w:val="32"/>
          <w:szCs w:val="32"/>
          <w:highlight w:val="none"/>
          <w:lang w:val="en-US" w:eastAsia="zh-CN"/>
        </w:rPr>
        <w:t>50</w:t>
      </w:r>
      <w:r>
        <w:rPr>
          <w:rFonts w:hint="eastAsia" w:ascii="仿宋" w:hAnsi="仿宋" w:eastAsia="仿宋" w:cs="仿宋"/>
          <w:color w:val="auto"/>
          <w:sz w:val="32"/>
          <w:szCs w:val="32"/>
          <w:highlight w:val="none"/>
        </w:rPr>
        <w:t>℃。灯具工作湿度环境：≤95%RH。</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灯具引出线为BVVB3×2.5mm2，长度不小于灯杆高度，芯线颜色必须符合国标要求，且有明显区别。接头必须具有防水措施、连接方便易操作。</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有针对感应雷击及静电的专用防护元件，器件性能符合IEC61000-4（Level 4）的检测标准。</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灯具的浪涌保护器应独立设置，电压保护水平Up输出值应小于控制装置的抗浪涌电压，且不应大于2KV，接线应具有防误接措施。共模抗浪涌电压不应低于10KV，差模抗浪涌电压不应低于5KV。</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LED灯具的寿命应不小于30000h。 LED灯具在正常工作6000h的光通维持率不应小于97%。正常工作12000h的光通量维持率不应小于90%。同时灯具在正常工作12000h内年损坏率不应高于1%，12000h</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rPr>
        <w:t>25000h内年损坏率不应高于3%。</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6）</w:t>
      </w:r>
      <w:r>
        <w:rPr>
          <w:rFonts w:hint="eastAsia" w:ascii="仿宋" w:hAnsi="仿宋" w:eastAsia="仿宋" w:cs="仿宋"/>
          <w:color w:val="auto"/>
          <w:sz w:val="32"/>
          <w:szCs w:val="32"/>
          <w:highlight w:val="none"/>
        </w:rPr>
        <w:t>电器绝缘等级：Class I。</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bookmarkStart w:id="31" w:name="_Toc17624"/>
      <w:bookmarkStart w:id="32" w:name="_Toc15203"/>
      <w:bookmarkStart w:id="33" w:name="_Toc25052"/>
      <w:bookmarkStart w:id="34" w:name="_Toc27516"/>
      <w:bookmarkStart w:id="35" w:name="_Toc14136"/>
      <w:bookmarkStart w:id="36" w:name="_Toc7064"/>
      <w:r>
        <w:rPr>
          <w:rFonts w:hint="eastAsia" w:ascii="仿宋" w:hAnsi="仿宋" w:eastAsia="仿宋" w:cs="仿宋"/>
          <w:b w:val="0"/>
          <w:bCs w:val="0"/>
          <w:color w:val="auto"/>
          <w:kern w:val="2"/>
          <w:sz w:val="32"/>
          <w:szCs w:val="32"/>
          <w:highlight w:val="none"/>
          <w:lang w:val="en-US" w:eastAsia="zh-CN" w:bidi="ar-SA"/>
        </w:rPr>
        <w:t>（5）材料要求</w:t>
      </w:r>
      <w:bookmarkEnd w:id="31"/>
      <w:bookmarkEnd w:id="32"/>
      <w:bookmarkEnd w:id="33"/>
      <w:bookmarkEnd w:id="34"/>
      <w:bookmarkEnd w:id="35"/>
      <w:bookmarkEnd w:id="36"/>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灯具所采用的电线(缆)、LED和其他电子部件均应符合相应的国家标准或行业标准的规定要求。</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灯具的插销、铰链、螺钉和其他外部构件应用304不锈钢制成，其安装构件应不受混凝土的化学反应腐蚀。</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灯具密封件应耐温、耐老化和耐道路上可能出现的腐蚀性气体，并应方便更换。</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bookmarkStart w:id="37" w:name="_Toc23148"/>
      <w:bookmarkStart w:id="38" w:name="_Toc21146"/>
      <w:bookmarkStart w:id="39" w:name="_Toc22548"/>
      <w:bookmarkStart w:id="40" w:name="_Toc3035"/>
      <w:r>
        <w:rPr>
          <w:rFonts w:hint="eastAsia" w:ascii="仿宋" w:hAnsi="仿宋" w:eastAsia="仿宋" w:cs="仿宋"/>
          <w:b w:val="0"/>
          <w:bCs w:val="0"/>
          <w:color w:val="auto"/>
          <w:kern w:val="2"/>
          <w:sz w:val="32"/>
          <w:szCs w:val="32"/>
          <w:highlight w:val="none"/>
          <w:lang w:val="en-US" w:eastAsia="zh-CN" w:bidi="ar-SA"/>
        </w:rPr>
        <w:t>（6）结构要求</w:t>
      </w:r>
      <w:bookmarkEnd w:id="37"/>
      <w:bookmarkEnd w:id="38"/>
      <w:bookmarkEnd w:id="39"/>
      <w:bookmarkEnd w:id="40"/>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灯具应安装方便，安装角度应能灵活调节。</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灯具应有特设的导线出(入)口密封装置，该装置为304不锈钢材料或铜材质。</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灯具内应有电源接线端子，外部接线和内部接线穿过硬质材料时应有保护措施。</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bookmarkStart w:id="41" w:name="_Toc1906"/>
      <w:bookmarkStart w:id="42" w:name="_Toc27482"/>
      <w:bookmarkStart w:id="43" w:name="_Toc2219"/>
      <w:bookmarkStart w:id="44" w:name="_Toc17082"/>
      <w:bookmarkStart w:id="45" w:name="_Toc24603"/>
      <w:bookmarkStart w:id="46" w:name="_Toc24577"/>
      <w:r>
        <w:rPr>
          <w:rFonts w:hint="eastAsia" w:ascii="仿宋" w:hAnsi="仿宋" w:eastAsia="仿宋" w:cs="仿宋"/>
          <w:b w:val="0"/>
          <w:bCs w:val="0"/>
          <w:color w:val="auto"/>
          <w:kern w:val="2"/>
          <w:sz w:val="32"/>
          <w:szCs w:val="32"/>
          <w:highlight w:val="none"/>
          <w:lang w:val="en-US" w:eastAsia="zh-CN" w:bidi="ar-SA"/>
        </w:rPr>
        <w:t>（7）灯具驱动电源的要求</w:t>
      </w:r>
      <w:bookmarkEnd w:id="41"/>
      <w:bookmarkEnd w:id="42"/>
      <w:bookmarkEnd w:id="43"/>
      <w:bookmarkEnd w:id="44"/>
      <w:bookmarkEnd w:id="45"/>
      <w:bookmarkEnd w:id="46"/>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可接220V/50HZ交流电压，经驱动电源转换，输出直流电压与LED负载相匹配，并为LED提供恒定直流电流驱动。提供完善的保护，如输入电压不足、过电压保护、输出开路与短路保护等。驱动电源在额定电压±20%范围内应正常工作。驱动电源推荐采用MEAN WELL、茂硕、英飞特、飞利浦等品牌，交货前须附原厂供货证明。</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驱动电源</w:t>
      </w:r>
      <w:r>
        <w:rPr>
          <w:rFonts w:hint="eastAsia" w:ascii="仿宋" w:hAnsi="仿宋" w:eastAsia="仿宋" w:cs="仿宋"/>
          <w:color w:val="auto"/>
          <w:sz w:val="32"/>
          <w:szCs w:val="32"/>
          <w:highlight w:val="none"/>
          <w:lang w:val="en-US" w:eastAsia="zh-CN"/>
        </w:rPr>
        <w:t>可实现0～10V无极调光。</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3）驱动电源需确保可接受采购方单灯控制器控制。</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4）驱动电源防护等级不低于IP65。</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bookmarkStart w:id="47" w:name="_Toc6094"/>
      <w:bookmarkStart w:id="48" w:name="_Toc9364"/>
      <w:r>
        <w:rPr>
          <w:rFonts w:hint="eastAsia" w:ascii="仿宋" w:hAnsi="仿宋" w:eastAsia="仿宋" w:cs="仿宋"/>
          <w:b w:val="0"/>
          <w:bCs w:val="0"/>
          <w:color w:val="auto"/>
          <w:kern w:val="2"/>
          <w:sz w:val="32"/>
          <w:szCs w:val="32"/>
          <w:highlight w:val="none"/>
          <w:lang w:val="en-US" w:eastAsia="zh-CN" w:bidi="ar-SA"/>
        </w:rPr>
        <w:t>（8）电磁兼容等要求</w:t>
      </w:r>
      <w:bookmarkEnd w:id="47"/>
      <w:bookmarkEnd w:id="48"/>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灯具的无线电骚扰特性应符合GB/T 17743的要求。</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灯具电磁兼容抗扰度应符合GB/T 18595 的要求。</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灯具的输入电流谐波应符合GB l7625.1的要求。</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LED电子控制装置应采用高压输出的LED电子控制装置，输出电流不超过1.5A。并应符合GB 19510.14的规定。</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LED灯具的蓝光控制应符合GB 7000.1的规定。</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bookmarkStart w:id="49" w:name="_Toc21333"/>
      <w:bookmarkStart w:id="50" w:name="_Toc10479"/>
      <w:bookmarkStart w:id="51" w:name="_Toc2186"/>
      <w:bookmarkStart w:id="52" w:name="_Toc8155"/>
      <w:bookmarkStart w:id="53" w:name="_Toc15302"/>
      <w:bookmarkStart w:id="54" w:name="_Toc23592"/>
      <w:r>
        <w:rPr>
          <w:rFonts w:hint="eastAsia" w:ascii="仿宋" w:hAnsi="仿宋" w:eastAsia="仿宋" w:cs="仿宋"/>
          <w:b w:val="0"/>
          <w:bCs w:val="0"/>
          <w:color w:val="auto"/>
          <w:kern w:val="2"/>
          <w:sz w:val="32"/>
          <w:szCs w:val="32"/>
          <w:highlight w:val="none"/>
          <w:lang w:val="en-US" w:eastAsia="zh-CN" w:bidi="ar-SA"/>
        </w:rPr>
        <w:t>（9）耐腐蚀性</w:t>
      </w:r>
      <w:bookmarkEnd w:id="49"/>
      <w:bookmarkEnd w:id="50"/>
      <w:bookmarkEnd w:id="51"/>
      <w:bookmarkEnd w:id="52"/>
      <w:bookmarkEnd w:id="53"/>
      <w:bookmarkEnd w:id="54"/>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w:t>
      </w:r>
      <w:r>
        <w:rPr>
          <w:rFonts w:hint="eastAsia" w:ascii="仿宋" w:hAnsi="仿宋" w:eastAsia="仿宋" w:cs="仿宋"/>
          <w:color w:val="auto"/>
          <w:sz w:val="32"/>
          <w:szCs w:val="32"/>
          <w:highlight w:val="none"/>
          <w:lang w:val="en-US" w:eastAsia="zh-CN"/>
        </w:rPr>
        <w:t>或PC</w:t>
      </w:r>
      <w:r>
        <w:rPr>
          <w:rFonts w:hint="eastAsia" w:ascii="仿宋" w:hAnsi="仿宋" w:eastAsia="仿宋" w:cs="仿宋"/>
          <w:color w:val="auto"/>
          <w:sz w:val="32"/>
          <w:szCs w:val="32"/>
          <w:highlight w:val="none"/>
        </w:rPr>
        <w:t>材料部分保证5年不发黄（如有）。</w:t>
      </w:r>
    </w:p>
    <w:p>
      <w:pPr>
        <w:pageBreakBefore w:val="0"/>
        <w:kinsoku/>
        <w:wordWrap/>
        <w:overflowPunct/>
        <w:topLinePunct w:val="0"/>
        <w:autoSpaceDE/>
        <w:autoSpaceDN/>
        <w:bidi w:val="0"/>
        <w:snapToGrid w:val="0"/>
        <w:spacing w:line="570" w:lineRule="exact"/>
        <w:ind w:firstLine="640" w:firstLineChars="200"/>
        <w:jc w:val="left"/>
        <w:textAlignment w:val="auto"/>
        <w:rPr>
          <w:rFonts w:hint="default" w:ascii="仿宋" w:hAnsi="仿宋" w:eastAsia="仿宋" w:cs="仿宋"/>
          <w:b w:val="0"/>
          <w:bCs w:val="0"/>
          <w:color w:val="auto"/>
          <w:kern w:val="2"/>
          <w:sz w:val="32"/>
          <w:szCs w:val="32"/>
          <w:highlight w:val="none"/>
          <w:lang w:val="en-US" w:eastAsia="zh-CN" w:bidi="ar-SA"/>
        </w:rPr>
      </w:pPr>
      <w:bookmarkStart w:id="55" w:name="_Toc21272"/>
      <w:r>
        <w:rPr>
          <w:rFonts w:hint="eastAsia" w:ascii="仿宋" w:hAnsi="仿宋" w:eastAsia="仿宋" w:cs="仿宋"/>
          <w:b w:val="0"/>
          <w:bCs w:val="0"/>
          <w:color w:val="auto"/>
          <w:kern w:val="2"/>
          <w:sz w:val="32"/>
          <w:szCs w:val="32"/>
          <w:highlight w:val="none"/>
          <w:lang w:val="en-US" w:eastAsia="zh-CN" w:bidi="ar-SA"/>
        </w:rPr>
        <w:t>（10）庭院灯灯具详细技术参数要求</w:t>
      </w:r>
      <w:bookmarkEnd w:id="55"/>
      <w:r>
        <w:rPr>
          <w:rFonts w:hint="eastAsia" w:ascii="仿宋" w:hAnsi="仿宋" w:eastAsia="仿宋" w:cs="仿宋"/>
          <w:b w:val="0"/>
          <w:bCs w:val="0"/>
          <w:color w:val="auto"/>
          <w:kern w:val="2"/>
          <w:sz w:val="32"/>
          <w:szCs w:val="32"/>
          <w:highlight w:val="none"/>
          <w:lang w:val="en-US" w:eastAsia="zh-CN" w:bidi="ar-SA"/>
        </w:rPr>
        <w:t>详见下表：</w:t>
      </w:r>
    </w:p>
    <w:tbl>
      <w:tblPr>
        <w:tblStyle w:val="8"/>
        <w:tblW w:w="48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8"/>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000" w:type="pct"/>
            <w:gridSpan w:val="2"/>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金箍棒型庭院灯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00" w:type="pct"/>
            <w:gridSpan w:val="2"/>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表面均匀发光，其余详见上文要求。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透光罩：抗紫外线聚碳酸酯(PC)透光罩（透明）(可根据甲方要求调整)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479" w:type="pct"/>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LED颗粒：非集成式</w:t>
            </w:r>
          </w:p>
        </w:tc>
        <w:tc>
          <w:tcPr>
            <w:tcW w:w="2520" w:type="pct"/>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整灯系统总功率：≤44</w:t>
            </w:r>
            <w:r>
              <w:rPr>
                <w:rFonts w:hint="eastAsia" w:ascii="仿宋" w:hAnsi="仿宋" w:eastAsia="仿宋" w:cs="仿宋"/>
                <w:color w:val="auto"/>
                <w:sz w:val="32"/>
                <w:szCs w:val="32"/>
                <w:highlight w:val="none"/>
                <w:lang w:val="en-US" w:eastAsia="zh-CN"/>
              </w:rPr>
              <w:t>w</w:t>
            </w:r>
            <w:r>
              <w:rPr>
                <w:rFonts w:hint="eastAsia" w:ascii="仿宋" w:hAnsi="仿宋" w:eastAsia="仿宋" w:cs="仿宋"/>
                <w:color w:val="auto"/>
                <w:sz w:val="32"/>
                <w:szCs w:val="3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整灯光效:≥</w:t>
            </w:r>
            <w:r>
              <w:rPr>
                <w:rFonts w:hint="eastAsia" w:ascii="仿宋" w:hAnsi="仿宋" w:eastAsia="仿宋" w:cs="仿宋"/>
                <w:color w:val="auto"/>
                <w:sz w:val="32"/>
                <w:szCs w:val="32"/>
                <w:highlight w:val="none"/>
                <w:lang w:val="en-US" w:eastAsia="zh-CN"/>
              </w:rPr>
              <w:t>38</w:t>
            </w:r>
            <w:r>
              <w:rPr>
                <w:rFonts w:hint="eastAsia" w:ascii="仿宋" w:hAnsi="仿宋" w:eastAsia="仿宋" w:cs="仿宋"/>
                <w:color w:val="auto"/>
                <w:sz w:val="32"/>
                <w:szCs w:val="32"/>
                <w:highlight w:val="none"/>
              </w:rPr>
              <w:t>lm/w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479" w:type="pct"/>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显色指数:(CRI)＞70</w:t>
            </w:r>
          </w:p>
        </w:tc>
        <w:tc>
          <w:tcPr>
            <w:tcW w:w="2520" w:type="pct"/>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灯具色容差:≤</w:t>
            </w: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SDCM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479" w:type="pct"/>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单灯功率因数:≥0.9</w:t>
            </w:r>
          </w:p>
        </w:tc>
        <w:tc>
          <w:tcPr>
            <w:tcW w:w="2520" w:type="pct"/>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整灯防护等级：≥IP65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79" w:type="pct"/>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色温： 3000</w:t>
            </w:r>
            <w:r>
              <w:rPr>
                <w:rFonts w:hint="eastAsia" w:ascii="仿宋" w:hAnsi="仿宋" w:eastAsia="仿宋" w:cs="仿宋"/>
                <w:color w:val="auto"/>
                <w:sz w:val="32"/>
                <w:szCs w:val="32"/>
                <w:highlight w:val="none"/>
                <w:lang w:val="en-US" w:eastAsia="zh-CN"/>
              </w:rPr>
              <w:t>k</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00</w:t>
            </w:r>
            <w:r>
              <w:rPr>
                <w:rFonts w:hint="eastAsia" w:ascii="仿宋" w:hAnsi="仿宋" w:eastAsia="仿宋" w:cs="仿宋"/>
                <w:color w:val="auto"/>
                <w:sz w:val="32"/>
                <w:szCs w:val="32"/>
                <w:highlight w:val="none"/>
                <w:lang w:val="en-US" w:eastAsia="zh-CN"/>
              </w:rPr>
              <w:t>k</w:t>
            </w:r>
          </w:p>
        </w:tc>
        <w:tc>
          <w:tcPr>
            <w:tcW w:w="2520" w:type="pct"/>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输入电压：176-264V/50-60Hz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5000" w:type="pct"/>
            <w:gridSpan w:val="2"/>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灯具外观及尺寸:如图（</w:t>
            </w:r>
            <w:r>
              <w:rPr>
                <w:rFonts w:hint="eastAsia" w:ascii="仿宋" w:hAnsi="仿宋" w:eastAsia="仿宋" w:cs="仿宋"/>
                <w:color w:val="auto"/>
                <w:sz w:val="32"/>
                <w:szCs w:val="32"/>
                <w:highlight w:val="none"/>
                <w:lang w:val="en-US" w:eastAsia="zh-CN"/>
              </w:rPr>
              <w:t>灯头</w:t>
            </w:r>
            <w:r>
              <w:rPr>
                <w:rFonts w:hint="eastAsia" w:ascii="仿宋" w:hAnsi="仿宋" w:eastAsia="仿宋" w:cs="仿宋"/>
                <w:color w:val="auto"/>
                <w:sz w:val="32"/>
                <w:szCs w:val="32"/>
                <w:highlight w:val="none"/>
              </w:rPr>
              <w:t>直径200mm</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高度</w:t>
            </w:r>
            <w:r>
              <w:rPr>
                <w:rFonts w:hint="eastAsia" w:ascii="仿宋" w:hAnsi="仿宋" w:eastAsia="仿宋" w:cs="仿宋"/>
                <w:color w:val="auto"/>
                <w:sz w:val="32"/>
                <w:szCs w:val="32"/>
                <w:highlight w:val="none"/>
                <w:lang w:val="en-US" w:eastAsia="zh-CN"/>
              </w:rPr>
              <w:t>55</w:t>
            </w:r>
            <w:r>
              <w:rPr>
                <w:rFonts w:hint="eastAsia" w:ascii="仿宋" w:hAnsi="仿宋" w:eastAsia="仿宋" w:cs="仿宋"/>
                <w:color w:val="auto"/>
                <w:sz w:val="32"/>
                <w:szCs w:val="32"/>
                <w:highlight w:val="none"/>
              </w:rPr>
              <w:t>0mm</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（允许公差范围为±10mm）；水晶柱直径52mm，高度355mm（允许公差范围为±5mm）。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8" w:hRule="atLeast"/>
        </w:trPr>
        <w:tc>
          <w:tcPr>
            <w:tcW w:w="5000" w:type="pct"/>
            <w:gridSpan w:val="2"/>
            <w:noWrap w:val="0"/>
            <w:vAlign w:val="center"/>
          </w:tcPr>
          <w:p>
            <w:pPr>
              <w:pageBreakBefore w:val="0"/>
              <w:kinsoku/>
              <w:wordWrap/>
              <w:overflowPunct/>
              <w:topLinePunct w:val="0"/>
              <w:autoSpaceDE/>
              <w:autoSpaceDN/>
              <w:bidi w:val="0"/>
              <w:spacing w:line="240" w:lineRule="auto"/>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5117465" cy="3083560"/>
                  <wp:effectExtent l="0" t="0" r="6985" b="2540"/>
                  <wp:docPr id="2" name="图片 2" descr="d53497a6fa29fc3c32ebff359135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53497a6fa29fc3c32ebff35913500b"/>
                          <pic:cNvPicPr>
                            <a:picLocks noChangeAspect="1"/>
                          </pic:cNvPicPr>
                        </pic:nvPicPr>
                        <pic:blipFill>
                          <a:blip r:embed="rId12"/>
                          <a:stretch>
                            <a:fillRect/>
                          </a:stretch>
                        </pic:blipFill>
                        <pic:spPr>
                          <a:xfrm>
                            <a:off x="0" y="0"/>
                            <a:ext cx="5117465" cy="3083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trPr>
        <w:tc>
          <w:tcPr>
            <w:tcW w:w="5000" w:type="pct"/>
            <w:gridSpan w:val="2"/>
            <w:noWrap w:val="0"/>
            <w:vAlign w:val="center"/>
          </w:tcPr>
          <w:p>
            <w:pPr>
              <w:pageBreakBefore w:val="0"/>
              <w:kinsoku/>
              <w:wordWrap/>
              <w:overflowPunct/>
              <w:topLinePunct w:val="0"/>
              <w:autoSpaceDE/>
              <w:autoSpaceDN/>
              <w:bidi w:val="0"/>
              <w:spacing w:line="570" w:lineRule="exact"/>
              <w:ind w:firstLine="640" w:firstLineChars="200"/>
              <w:jc w:val="left"/>
              <w:textAlignment w:val="auto"/>
              <w:rPr>
                <w:rFonts w:hint="eastAsia"/>
                <w:lang w:val="en-US" w:eastAsia="zh-CN"/>
              </w:rPr>
            </w:pPr>
            <w:r>
              <w:rPr>
                <w:rFonts w:hint="eastAsia" w:ascii="仿宋" w:hAnsi="仿宋" w:eastAsia="仿宋" w:cs="仿宋"/>
                <w:color w:val="auto"/>
                <w:sz w:val="32"/>
                <w:szCs w:val="32"/>
                <w:highlight w:val="none"/>
              </w:rPr>
              <w:t>说明：如尺寸图示，光源上下端盖:材质为铝材，型号6063-T5，</w:t>
            </w:r>
            <w:r>
              <w:rPr>
                <w:rFonts w:hint="eastAsia" w:ascii="仿宋" w:hAnsi="仿宋" w:eastAsia="仿宋" w:cs="仿宋"/>
                <w:color w:val="auto"/>
                <w:sz w:val="32"/>
                <w:szCs w:val="32"/>
                <w:highlight w:val="none"/>
                <w:lang w:val="en-US" w:eastAsia="zh-CN"/>
              </w:rPr>
              <w:t>壁厚4.5mm，</w:t>
            </w:r>
            <w:r>
              <w:rPr>
                <w:rFonts w:hint="eastAsia" w:ascii="仿宋" w:hAnsi="仿宋" w:eastAsia="仿宋" w:cs="仿宋"/>
                <w:color w:val="auto"/>
                <w:sz w:val="32"/>
                <w:szCs w:val="32"/>
                <w:highlight w:val="none"/>
              </w:rPr>
              <w:t>附生产厂家“产品质量证明书”。光源装饰罩:采用PC材料（需提供检验报告），上下对称布置。水晶柱:采用亚克力材料，安装后增加支撑强度。过线铝管：采用铝型材等径圆管。灯具面罩：采用PC透明材料（需提供检验报告），遵循上压下原则，互相搭接。</w:t>
            </w:r>
            <w:r>
              <w:rPr>
                <w:rFonts w:hint="eastAsia" w:ascii="仿宋" w:hAnsi="仿宋" w:eastAsia="仿宋" w:cs="仿宋"/>
                <w:color w:val="auto"/>
                <w:sz w:val="32"/>
                <w:szCs w:val="32"/>
                <w:highlight w:val="none"/>
                <w:lang w:val="en-US" w:eastAsia="zh-CN"/>
              </w:rPr>
              <w:t>灯头直径200mm，高度550mm（允许公差范围为±10mm）；水晶柱直径52mm，高度355mm（允许公差范围为±5mm）</w:t>
            </w:r>
            <w:r>
              <w:rPr>
                <w:rFonts w:hint="eastAsia" w:ascii="仿宋" w:hAnsi="仿宋" w:eastAsia="仿宋" w:cs="仿宋"/>
                <w:color w:val="auto"/>
                <w:sz w:val="32"/>
                <w:szCs w:val="3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2"/>
            <w:noWrap w:val="0"/>
            <w:vAlign w:val="center"/>
          </w:tcPr>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模拟安装条件</w:t>
            </w:r>
          </w:p>
          <w:tbl>
            <w:tblPr>
              <w:tblStyle w:val="8"/>
              <w:tblW w:w="6751" w:type="dxa"/>
              <w:tblInd w:w="0" w:type="dxa"/>
              <w:tblLayout w:type="fixed"/>
              <w:tblCellMar>
                <w:top w:w="0" w:type="dxa"/>
                <w:left w:w="108" w:type="dxa"/>
                <w:bottom w:w="0" w:type="dxa"/>
                <w:right w:w="108" w:type="dxa"/>
              </w:tblCellMar>
            </w:tblPr>
            <w:tblGrid>
              <w:gridCol w:w="886"/>
              <w:gridCol w:w="3910"/>
              <w:gridCol w:w="1955"/>
            </w:tblGrid>
            <w:tr>
              <w:tblPrEx>
                <w:tblCellMar>
                  <w:top w:w="0" w:type="dxa"/>
                  <w:left w:w="108" w:type="dxa"/>
                  <w:bottom w:w="0" w:type="dxa"/>
                  <w:right w:w="108" w:type="dxa"/>
                </w:tblCellMar>
              </w:tblPrEx>
              <w:trPr>
                <w:trHeight w:val="442" w:hRule="atLeast"/>
              </w:trPr>
              <w:tc>
                <w:tcPr>
                  <w:tcW w:w="656"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p>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灯具系统安装条件</w:t>
                  </w:r>
                </w:p>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p>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道路类别：</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园路</w:t>
                  </w:r>
                </w:p>
              </w:tc>
            </w:tr>
            <w:tr>
              <w:tblPrEx>
                <w:tblCellMar>
                  <w:top w:w="0" w:type="dxa"/>
                  <w:left w:w="108" w:type="dxa"/>
                  <w:bottom w:w="0" w:type="dxa"/>
                  <w:right w:w="108" w:type="dxa"/>
                </w:tblCellMar>
              </w:tblPrEx>
              <w:trPr>
                <w:trHeight w:val="412" w:hRule="atLeas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道路宽度(m)：</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5</w:t>
                  </w:r>
                </w:p>
              </w:tc>
            </w:tr>
            <w:tr>
              <w:tblPrEx>
                <w:tblCellMar>
                  <w:top w:w="0" w:type="dxa"/>
                  <w:left w:w="108" w:type="dxa"/>
                  <w:bottom w:w="0" w:type="dxa"/>
                  <w:right w:w="108" w:type="dxa"/>
                </w:tblCellMar>
              </w:tblPrEx>
              <w:trPr>
                <w:trHeight w:val="412" w:hRule="atLeas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车道数</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w:t>
                  </w:r>
                </w:p>
              </w:tc>
            </w:tr>
            <w:tr>
              <w:tblPrEx>
                <w:tblCellMar>
                  <w:top w:w="0" w:type="dxa"/>
                  <w:left w:w="108" w:type="dxa"/>
                  <w:bottom w:w="0" w:type="dxa"/>
                  <w:right w:w="108" w:type="dxa"/>
                </w:tblCellMar>
              </w:tblPrEx>
              <w:trPr>
                <w:trHeight w:val="624" w:hRule="atLeas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道路表面材料</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沥青</w:t>
                  </w:r>
                </w:p>
              </w:tc>
            </w:tr>
            <w:tr>
              <w:tblPrEx>
                <w:tblCellMar>
                  <w:top w:w="0" w:type="dxa"/>
                  <w:left w:w="108" w:type="dxa"/>
                  <w:bottom w:w="0" w:type="dxa"/>
                  <w:right w:w="108" w:type="dxa"/>
                </w:tblCellMar>
              </w:tblPrEx>
              <w:trPr>
                <w:trHeight w:val="412" w:hRule="atLeas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灯具布置方式</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单侧</w:t>
                  </w:r>
                </w:p>
              </w:tc>
            </w:tr>
            <w:tr>
              <w:tblPrEx>
                <w:tblCellMar>
                  <w:top w:w="0" w:type="dxa"/>
                  <w:left w:w="108" w:type="dxa"/>
                  <w:bottom w:w="0" w:type="dxa"/>
                  <w:right w:w="108" w:type="dxa"/>
                </w:tblCellMar>
              </w:tblPrEx>
              <w:trPr>
                <w:trHeight w:val="412" w:hRule="atLeas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灯具安装高度(m)</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3.5</w:t>
                  </w:r>
                </w:p>
              </w:tc>
            </w:tr>
            <w:tr>
              <w:tblPrEx>
                <w:tblCellMar>
                  <w:top w:w="0" w:type="dxa"/>
                  <w:left w:w="108" w:type="dxa"/>
                  <w:bottom w:w="0" w:type="dxa"/>
                  <w:right w:w="108" w:type="dxa"/>
                </w:tblCellMar>
              </w:tblPrEx>
              <w:trPr>
                <w:trHeight w:val="412" w:hRule="atLeas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灯杆的安装间距(m)</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20</w:t>
                  </w:r>
                </w:p>
              </w:tc>
            </w:tr>
            <w:tr>
              <w:tblPrEx>
                <w:tblCellMar>
                  <w:top w:w="0" w:type="dxa"/>
                  <w:left w:w="108" w:type="dxa"/>
                  <w:bottom w:w="0" w:type="dxa"/>
                  <w:right w:w="108" w:type="dxa"/>
                </w:tblCellMar>
              </w:tblPrEx>
              <w:trPr>
                <w:trHeight w:val="412" w:hRule="atLeas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灯杆与路沿</w:t>
                  </w:r>
                  <w:r>
                    <w:rPr>
                      <w:rFonts w:hint="eastAsia" w:ascii="仿宋" w:hAnsi="仿宋" w:eastAsia="仿宋" w:cs="仿宋"/>
                      <w:color w:val="auto"/>
                      <w:kern w:val="0"/>
                      <w:sz w:val="32"/>
                      <w:szCs w:val="32"/>
                      <w:highlight w:val="none"/>
                      <w:lang w:val="en-US" w:eastAsia="zh-CN"/>
                    </w:rPr>
                    <w:t>外侧</w:t>
                  </w:r>
                  <w:r>
                    <w:rPr>
                      <w:rFonts w:hint="eastAsia" w:ascii="仿宋" w:hAnsi="仿宋" w:eastAsia="仿宋" w:cs="仿宋"/>
                      <w:color w:val="auto"/>
                      <w:kern w:val="0"/>
                      <w:sz w:val="32"/>
                      <w:szCs w:val="32"/>
                      <w:highlight w:val="none"/>
                    </w:rPr>
                    <w:t>的距离(m)</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0.5</w:t>
                  </w:r>
                </w:p>
              </w:tc>
            </w:tr>
            <w:tr>
              <w:tblPrEx>
                <w:tblCellMar>
                  <w:top w:w="0" w:type="dxa"/>
                  <w:left w:w="108" w:type="dxa"/>
                  <w:bottom w:w="0" w:type="dxa"/>
                  <w:right w:w="108" w:type="dxa"/>
                </w:tblCellMar>
              </w:tblPrEx>
              <w:trPr>
                <w:trHeight w:val="412" w:hRule="atLeas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灯臂长度</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m</w:t>
                  </w:r>
                  <w:r>
                    <w:rPr>
                      <w:rFonts w:hint="eastAsia" w:ascii="仿宋" w:hAnsi="仿宋" w:eastAsia="仿宋" w:cs="仿宋"/>
                      <w:color w:val="auto"/>
                      <w:kern w:val="0"/>
                      <w:sz w:val="32"/>
                      <w:szCs w:val="32"/>
                      <w:highlight w:val="none"/>
                      <w:lang w:val="en-US" w:eastAsia="zh-CN"/>
                    </w:rPr>
                    <w:t>)</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0</w:t>
                  </w:r>
                </w:p>
              </w:tc>
            </w:tr>
            <w:tr>
              <w:tblPrEx>
                <w:tblCellMar>
                  <w:top w:w="0" w:type="dxa"/>
                  <w:left w:w="108" w:type="dxa"/>
                  <w:bottom w:w="0" w:type="dxa"/>
                  <w:right w:w="108" w:type="dxa"/>
                </w:tblCellMar>
              </w:tblPrEx>
              <w:trPr>
                <w:trHeight w:val="327" w:hRule="atLeas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灯具仰角</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度</w:t>
                  </w:r>
                  <w:r>
                    <w:rPr>
                      <w:rFonts w:hint="eastAsia" w:ascii="仿宋" w:hAnsi="仿宋" w:eastAsia="仿宋" w:cs="仿宋"/>
                      <w:color w:val="auto"/>
                      <w:kern w:val="0"/>
                      <w:sz w:val="32"/>
                      <w:szCs w:val="32"/>
                      <w:highlight w:val="none"/>
                      <w:lang w:val="en-US" w:eastAsia="zh-CN"/>
                    </w:rPr>
                    <w:t>)</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0</w:t>
                  </w:r>
                </w:p>
              </w:tc>
            </w:tr>
            <w:tr>
              <w:tblPrEx>
                <w:tblCellMar>
                  <w:top w:w="0" w:type="dxa"/>
                  <w:left w:w="108" w:type="dxa"/>
                  <w:bottom w:w="0" w:type="dxa"/>
                  <w:right w:w="108" w:type="dxa"/>
                </w:tblCellMar>
              </w:tblPrEx>
              <w:trPr>
                <w:trHeight w:val="567" w:hRule="exact"/>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28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灯具维护系数</w:t>
                  </w:r>
                </w:p>
              </w:tc>
              <w:tc>
                <w:tcPr>
                  <w:tcW w:w="144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0.7</w:t>
                  </w:r>
                </w:p>
              </w:tc>
            </w:tr>
          </w:tbl>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在上述</w:t>
            </w:r>
            <w:r>
              <w:rPr>
                <w:rFonts w:hint="eastAsia" w:ascii="仿宋" w:hAnsi="仿宋" w:eastAsia="仿宋" w:cs="仿宋"/>
                <w:color w:val="auto"/>
                <w:sz w:val="32"/>
                <w:szCs w:val="32"/>
                <w:highlight w:val="none"/>
                <w:lang w:val="en-US" w:eastAsia="zh-CN"/>
              </w:rPr>
              <w:t>园路</w:t>
            </w:r>
            <w:r>
              <w:rPr>
                <w:rFonts w:hint="eastAsia" w:ascii="仿宋" w:hAnsi="仿宋" w:eastAsia="仿宋" w:cs="仿宋"/>
                <w:color w:val="auto"/>
                <w:sz w:val="32"/>
                <w:szCs w:val="32"/>
                <w:highlight w:val="none"/>
              </w:rPr>
              <w:t>模拟安装条件下照明需满足以下要求：</w:t>
            </w: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（1）路面平均照度Eav（</w:t>
            </w:r>
            <w:r>
              <w:rPr>
                <w:rFonts w:hint="eastAsia" w:ascii="仿宋" w:hAnsi="仿宋" w:eastAsia="仿宋" w:cs="仿宋"/>
                <w:color w:val="auto"/>
                <w:sz w:val="32"/>
                <w:szCs w:val="32"/>
                <w:highlight w:val="none"/>
                <w:lang w:eastAsia="zh-CN"/>
              </w:rPr>
              <w:t>lx</w:t>
            </w:r>
            <w:r>
              <w:rPr>
                <w:rFonts w:hint="eastAsia" w:ascii="仿宋" w:hAnsi="仿宋" w:eastAsia="仿宋" w:cs="仿宋"/>
                <w:color w:val="auto"/>
                <w:sz w:val="32"/>
                <w:szCs w:val="32"/>
                <w:highlight w:val="none"/>
              </w:rPr>
              <w:t>）维持值不低于</w:t>
            </w: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lx</w:t>
            </w: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（2）路面最小照度Emin（</w:t>
            </w:r>
            <w:r>
              <w:rPr>
                <w:rFonts w:hint="eastAsia" w:ascii="仿宋" w:hAnsi="仿宋" w:eastAsia="仿宋" w:cs="仿宋"/>
                <w:color w:val="auto"/>
                <w:sz w:val="32"/>
                <w:szCs w:val="32"/>
                <w:highlight w:val="none"/>
                <w:lang w:eastAsia="zh-CN"/>
              </w:rPr>
              <w:t>lx</w:t>
            </w:r>
            <w:r>
              <w:rPr>
                <w:rFonts w:hint="eastAsia" w:ascii="仿宋" w:hAnsi="仿宋" w:eastAsia="仿宋" w:cs="仿宋"/>
                <w:color w:val="auto"/>
                <w:sz w:val="32"/>
                <w:szCs w:val="32"/>
                <w:highlight w:val="none"/>
              </w:rPr>
              <w:t>）维持值不低于1</w:t>
            </w:r>
            <w:r>
              <w:rPr>
                <w:rFonts w:hint="eastAsia" w:ascii="仿宋" w:hAnsi="仿宋" w:eastAsia="仿宋" w:cs="仿宋"/>
                <w:color w:val="auto"/>
                <w:sz w:val="32"/>
                <w:szCs w:val="32"/>
                <w:highlight w:val="none"/>
                <w:lang w:eastAsia="zh-CN"/>
              </w:rPr>
              <w:t>lx</w:t>
            </w: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照明眩光限值</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795"/>
              <w:gridCol w:w="1793"/>
              <w:gridCol w:w="1795"/>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48" w:type="dxa"/>
                  <w:vMerge w:val="restart"/>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级别</w:t>
                  </w:r>
                </w:p>
              </w:tc>
              <w:tc>
                <w:tcPr>
                  <w:tcW w:w="7112" w:type="dxa"/>
                  <w:gridSpan w:val="4"/>
                  <w:noWrap w:val="0"/>
                  <w:vAlign w:val="center"/>
                </w:tcPr>
                <w:p>
                  <w:pPr>
                    <w:pageBreakBefore w:val="0"/>
                    <w:kinsoku/>
                    <w:wordWrap/>
                    <w:overflowPunct/>
                    <w:topLinePunct w:val="0"/>
                    <w:autoSpaceDE/>
                    <w:autoSpaceDN/>
                    <w:bidi w:val="0"/>
                    <w:spacing w:line="570" w:lineRule="exact"/>
                    <w:ind w:firstLine="640" w:firstLineChars="20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最大光强Imax（cd/1000lm）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48" w:type="dxa"/>
                  <w:vMerge w:val="continue"/>
                  <w:noWrap w:val="0"/>
                  <w:vAlign w:val="center"/>
                </w:tcPr>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p>
              </w:tc>
              <w:tc>
                <w:tcPr>
                  <w:tcW w:w="1795" w:type="dxa"/>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≥70°</w:t>
                  </w:r>
                </w:p>
              </w:tc>
              <w:tc>
                <w:tcPr>
                  <w:tcW w:w="1793" w:type="dxa"/>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≥80°</w:t>
                  </w:r>
                </w:p>
              </w:tc>
              <w:tc>
                <w:tcPr>
                  <w:tcW w:w="1795" w:type="dxa"/>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≥90°</w:t>
                  </w:r>
                </w:p>
              </w:tc>
              <w:tc>
                <w:tcPr>
                  <w:tcW w:w="1729" w:type="dxa"/>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&gt;95°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8" w:type="dxa"/>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1795" w:type="dxa"/>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tc>
              <w:tc>
                <w:tcPr>
                  <w:tcW w:w="1793" w:type="dxa"/>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100</w:t>
                  </w:r>
                </w:p>
              </w:tc>
              <w:tc>
                <w:tcPr>
                  <w:tcW w:w="1795" w:type="dxa"/>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w:t>
                  </w:r>
                </w:p>
              </w:tc>
              <w:tc>
                <w:tcPr>
                  <w:tcW w:w="1729" w:type="dxa"/>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8" w:type="dxa"/>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备注</w:t>
                  </w:r>
                </w:p>
              </w:tc>
              <w:tc>
                <w:tcPr>
                  <w:tcW w:w="7112" w:type="dxa"/>
                  <w:gridSpan w:val="4"/>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表中给出的是灯具在模拟安装就位后与其向下垂直轴形成的指定角度上任何方向上的发光强度。</w:t>
                  </w:r>
                </w:p>
              </w:tc>
            </w:tr>
          </w:tbl>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灯具批量安装后，将对现场路面照度进行抽检，如测量数据未达标，中标单位需在一个月内整改完毕，并承担整改所需所有费用，采购方有权扣除全部履约保证金。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2"/>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材质和工艺：高压铸铝灯体</w:t>
            </w:r>
            <w:r>
              <w:rPr>
                <w:rFonts w:hint="eastAsia" w:ascii="仿宋" w:hAnsi="仿宋" w:eastAsia="仿宋" w:cs="仿宋"/>
                <w:color w:val="auto"/>
                <w:sz w:val="32"/>
                <w:szCs w:val="3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2"/>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灯具颜色：</w:t>
            </w:r>
            <w:r>
              <w:rPr>
                <w:rFonts w:hint="eastAsia" w:ascii="仿宋" w:hAnsi="仿宋" w:eastAsia="仿宋" w:cs="仿宋"/>
                <w:color w:val="auto"/>
                <w:sz w:val="32"/>
                <w:szCs w:val="32"/>
                <w:highlight w:val="none"/>
                <w:lang w:val="en-US" w:eastAsia="zh-CN"/>
              </w:rPr>
              <w:t>松绿砂纹</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生产前须与业主方确认</w:t>
            </w:r>
            <w:r>
              <w:rPr>
                <w:rFonts w:hint="eastAsia" w:ascii="仿宋" w:hAnsi="仿宋" w:eastAsia="仿宋" w:cs="仿宋"/>
                <w:color w:val="auto"/>
                <w:sz w:val="32"/>
                <w:szCs w:val="3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2"/>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附件：含所有安装所需附件。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2"/>
            <w:noWrap w:val="0"/>
            <w:vAlign w:val="center"/>
          </w:tcPr>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安装方式：</w:t>
            </w:r>
            <w:r>
              <w:rPr>
                <w:rFonts w:hint="eastAsia" w:ascii="仿宋" w:hAnsi="仿宋" w:eastAsia="仿宋" w:cs="仿宋"/>
                <w:color w:val="auto"/>
                <w:sz w:val="32"/>
                <w:szCs w:val="32"/>
                <w:highlight w:val="none"/>
              </w:rPr>
              <w:t>灯杆顶装</w:t>
            </w:r>
            <w:r>
              <w:rPr>
                <w:rFonts w:hint="eastAsia" w:ascii="仿宋" w:hAnsi="仿宋" w:eastAsia="仿宋" w:cs="仿宋"/>
                <w:color w:val="auto"/>
                <w:sz w:val="32"/>
                <w:szCs w:val="32"/>
                <w:highlight w:val="none"/>
                <w:lang w:eastAsia="zh-CN"/>
              </w:rPr>
              <w:t>。</w:t>
            </w:r>
          </w:p>
        </w:tc>
      </w:tr>
    </w:tbl>
    <w:p>
      <w:pPr>
        <w:pageBreakBefore w:val="0"/>
        <w:kinsoku/>
        <w:wordWrap/>
        <w:overflowPunct/>
        <w:topLinePunct w:val="0"/>
        <w:autoSpaceDE/>
        <w:autoSpaceDN/>
        <w:bidi w:val="0"/>
        <w:snapToGrid w:val="0"/>
        <w:spacing w:line="570" w:lineRule="exact"/>
        <w:ind w:left="0" w:leftChars="0" w:firstLine="736" w:firstLineChars="230"/>
        <w:jc w:val="left"/>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lang w:val="en-US" w:eastAsia="zh-CN"/>
        </w:rPr>
        <w:t>2.</w:t>
      </w:r>
      <w:r>
        <w:rPr>
          <w:rFonts w:hint="eastAsia" w:ascii="楷体" w:hAnsi="楷体" w:eastAsia="楷体" w:cs="楷体"/>
          <w:color w:val="auto"/>
          <w:sz w:val="32"/>
          <w:szCs w:val="32"/>
          <w:highlight w:val="none"/>
        </w:rPr>
        <w:t>灯杆部分的具体要求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（1）材质要求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灯杆尺寸按照所提供图纸制作。灯杆采用圆型</w:t>
      </w:r>
      <w:r>
        <w:rPr>
          <w:rFonts w:hint="eastAsia" w:ascii="仿宋" w:hAnsi="仿宋" w:eastAsia="仿宋" w:cs="仿宋"/>
          <w:color w:val="auto"/>
          <w:sz w:val="32"/>
          <w:szCs w:val="32"/>
          <w:highlight w:val="none"/>
          <w:lang w:val="en-US" w:eastAsia="zh-CN"/>
        </w:rPr>
        <w:t>铝杆</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型号为6063-T5，壁厚4.5mm。</w:t>
      </w:r>
      <w:r>
        <w:rPr>
          <w:rFonts w:hint="eastAsia" w:ascii="仿宋" w:hAnsi="仿宋" w:eastAsia="仿宋" w:cs="仿宋"/>
          <w:color w:val="auto"/>
          <w:sz w:val="32"/>
          <w:szCs w:val="32"/>
          <w:highlight w:val="none"/>
        </w:rPr>
        <w:t>供货时附生产厂家“产品质量证明书”。</w:t>
      </w:r>
      <w:r>
        <w:rPr>
          <w:rFonts w:hint="eastAsia" w:ascii="仿宋" w:hAnsi="仿宋" w:eastAsia="仿宋" w:cs="仿宋"/>
          <w:color w:val="auto"/>
          <w:sz w:val="32"/>
          <w:szCs w:val="32"/>
          <w:highlight w:val="none"/>
          <w:lang w:val="en-US" w:eastAsia="zh-CN"/>
        </w:rPr>
        <w:t>法兰盘材质为20mm铝材，型号为6063-T5。</w:t>
      </w:r>
      <w:r>
        <w:rPr>
          <w:rFonts w:hint="eastAsia" w:ascii="仿宋" w:hAnsi="仿宋" w:eastAsia="仿宋" w:cs="仿宋"/>
          <w:color w:val="auto"/>
          <w:sz w:val="32"/>
          <w:szCs w:val="32"/>
          <w:highlight w:val="none"/>
        </w:rPr>
        <w:t>供货时</w:t>
      </w:r>
      <w:r>
        <w:rPr>
          <w:rFonts w:hint="eastAsia" w:ascii="仿宋" w:hAnsi="仿宋" w:eastAsia="仿宋" w:cs="仿宋"/>
          <w:color w:val="auto"/>
          <w:sz w:val="32"/>
          <w:szCs w:val="32"/>
          <w:highlight w:val="none"/>
          <w:lang w:val="en-US" w:eastAsia="zh-CN"/>
        </w:rPr>
        <w:t>附生产厂家“产品质量证明书”。法兰盘安装孔中心距为300×300mm，整灯直径≤200mm，高度≤4000mm(允许公差范围为±10mm)，见灯杆加工尺寸示意图（图4）。灯杆底部法兰采用内外焊接，不能有加强筋。</w:t>
      </w:r>
      <w:r>
        <w:rPr>
          <w:rFonts w:hint="eastAsia" w:ascii="仿宋" w:hAnsi="仿宋" w:eastAsia="仿宋" w:cs="仿宋"/>
          <w:color w:val="auto"/>
          <w:sz w:val="32"/>
          <w:szCs w:val="32"/>
          <w:highlight w:val="none"/>
        </w:rPr>
        <w:t>灯杆（不含灯</w:t>
      </w:r>
      <w:r>
        <w:rPr>
          <w:rFonts w:hint="eastAsia" w:ascii="仿宋" w:hAnsi="仿宋" w:eastAsia="仿宋" w:cs="仿宋"/>
          <w:color w:val="auto"/>
          <w:sz w:val="32"/>
          <w:szCs w:val="32"/>
          <w:highlight w:val="none"/>
          <w:lang w:val="en-US" w:eastAsia="zh-CN"/>
        </w:rPr>
        <w:t>具</w:t>
      </w:r>
      <w:r>
        <w:rPr>
          <w:rFonts w:hint="eastAsia" w:ascii="仿宋" w:hAnsi="仿宋" w:eastAsia="仿宋" w:cs="仿宋"/>
          <w:color w:val="auto"/>
          <w:sz w:val="32"/>
          <w:szCs w:val="32"/>
          <w:highlight w:val="none"/>
        </w:rPr>
        <w:t>重量）重量</w:t>
      </w:r>
      <w:r>
        <w:rPr>
          <w:rFonts w:hint="eastAsia" w:ascii="仿宋" w:hAnsi="仿宋" w:eastAsia="仿宋" w:cs="仿宋"/>
          <w:color w:val="auto"/>
          <w:sz w:val="32"/>
          <w:szCs w:val="32"/>
          <w:highlight w:val="none"/>
          <w:lang w:val="en-US" w:eastAsia="zh-CN"/>
        </w:rPr>
        <w:t>见</w:t>
      </w:r>
      <w:r>
        <w:rPr>
          <w:rFonts w:hint="eastAsia" w:ascii="仿宋" w:hAnsi="仿宋" w:eastAsia="仿宋" w:cs="仿宋"/>
          <w:color w:val="auto"/>
          <w:sz w:val="32"/>
          <w:szCs w:val="32"/>
          <w:highlight w:val="none"/>
        </w:rPr>
        <w:t>下表：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1"/>
        <w:gridCol w:w="320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9" w:hRule="atLeast"/>
          <w:jc w:val="center"/>
        </w:trPr>
        <w:tc>
          <w:tcPr>
            <w:tcW w:w="1456" w:type="pct"/>
            <w:noWrap w:val="0"/>
            <w:vAlign w:val="center"/>
          </w:tcPr>
          <w:p>
            <w:pPr>
              <w:pageBreakBefore w:val="0"/>
              <w:kinsoku/>
              <w:wordWrap/>
              <w:overflowPunct/>
              <w:topLinePunct w:val="0"/>
              <w:autoSpaceDE/>
              <w:autoSpaceDN/>
              <w:bidi w:val="0"/>
              <w:snapToGrid w:val="0"/>
              <w:spacing w:line="570" w:lineRule="exact"/>
              <w:ind w:left="0" w:leftChars="0" w:firstLine="0" w:firstLineChars="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名称型号规格</w:t>
            </w:r>
          </w:p>
        </w:tc>
        <w:tc>
          <w:tcPr>
            <w:tcW w:w="1878" w:type="pct"/>
            <w:noWrap w:val="0"/>
            <w:vAlign w:val="center"/>
          </w:tcPr>
          <w:p>
            <w:pPr>
              <w:pageBreakBefore w:val="0"/>
              <w:kinsoku/>
              <w:wordWrap/>
              <w:overflowPunct/>
              <w:topLinePunct w:val="0"/>
              <w:autoSpaceDE/>
              <w:autoSpaceDN/>
              <w:bidi w:val="0"/>
              <w:snapToGrid w:val="0"/>
              <w:spacing w:line="570" w:lineRule="exact"/>
              <w:ind w:left="0" w:leftChars="0" w:firstLine="0" w:firstLineChars="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喷塑</w:t>
            </w:r>
            <w:r>
              <w:rPr>
                <w:rFonts w:hint="eastAsia" w:ascii="仿宋" w:hAnsi="仿宋" w:eastAsia="仿宋" w:cs="仿宋"/>
                <w:color w:val="auto"/>
                <w:sz w:val="32"/>
                <w:szCs w:val="32"/>
                <w:highlight w:val="none"/>
                <w:lang w:val="en-US" w:eastAsia="zh-CN"/>
              </w:rPr>
              <w:t>后灯具</w:t>
            </w:r>
            <w:r>
              <w:rPr>
                <w:rFonts w:hint="eastAsia" w:ascii="仿宋" w:hAnsi="仿宋" w:eastAsia="仿宋" w:cs="仿宋"/>
                <w:color w:val="auto"/>
                <w:sz w:val="32"/>
                <w:szCs w:val="32"/>
                <w:highlight w:val="none"/>
              </w:rPr>
              <w:t>重量</w:t>
            </w:r>
          </w:p>
          <w:p>
            <w:pPr>
              <w:pageBreakBefore w:val="0"/>
              <w:kinsoku/>
              <w:wordWrap/>
              <w:overflowPunct/>
              <w:topLinePunct w:val="0"/>
              <w:autoSpaceDE/>
              <w:autoSpaceDN/>
              <w:bidi w:val="0"/>
              <w:snapToGrid w:val="0"/>
              <w:spacing w:line="570" w:lineRule="exact"/>
              <w:ind w:left="0" w:leftChars="0" w:firstLine="0" w:firstLineChars="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(公斤)</w:t>
            </w:r>
          </w:p>
        </w:tc>
        <w:tc>
          <w:tcPr>
            <w:tcW w:w="1666" w:type="pct"/>
            <w:noWrap w:val="0"/>
            <w:vAlign w:val="center"/>
          </w:tcPr>
          <w:p>
            <w:pPr>
              <w:pageBreakBefore w:val="0"/>
              <w:kinsoku/>
              <w:wordWrap/>
              <w:overflowPunct/>
              <w:topLinePunct w:val="0"/>
              <w:autoSpaceDE/>
              <w:autoSpaceDN/>
              <w:bidi w:val="0"/>
              <w:snapToGrid w:val="0"/>
              <w:spacing w:line="570" w:lineRule="exact"/>
              <w:ind w:left="0" w:leftChars="0" w:firstLine="0" w:firstLineChars="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喷塑</w:t>
            </w:r>
            <w:r>
              <w:rPr>
                <w:rFonts w:hint="eastAsia" w:ascii="仿宋" w:hAnsi="仿宋" w:eastAsia="仿宋" w:cs="仿宋"/>
                <w:color w:val="auto"/>
                <w:sz w:val="32"/>
                <w:szCs w:val="32"/>
                <w:highlight w:val="none"/>
                <w:lang w:val="en-US" w:eastAsia="zh-CN"/>
              </w:rPr>
              <w:t>后灯</w:t>
            </w:r>
            <w:r>
              <w:rPr>
                <w:rFonts w:hint="eastAsia" w:ascii="仿宋" w:hAnsi="仿宋" w:eastAsia="仿宋" w:cs="仿宋"/>
                <w:color w:val="auto"/>
                <w:sz w:val="32"/>
                <w:szCs w:val="32"/>
                <w:highlight w:val="none"/>
              </w:rPr>
              <w:t>杆重量</w:t>
            </w:r>
          </w:p>
          <w:p>
            <w:pPr>
              <w:pageBreakBefore w:val="0"/>
              <w:kinsoku/>
              <w:wordWrap/>
              <w:overflowPunct/>
              <w:topLinePunct w:val="0"/>
              <w:autoSpaceDE/>
              <w:autoSpaceDN/>
              <w:bidi w:val="0"/>
              <w:snapToGrid w:val="0"/>
              <w:spacing w:line="570" w:lineRule="exact"/>
              <w:ind w:left="0" w:leftChars="0" w:firstLine="0" w:firstLineChars="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56" w:type="pct"/>
            <w:noWrap w:val="0"/>
            <w:vAlign w:val="center"/>
          </w:tcPr>
          <w:p>
            <w:pPr>
              <w:pageBreakBefore w:val="0"/>
              <w:kinsoku/>
              <w:wordWrap/>
              <w:overflowPunct/>
              <w:topLinePunct w:val="0"/>
              <w:autoSpaceDE/>
              <w:autoSpaceDN/>
              <w:bidi w:val="0"/>
              <w:snapToGrid w:val="0"/>
              <w:spacing w:line="570" w:lineRule="exact"/>
              <w:ind w:left="0" w:leftChars="0" w:firstLine="0" w:firstLineChars="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庭院灯</w:t>
            </w:r>
          </w:p>
        </w:tc>
        <w:tc>
          <w:tcPr>
            <w:tcW w:w="1878" w:type="pct"/>
            <w:noWrap w:val="0"/>
            <w:vAlign w:val="center"/>
          </w:tcPr>
          <w:p>
            <w:pPr>
              <w:pageBreakBefore w:val="0"/>
              <w:kinsoku/>
              <w:wordWrap/>
              <w:overflowPunct/>
              <w:topLinePunct w:val="0"/>
              <w:autoSpaceDE/>
              <w:autoSpaceDN/>
              <w:bidi w:val="0"/>
              <w:snapToGrid w:val="0"/>
              <w:spacing w:line="570" w:lineRule="exact"/>
              <w:ind w:left="0" w:leftChars="0" w:firstLine="0" w:firstLineChars="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3.5</w:t>
            </w:r>
          </w:p>
        </w:tc>
        <w:tc>
          <w:tcPr>
            <w:tcW w:w="1666" w:type="pct"/>
            <w:noWrap w:val="0"/>
            <w:vAlign w:val="center"/>
          </w:tcPr>
          <w:p>
            <w:pPr>
              <w:pageBreakBefore w:val="0"/>
              <w:kinsoku/>
              <w:wordWrap/>
              <w:overflowPunct/>
              <w:topLinePunct w:val="0"/>
              <w:autoSpaceDE/>
              <w:autoSpaceDN/>
              <w:bidi w:val="0"/>
              <w:snapToGrid w:val="0"/>
              <w:spacing w:line="570" w:lineRule="exact"/>
              <w:ind w:left="0" w:leftChars="0" w:firstLine="0" w:firstLineChars="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000" w:type="pct"/>
            <w:gridSpan w:val="3"/>
            <w:noWrap w:val="0"/>
            <w:vAlign w:val="center"/>
          </w:tcPr>
          <w:p>
            <w:pPr>
              <w:pageBreakBefore w:val="0"/>
              <w:kinsoku/>
              <w:wordWrap/>
              <w:overflowPunct/>
              <w:topLinePunct w:val="0"/>
              <w:autoSpaceDE/>
              <w:autoSpaceDN/>
              <w:bidi w:val="0"/>
              <w:snapToGrid w:val="0"/>
              <w:spacing w:line="570" w:lineRule="exact"/>
              <w:ind w:left="0" w:leftChars="0" w:firstLine="0" w:firstLineChars="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备注：允许重量公差范围为±5%。</w:t>
            </w:r>
          </w:p>
        </w:tc>
      </w:tr>
    </w:tbl>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（2）加工工艺要求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整个杆体及部件焊接要求不应低于图示要求，应无任何一处漏焊，焊缝平整，表面光滑，无任何焊接缺陷。焊接工艺符合国家标准。要求提供焊接探伤报告。</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（3）喷塑要求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表面喷塑处理，不允许做磨砂喷塑，喷塑涂层外观表面光滑,平整,无露铁,桔皮,细小颗粒和缩孔等涂装缺陷。</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喷塑表面涂层平均厚度应达到85μm 以上。</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喷塑涂层的附着力应达到GB/T 9286 规定的0 级要求。</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喷塑涂层的硬度应按GB/T 6739规定，并达到2H要求。</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喷塑涂层的冲击强度不小于1kg/50cm，并符合GB/T 1732 的要求。</w:t>
      </w:r>
    </w:p>
    <w:p>
      <w:pPr>
        <w:pStyle w:val="10"/>
        <w:pageBreakBefore w:val="0"/>
        <w:kinsoku/>
        <w:wordWrap/>
        <w:overflowPunct/>
        <w:topLinePunct w:val="0"/>
        <w:autoSpaceDE/>
        <w:autoSpaceDN/>
        <w:bidi w:val="0"/>
        <w:snapToGrid w:val="0"/>
        <w:spacing w:line="570" w:lineRule="exact"/>
        <w:ind w:left="0" w:leftChars="0" w:firstLine="640" w:firstLineChars="0"/>
        <w:jc w:val="left"/>
        <w:textAlignment w:val="auto"/>
        <w:rPr>
          <w:rFonts w:hint="eastAsia" w:ascii="仿宋" w:hAnsi="仿宋" w:eastAsia="仿宋" w:cs="仿宋"/>
          <w:b w:val="0"/>
          <w:bCs w:val="0"/>
          <w:color w:val="auto"/>
          <w:kern w:val="2"/>
          <w:sz w:val="32"/>
          <w:szCs w:val="32"/>
          <w:highlight w:val="none"/>
          <w:lang w:val="en-US" w:eastAsia="zh-CN" w:bidi="ar-SA"/>
        </w:rPr>
      </w:pPr>
      <w:bookmarkStart w:id="56" w:name="_Toc15113"/>
      <w:r>
        <w:rPr>
          <w:rFonts w:hint="eastAsia" w:ascii="仿宋" w:hAnsi="仿宋" w:eastAsia="仿宋" w:cs="仿宋"/>
          <w:b w:val="0"/>
          <w:bCs w:val="0"/>
          <w:color w:val="auto"/>
          <w:kern w:val="2"/>
          <w:sz w:val="32"/>
          <w:szCs w:val="32"/>
          <w:highlight w:val="none"/>
          <w:lang w:val="en-US" w:eastAsia="zh-CN" w:bidi="ar-SA"/>
        </w:rPr>
        <w:t>（4）颜色要求</w:t>
      </w:r>
      <w:bookmarkEnd w:id="56"/>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松绿砂纹</w:t>
      </w:r>
      <w:r>
        <w:rPr>
          <w:rFonts w:hint="eastAsia" w:ascii="仿宋" w:hAnsi="仿宋" w:eastAsia="仿宋" w:cs="仿宋"/>
          <w:color w:val="auto"/>
          <w:sz w:val="32"/>
          <w:szCs w:val="32"/>
          <w:highlight w:val="none"/>
        </w:rPr>
        <w:t>。可根据采购单位要求更换其他颜色。</w:t>
      </w:r>
    </w:p>
    <w:p>
      <w:pPr>
        <w:pStyle w:val="10"/>
        <w:pageBreakBefore w:val="0"/>
        <w:kinsoku/>
        <w:wordWrap/>
        <w:overflowPunct/>
        <w:topLinePunct w:val="0"/>
        <w:autoSpaceDE/>
        <w:autoSpaceDN/>
        <w:bidi w:val="0"/>
        <w:snapToGrid w:val="0"/>
        <w:spacing w:line="570" w:lineRule="exact"/>
        <w:ind w:left="0" w:leftChars="0" w:firstLine="640" w:firstLineChars="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（5）配置要求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检修门内配置304不锈钢螺丝（母）和304不锈钢垫片，灯杆套接、固定处配置304不锈钢材质螺丝（母），配置灯杆安装的镀锌螺母，具体尺寸和数量详见</w:t>
      </w:r>
      <w:r>
        <w:rPr>
          <w:rFonts w:hint="eastAsia" w:ascii="仿宋" w:hAnsi="仿宋" w:eastAsia="仿宋" w:cs="仿宋"/>
          <w:color w:val="auto"/>
          <w:sz w:val="32"/>
          <w:szCs w:val="32"/>
          <w:highlight w:val="none"/>
          <w:lang w:val="en-US" w:eastAsia="zh-CN"/>
        </w:rPr>
        <w:t>庭院灯检修门、防盗盖板制作图（图5）</w:t>
      </w:r>
      <w:r>
        <w:rPr>
          <w:rFonts w:hint="eastAsia" w:ascii="仿宋" w:hAnsi="仿宋" w:eastAsia="仿宋" w:cs="仿宋"/>
          <w:color w:val="auto"/>
          <w:sz w:val="32"/>
          <w:szCs w:val="32"/>
          <w:highlight w:val="none"/>
        </w:rPr>
        <w:t>要求。必须配置接地螺栓。灯杆和检修门在进行了镀锌工艺后，严禁再进行焊接工艺；检修门采用304不锈钢中空三角防盗螺栓固定。</w:t>
      </w:r>
    </w:p>
    <w:p>
      <w:pPr>
        <w:pStyle w:val="10"/>
        <w:pageBreakBefore w:val="0"/>
        <w:kinsoku/>
        <w:wordWrap/>
        <w:overflowPunct/>
        <w:topLinePunct w:val="0"/>
        <w:autoSpaceDE/>
        <w:autoSpaceDN/>
        <w:bidi w:val="0"/>
        <w:snapToGrid w:val="0"/>
        <w:spacing w:line="570" w:lineRule="exact"/>
        <w:ind w:left="0" w:leftChars="0" w:firstLine="640" w:firstLineChars="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（6）运输包装标准</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（7）灯杆防涂鸦抗粘贴水性涂料的一般要求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标厂家在所有灯杆部位（整杆整体全部喷涂，除灯罩外）喷涂专业抗涂鸦防粘贴涂料（即聚硅氧烷产品等），同时预留灯杆号牌位置（具体要求以业主通知为准），具体涂料特性要求能：抗紫外线老化、有优异的保光性、低VOC、 优异的耐热性、持久的可清洗性（用水就可清除涂鸦）、防广告粘贴、持久的弹性、憎水憎油、呼吸透气、不易燃烧、适用于无机基材料表面。涂料特性为油性且环保特征，且不易沾灰。涂鸦防粘贴涂具体技术要求详见下文（第五部分灯杆防涂鸦抗粘贴水性涂料技术要求）。</w:t>
      </w:r>
    </w:p>
    <w:p>
      <w:pPr>
        <w:pStyle w:val="10"/>
        <w:pageBreakBefore w:val="0"/>
        <w:kinsoku/>
        <w:wordWrap/>
        <w:overflowPunct/>
        <w:topLinePunct w:val="0"/>
        <w:autoSpaceDE/>
        <w:autoSpaceDN/>
        <w:bidi w:val="0"/>
        <w:snapToGrid w:val="0"/>
        <w:spacing w:line="570" w:lineRule="exact"/>
        <w:ind w:left="0" w:leftChars="0" w:firstLine="640" w:firstLineChars="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（8）灯杆加工尺寸示意图</w:t>
      </w:r>
    </w:p>
    <w:p>
      <w:pPr>
        <w:pageBreakBefore w:val="0"/>
        <w:kinsoku/>
        <w:wordWrap/>
        <w:overflowPunct/>
        <w:topLinePunct w:val="0"/>
        <w:autoSpaceDE/>
        <w:autoSpaceDN/>
        <w:bidi w:val="0"/>
        <w:snapToGrid w:val="0"/>
        <w:spacing w:line="240" w:lineRule="auto"/>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drawing>
          <wp:anchor distT="0" distB="0" distL="114300" distR="114300" simplePos="0" relativeHeight="251665408" behindDoc="0" locked="0" layoutInCell="1" allowOverlap="1">
            <wp:simplePos x="0" y="0"/>
            <wp:positionH relativeFrom="column">
              <wp:posOffset>361950</wp:posOffset>
            </wp:positionH>
            <wp:positionV relativeFrom="paragraph">
              <wp:posOffset>43180</wp:posOffset>
            </wp:positionV>
            <wp:extent cx="2496185" cy="3812540"/>
            <wp:effectExtent l="0" t="0" r="18415" b="16510"/>
            <wp:wrapSquare wrapText="bothSides"/>
            <wp:docPr id="16" name="图片 16" descr="7b5cf1949d761e05522a7db9b0cf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b5cf1949d761e05522a7db9b0cf361"/>
                    <pic:cNvPicPr>
                      <a:picLocks noChangeAspect="1"/>
                    </pic:cNvPicPr>
                  </pic:nvPicPr>
                  <pic:blipFill>
                    <a:blip r:embed="rId13"/>
                    <a:stretch>
                      <a:fillRect/>
                    </a:stretch>
                  </pic:blipFill>
                  <pic:spPr>
                    <a:xfrm>
                      <a:off x="0" y="0"/>
                      <a:ext cx="2496185" cy="3812540"/>
                    </a:xfrm>
                    <a:prstGeom prst="rect">
                      <a:avLst/>
                    </a:prstGeom>
                  </pic:spPr>
                </pic:pic>
              </a:graphicData>
            </a:graphic>
          </wp:anchor>
        </w:drawing>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42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highlight w:val="none"/>
        </w:rPr>
        <w:drawing>
          <wp:anchor distT="0" distB="0" distL="114300" distR="114300" simplePos="0" relativeHeight="251660288" behindDoc="1" locked="0" layoutInCell="1" allowOverlap="1">
            <wp:simplePos x="0" y="0"/>
            <wp:positionH relativeFrom="column">
              <wp:posOffset>3095625</wp:posOffset>
            </wp:positionH>
            <wp:positionV relativeFrom="paragraph">
              <wp:posOffset>314325</wp:posOffset>
            </wp:positionV>
            <wp:extent cx="2679065" cy="1543685"/>
            <wp:effectExtent l="0" t="0" r="635" b="5715"/>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4"/>
                    <a:stretch>
                      <a:fillRect/>
                    </a:stretch>
                  </pic:blipFill>
                  <pic:spPr>
                    <a:xfrm>
                      <a:off x="0" y="0"/>
                      <a:ext cx="2679065" cy="1543685"/>
                    </a:xfrm>
                    <a:prstGeom prst="rect">
                      <a:avLst/>
                    </a:prstGeom>
                    <a:noFill/>
                    <a:ln>
                      <a:noFill/>
                    </a:ln>
                  </pic:spPr>
                </pic:pic>
              </a:graphicData>
            </a:graphic>
          </wp:anchor>
        </w:drawing>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lang w:eastAsia="zh-CN"/>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图4 灯杆加工尺寸示意图</w:t>
      </w:r>
    </w:p>
    <w:p>
      <w:pPr>
        <w:pageBreakBefore w:val="0"/>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pStyle w:val="10"/>
        <w:pageBreakBefore w:val="0"/>
        <w:kinsoku/>
        <w:wordWrap/>
        <w:overflowPunct/>
        <w:topLinePunct w:val="0"/>
        <w:autoSpaceDE/>
        <w:autoSpaceDN/>
        <w:bidi w:val="0"/>
        <w:snapToGrid w:val="0"/>
        <w:spacing w:line="570" w:lineRule="exact"/>
        <w:ind w:left="0" w:leftChars="0" w:firstLine="640" w:firstLineChars="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（9）庭院灯检修门、防盗盖板制作图</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anchor distT="0" distB="0" distL="114300" distR="114300" simplePos="0" relativeHeight="251660288" behindDoc="1" locked="0" layoutInCell="1" allowOverlap="1">
            <wp:simplePos x="0" y="0"/>
            <wp:positionH relativeFrom="column">
              <wp:posOffset>401320</wp:posOffset>
            </wp:positionH>
            <wp:positionV relativeFrom="paragraph">
              <wp:posOffset>149225</wp:posOffset>
            </wp:positionV>
            <wp:extent cx="5627370" cy="3683635"/>
            <wp:effectExtent l="0" t="0" r="11430" b="12065"/>
            <wp:wrapNone/>
            <wp:docPr id="12" name="图片 5"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庭院灯cad图-1-model2"/>
                    <pic:cNvPicPr>
                      <a:picLocks noChangeAspect="1"/>
                    </pic:cNvPicPr>
                  </pic:nvPicPr>
                  <pic:blipFill>
                    <a:blip r:embed="rId15"/>
                    <a:srcRect t="11378" b="7032"/>
                    <a:stretch>
                      <a:fillRect/>
                    </a:stretch>
                  </pic:blipFill>
                  <pic:spPr>
                    <a:xfrm>
                      <a:off x="0" y="0"/>
                      <a:ext cx="5627370" cy="3683635"/>
                    </a:xfrm>
                    <a:prstGeom prst="rect">
                      <a:avLst/>
                    </a:prstGeom>
                    <a:noFill/>
                    <a:ln>
                      <a:noFill/>
                    </a:ln>
                  </pic:spPr>
                </pic:pic>
              </a:graphicData>
            </a:graphic>
          </wp:anchor>
        </w:drawing>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left"/>
        <w:textAlignment w:val="auto"/>
        <w:rPr>
          <w:rFonts w:hint="default" w:ascii="仿宋" w:hAnsi="仿宋" w:eastAsia="仿宋" w:cs="仿宋"/>
          <w:color w:val="auto"/>
          <w:sz w:val="32"/>
          <w:szCs w:val="32"/>
          <w:highlight w:val="none"/>
          <w:lang w:val="en-US" w:eastAsia="zh-CN"/>
        </w:rPr>
      </w:pPr>
    </w:p>
    <w:p>
      <w:pPr>
        <w:pageBreakBefore w:val="0"/>
        <w:kinsoku/>
        <w:wordWrap/>
        <w:overflowPunct/>
        <w:topLinePunct w:val="0"/>
        <w:autoSpaceDE/>
        <w:autoSpaceDN/>
        <w:bidi w:val="0"/>
        <w:snapToGrid w:val="0"/>
        <w:spacing w:line="570" w:lineRule="exact"/>
        <w:ind w:firstLine="560" w:firstLineChars="200"/>
        <w:jc w:val="center"/>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图5 庭院灯检修门、防盗盖板制作图</w:t>
      </w:r>
    </w:p>
    <w:p>
      <w:pPr>
        <w:pageBreakBefore w:val="0"/>
        <w:kinsoku/>
        <w:wordWrap/>
        <w:overflowPunct/>
        <w:topLinePunct w:val="0"/>
        <w:autoSpaceDE/>
        <w:autoSpaceDN/>
        <w:bidi w:val="0"/>
        <w:snapToGrid w:val="0"/>
        <w:spacing w:line="570" w:lineRule="exact"/>
        <w:ind w:firstLine="560" w:firstLineChars="200"/>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注：1.门板及铰链制作方式参照《城市照明图集》（苏Z02-2014）。</w:t>
      </w:r>
    </w:p>
    <w:p>
      <w:pPr>
        <w:pageBreakBefore w:val="0"/>
        <w:kinsoku/>
        <w:wordWrap/>
        <w:overflowPunct/>
        <w:topLinePunct w:val="0"/>
        <w:autoSpaceDE/>
        <w:autoSpaceDN/>
        <w:bidi w:val="0"/>
        <w:snapToGrid w:val="0"/>
        <w:spacing w:line="570" w:lineRule="exact"/>
        <w:ind w:firstLine="560" w:firstLineChars="20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28"/>
          <w:szCs w:val="28"/>
          <w:highlight w:val="none"/>
          <w:lang w:val="en-US" w:eastAsia="zh-CN"/>
        </w:rPr>
        <w:t>2.防盗盖板根据招标单位要求进行配置。</w:t>
      </w:r>
    </w:p>
    <w:p>
      <w:pPr>
        <w:pStyle w:val="4"/>
        <w:pageBreakBefore w:val="0"/>
        <w:kinsoku/>
        <w:wordWrap/>
        <w:overflowPunct/>
        <w:topLinePunct w:val="0"/>
        <w:autoSpaceDE/>
        <w:autoSpaceDN/>
        <w:bidi w:val="0"/>
        <w:spacing w:line="570" w:lineRule="exact"/>
        <w:ind w:left="197" w:leftChars="94" w:right="210" w:firstLine="438" w:firstLineChars="137"/>
        <w:jc w:val="left"/>
        <w:textAlignment w:val="auto"/>
        <w:rPr>
          <w:rFonts w:hint="eastAsia" w:ascii="黑体" w:hAnsi="黑体" w:eastAsia="黑体" w:cs="黑体"/>
          <w:b w:val="0"/>
          <w:bCs/>
          <w:color w:val="auto"/>
          <w:sz w:val="32"/>
          <w:szCs w:val="32"/>
          <w:highlight w:val="none"/>
          <w:lang w:eastAsia="zh-CN"/>
        </w:rPr>
      </w:pPr>
      <w:bookmarkStart w:id="57" w:name="_Toc92188483"/>
      <w:bookmarkStart w:id="58" w:name="_Toc11301"/>
      <w:r>
        <w:rPr>
          <w:rFonts w:hint="eastAsia" w:ascii="黑体" w:cs="黑体"/>
          <w:b w:val="0"/>
          <w:bCs/>
          <w:color w:val="auto"/>
          <w:sz w:val="32"/>
          <w:szCs w:val="32"/>
          <w:highlight w:val="none"/>
          <w:lang w:val="en-US" w:eastAsia="zh-CN"/>
        </w:rPr>
        <w:t>四</w:t>
      </w:r>
      <w:r>
        <w:rPr>
          <w:rFonts w:hint="eastAsia" w:ascii="黑体" w:hAnsi="黑体" w:eastAsia="黑体" w:cs="黑体"/>
          <w:b w:val="0"/>
          <w:bCs/>
          <w:color w:val="auto"/>
          <w:sz w:val="32"/>
          <w:szCs w:val="32"/>
          <w:highlight w:val="none"/>
          <w:lang w:eastAsia="zh-CN"/>
        </w:rPr>
        <w:t>、灯杆防涂鸦抗粘贴水性涂料技术要求</w:t>
      </w:r>
      <w:bookmarkEnd w:id="57"/>
      <w:bookmarkEnd w:id="58"/>
    </w:p>
    <w:p>
      <w:pPr>
        <w:pStyle w:val="10"/>
        <w:pageBreakBefore w:val="0"/>
        <w:kinsoku/>
        <w:wordWrap/>
        <w:overflowPunct/>
        <w:topLinePunct w:val="0"/>
        <w:autoSpaceDE/>
        <w:autoSpaceDN/>
        <w:bidi w:val="0"/>
        <w:snapToGrid w:val="0"/>
        <w:spacing w:line="570" w:lineRule="exact"/>
        <w:ind w:left="0" w:leftChars="0" w:firstLine="640" w:firstLineChars="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1.执行技术标准</w:t>
      </w:r>
    </w:p>
    <w:p>
      <w:pPr>
        <w:pStyle w:val="10"/>
        <w:pageBreakBefore w:val="0"/>
        <w:kinsoku/>
        <w:wordWrap/>
        <w:overflowPunct/>
        <w:topLinePunct w:val="0"/>
        <w:autoSpaceDE/>
        <w:autoSpaceDN/>
        <w:bidi w:val="0"/>
        <w:snapToGrid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下列文件对于本文件的应用是必不可少的。凡是注日期的版本适用于本文件。凡是不注日期的引用文件，其最新版本（包括所有的修改单）适用于本文件。同时包括其他未明示的相关的最新国家及江苏省现行的技术规范及相关要求文件等。</w:t>
      </w:r>
    </w:p>
    <w:p>
      <w:pPr>
        <w:pStyle w:val="11"/>
        <w:pageBreakBefore w:val="0"/>
        <w:kinsoku/>
        <w:wordWrap/>
        <w:overflowPunct/>
        <w:topLinePunct w:val="0"/>
        <w:autoSpaceDE/>
        <w:autoSpaceDN/>
        <w:bidi w:val="0"/>
        <w:spacing w:line="570" w:lineRule="exact"/>
        <w:ind w:left="0" w:leftChars="0"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kern w:val="2"/>
          <w:sz w:val="32"/>
          <w:szCs w:val="32"/>
          <w:highlight w:val="none"/>
          <w:lang w:val="en-US" w:eastAsia="zh-CN" w:bidi="ar-SA"/>
        </w:rPr>
        <w:t>GB/T1728漆膜、腻子膜干燥时间测定法。</w:t>
      </w:r>
    </w:p>
    <w:p>
      <w:pPr>
        <w:pStyle w:val="11"/>
        <w:pageBreakBefore w:val="0"/>
        <w:kinsoku/>
        <w:wordWrap/>
        <w:overflowPunct/>
        <w:topLinePunct w:val="0"/>
        <w:autoSpaceDE/>
        <w:autoSpaceDN/>
        <w:bidi w:val="0"/>
        <w:spacing w:line="570" w:lineRule="exact"/>
        <w:ind w:left="0" w:leftChars="0"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GB/T1766色漆和清漆涂层老化的评级方法。</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GB/T1865色漆和清漆 人工气候老化利人工辐射暴露(滤过的氙弧辐射)。</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GB/T2792压敏胶带180°剥离强度试验方法。</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 xml:space="preserve">GB/T3186色漆、清漆和色漆与清漆用原材料 取样(IS015528：2000，IDT)。 </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（6）</w:t>
      </w:r>
      <w:r>
        <w:rPr>
          <w:rFonts w:hint="eastAsia" w:ascii="仿宋" w:hAnsi="仿宋" w:eastAsia="仿宋" w:cs="仿宋"/>
          <w:color w:val="auto"/>
          <w:sz w:val="32"/>
          <w:szCs w:val="32"/>
          <w:highlight w:val="none"/>
        </w:rPr>
        <w:t xml:space="preserve">GB/T6682 分析实验室用水规格和实验方法(IS03696：1987.MOD)。 </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GB/T6739涂膜硬度铅笔测定法。</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（8）</w:t>
      </w:r>
      <w:r>
        <w:rPr>
          <w:rFonts w:hint="eastAsia" w:ascii="仿宋" w:hAnsi="仿宋" w:eastAsia="仿宋" w:cs="仿宋"/>
          <w:color w:val="auto"/>
          <w:sz w:val="32"/>
          <w:szCs w:val="32"/>
          <w:highlight w:val="none"/>
        </w:rPr>
        <w:t>GB/T9271色漆和清漆  标准试板。</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GB/T9278 涂料试样状态调节和试验的温湿度(IS03270：1984.IDT)。</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GB/T9286色漆和清漆  漆膜的划格试验。</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（11）</w:t>
      </w:r>
      <w:r>
        <w:rPr>
          <w:rFonts w:hint="eastAsia" w:ascii="仿宋" w:hAnsi="仿宋" w:eastAsia="仿宋" w:cs="仿宋"/>
          <w:color w:val="auto"/>
          <w:sz w:val="32"/>
          <w:szCs w:val="32"/>
          <w:highlight w:val="none"/>
        </w:rPr>
        <w:t>GB/T9750涂料产品包装标志。</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GB/T13491涂料产品包装通则。</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（13）</w:t>
      </w:r>
      <w:r>
        <w:rPr>
          <w:rFonts w:hint="eastAsia" w:ascii="仿宋" w:hAnsi="仿宋" w:eastAsia="仿宋" w:cs="仿宋"/>
          <w:color w:val="auto"/>
          <w:sz w:val="32"/>
          <w:szCs w:val="32"/>
          <w:highlight w:val="none"/>
        </w:rPr>
        <w:t>HG/T 2458 涂料产品检验、运输和贮存通则。</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（14）</w:t>
      </w:r>
      <w:r>
        <w:rPr>
          <w:rFonts w:hint="eastAsia" w:ascii="仿宋" w:hAnsi="仿宋" w:eastAsia="仿宋" w:cs="仿宋"/>
          <w:color w:val="auto"/>
          <w:sz w:val="32"/>
          <w:szCs w:val="32"/>
          <w:highlight w:val="none"/>
        </w:rPr>
        <w:t>GB 24408 建筑用外墙涂料中有害物质限量。</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（15）</w:t>
      </w:r>
      <w:r>
        <w:rPr>
          <w:rFonts w:hint="eastAsia" w:ascii="仿宋" w:hAnsi="仿宋" w:eastAsia="仿宋" w:cs="仿宋"/>
          <w:color w:val="auto"/>
          <w:sz w:val="32"/>
          <w:szCs w:val="32"/>
          <w:highlight w:val="none"/>
        </w:rPr>
        <w:t>JG/T 304 建筑用防涂鸦抗粘贴涂料。</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（16）</w:t>
      </w:r>
      <w:r>
        <w:rPr>
          <w:rFonts w:hint="eastAsia" w:ascii="仿宋" w:hAnsi="仿宋" w:eastAsia="仿宋" w:cs="仿宋"/>
          <w:color w:val="auto"/>
          <w:sz w:val="32"/>
          <w:szCs w:val="32"/>
          <w:highlight w:val="none"/>
        </w:rPr>
        <w:t>BB/T0047气雾漆。</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（17）</w:t>
      </w:r>
      <w:r>
        <w:rPr>
          <w:rFonts w:hint="eastAsia" w:ascii="仿宋" w:hAnsi="仿宋" w:eastAsia="仿宋" w:cs="仿宋"/>
          <w:color w:val="auto"/>
          <w:sz w:val="32"/>
          <w:szCs w:val="32"/>
          <w:highlight w:val="none"/>
        </w:rPr>
        <w:t>JC/T412.1纤维水泥平板  第1部分：无石棉纤维水泥平板。</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（18）</w:t>
      </w:r>
      <w:r>
        <w:rPr>
          <w:rFonts w:hint="eastAsia" w:ascii="仿宋" w:hAnsi="仿宋" w:eastAsia="仿宋" w:cs="仿宋"/>
          <w:color w:val="auto"/>
          <w:sz w:val="32"/>
          <w:szCs w:val="32"/>
          <w:highlight w:val="none"/>
        </w:rPr>
        <w:t>QB/T2777</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记号笔。</w:t>
      </w:r>
    </w:p>
    <w:p>
      <w:pPr>
        <w:pStyle w:val="11"/>
        <w:pageBreakBefore w:val="0"/>
        <w:kinsoku/>
        <w:wordWrap/>
        <w:overflowPunct/>
        <w:topLinePunct w:val="0"/>
        <w:autoSpaceDE/>
        <w:autoSpaceDN/>
        <w:bidi w:val="0"/>
        <w:spacing w:line="570" w:lineRule="exact"/>
        <w:ind w:firstLine="56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（19）</w:t>
      </w:r>
      <w:r>
        <w:rPr>
          <w:rFonts w:hint="eastAsia" w:ascii="仿宋" w:hAnsi="仿宋" w:eastAsia="仿宋" w:cs="仿宋"/>
          <w:color w:val="auto"/>
          <w:sz w:val="32"/>
          <w:szCs w:val="32"/>
          <w:highlight w:val="none"/>
        </w:rPr>
        <w:t>QB/T2860墨汁。</w:t>
      </w:r>
    </w:p>
    <w:p>
      <w:pPr>
        <w:pStyle w:val="11"/>
        <w:pageBreakBefore w:val="0"/>
        <w:kinsoku/>
        <w:wordWrap/>
        <w:overflowPunct/>
        <w:topLinePunct w:val="0"/>
        <w:autoSpaceDE/>
        <w:autoSpaceDN/>
        <w:bidi w:val="0"/>
        <w:spacing w:line="570" w:lineRule="exact"/>
        <w:ind w:firstLine="560"/>
        <w:jc w:val="left"/>
        <w:textAlignment w:val="auto"/>
        <w:rPr>
          <w:rFonts w:hint="eastAsia" w:ascii="楷体" w:hAnsi="楷体" w:eastAsia="楷体" w:cs="楷体"/>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2.性能要求</w:t>
      </w:r>
      <w:r>
        <w:rPr>
          <w:rFonts w:hint="eastAsia" w:ascii="楷体" w:hAnsi="楷体" w:eastAsia="楷体" w:cs="楷体"/>
          <w:b w:val="0"/>
          <w:bCs w:val="0"/>
          <w:color w:val="auto"/>
          <w:kern w:val="2"/>
          <w:sz w:val="32"/>
          <w:szCs w:val="32"/>
          <w:highlight w:val="none"/>
          <w:lang w:val="en-US" w:eastAsia="zh-CN" w:bidi="ar-SA"/>
        </w:rPr>
        <w:t xml:space="preserve">  </w:t>
      </w:r>
    </w:p>
    <w:p>
      <w:pPr>
        <w:pageBreakBefore w:val="0"/>
        <w:kinsoku/>
        <w:wordWrap/>
        <w:overflowPunct/>
        <w:topLinePunct w:val="0"/>
        <w:autoSpaceDE/>
        <w:autoSpaceDN/>
        <w:bidi w:val="0"/>
        <w:snapToGrid w:val="0"/>
        <w:spacing w:line="570" w:lineRule="exact"/>
        <w:ind w:left="0" w:leftChars="0" w:firstLine="640" w:firstLineChars="0"/>
        <w:jc w:val="left"/>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kern w:val="2"/>
          <w:sz w:val="32"/>
          <w:szCs w:val="32"/>
          <w:highlight w:val="none"/>
          <w:lang w:val="en-US" w:eastAsia="zh-CN" w:bidi="ar-SA"/>
        </w:rPr>
        <w:t>防涂鸦抗粘贴涂料需具有如下特性：</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bidi="ar-SA"/>
        </w:rPr>
        <w:t>1）具有良好的抗黏贴性、防涂鸦性、户外耐久性、耐寒性、</w:t>
      </w:r>
      <w:r>
        <w:rPr>
          <w:rFonts w:hint="eastAsia" w:ascii="仿宋" w:hAnsi="仿宋" w:eastAsia="仿宋" w:cs="仿宋"/>
          <w:color w:val="auto"/>
          <w:sz w:val="32"/>
          <w:szCs w:val="32"/>
          <w:highlight w:val="none"/>
        </w:rPr>
        <w:t xml:space="preserve">耐粘贴性、耐擦洗性、耐溶剂性、防水防漏电，可调配各种颜色等特点；涂料特性为油性且环保特征。 </w:t>
      </w:r>
    </w:p>
    <w:p>
      <w:pPr>
        <w:pageBreakBefore w:val="0"/>
        <w:kinsoku/>
        <w:wordWrap/>
        <w:overflowPunct/>
        <w:topLinePunct w:val="0"/>
        <w:autoSpaceDE/>
        <w:autoSpaceDN/>
        <w:bidi w:val="0"/>
        <w:snapToGrid w:val="0"/>
        <w:spacing w:line="570" w:lineRule="exact"/>
        <w:ind w:firstLine="960" w:firstLineChars="300"/>
        <w:jc w:val="left"/>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rPr>
        <w:t>2）苯、甲醛、重金属等有害物质的含量应符合GB24408《建筑用外墙涂料中有害物质限量》中规定的要求，具有户外用环</w:t>
      </w:r>
      <w:r>
        <w:rPr>
          <w:rFonts w:hint="eastAsia" w:ascii="仿宋" w:hAnsi="仿宋" w:eastAsia="仿宋" w:cs="仿宋"/>
          <w:color w:val="auto"/>
          <w:kern w:val="2"/>
          <w:sz w:val="32"/>
          <w:szCs w:val="32"/>
          <w:highlight w:val="none"/>
          <w:lang w:val="en-US" w:eastAsia="zh-CN" w:bidi="ar-SA"/>
        </w:rPr>
        <w:t>保型、美化城市环境等特点。</w:t>
      </w:r>
    </w:p>
    <w:p>
      <w:pPr>
        <w:pageBreakBefore w:val="0"/>
        <w:kinsoku/>
        <w:wordWrap/>
        <w:overflowPunct/>
        <w:topLinePunct w:val="0"/>
        <w:autoSpaceDE/>
        <w:autoSpaceDN/>
        <w:bidi w:val="0"/>
        <w:snapToGrid w:val="0"/>
        <w:spacing w:line="570" w:lineRule="exact"/>
        <w:ind w:left="0" w:leftChars="0" w:firstLine="640" w:firstLineChars="200"/>
        <w:jc w:val="left"/>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kern w:val="2"/>
          <w:sz w:val="32"/>
          <w:szCs w:val="32"/>
          <w:highlight w:val="none"/>
          <w:lang w:val="en-US" w:eastAsia="zh-CN" w:bidi="ar-SA"/>
        </w:rPr>
        <w:t>防涂鸦抗粘贴涂料应具有如下使用效果：</w:t>
      </w:r>
    </w:p>
    <w:p>
      <w:pPr>
        <w:pageBreakBefore w:val="0"/>
        <w:kinsoku/>
        <w:wordWrap/>
        <w:overflowPunct/>
        <w:topLinePunct w:val="0"/>
        <w:autoSpaceDE/>
        <w:autoSpaceDN/>
        <w:bidi w:val="0"/>
        <w:snapToGrid w:val="0"/>
        <w:spacing w:line="570" w:lineRule="exact"/>
        <w:ind w:left="0" w:leftChars="0" w:firstLine="960" w:firstLineChars="300"/>
        <w:jc w:val="left"/>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 xml:space="preserve">1）质感面、凹凸面、不干胶、防水类等粘贴物不粘。 </w:t>
      </w:r>
    </w:p>
    <w:p>
      <w:pPr>
        <w:pageBreakBefore w:val="0"/>
        <w:kinsoku/>
        <w:wordWrap/>
        <w:overflowPunct/>
        <w:topLinePunct w:val="0"/>
        <w:autoSpaceDE/>
        <w:autoSpaceDN/>
        <w:bidi w:val="0"/>
        <w:snapToGrid w:val="0"/>
        <w:spacing w:line="570" w:lineRule="exact"/>
        <w:ind w:left="0" w:leftChars="0" w:firstLine="960" w:firstLineChars="300"/>
        <w:jc w:val="left"/>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2）浆糊类粘贴物干透风吹雨淋自行脱落或可轻易揭去。</w:t>
      </w:r>
    </w:p>
    <w:p>
      <w:pPr>
        <w:pageBreakBefore w:val="0"/>
        <w:kinsoku/>
        <w:wordWrap/>
        <w:overflowPunct/>
        <w:topLinePunct w:val="0"/>
        <w:autoSpaceDE/>
        <w:autoSpaceDN/>
        <w:bidi w:val="0"/>
        <w:snapToGrid w:val="0"/>
        <w:spacing w:line="570" w:lineRule="exact"/>
        <w:ind w:left="0" w:leftChars="0" w:firstLine="960" w:firstLineChars="300"/>
        <w:jc w:val="left"/>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3）涂鸦印章和笔等不易涂写，手喷漆不渗透，油性笔，喷漆自动聚合成小液滴，不成字形或不形成图案用清水即可清理干净。</w:t>
      </w:r>
    </w:p>
    <w:p>
      <w:pPr>
        <w:pageBreakBefore w:val="0"/>
        <w:kinsoku/>
        <w:wordWrap/>
        <w:overflowPunct/>
        <w:topLinePunct w:val="0"/>
        <w:autoSpaceDE/>
        <w:autoSpaceDN/>
        <w:bidi w:val="0"/>
        <w:snapToGrid w:val="0"/>
        <w:spacing w:line="570" w:lineRule="exact"/>
        <w:ind w:left="0" w:leftChars="0" w:firstLine="640" w:firstLineChars="200"/>
        <w:jc w:val="left"/>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kern w:val="2"/>
          <w:sz w:val="32"/>
          <w:szCs w:val="32"/>
          <w:highlight w:val="none"/>
          <w:lang w:val="en-US" w:eastAsia="zh-CN" w:bidi="ar-SA"/>
        </w:rPr>
        <w:t>防涂鸦抗粘贴涂料的具体性能要求，应符合《JG/T 304 建筑用防涂鸦抗粘贴涂料》中的要求，具体见表一。防涂鸦抗粘贴涂料的有害物质含量应符合《GB 24408 建筑用外墙涂料中有害物质限量》中表1的要求。</w:t>
      </w:r>
    </w:p>
    <w:p>
      <w:pPr>
        <w:pageBreakBefore w:val="0"/>
        <w:kinsoku/>
        <w:wordWrap/>
        <w:overflowPunct/>
        <w:topLinePunct w:val="0"/>
        <w:autoSpaceDE/>
        <w:autoSpaceDN/>
        <w:bidi w:val="0"/>
        <w:snapToGrid w:val="0"/>
        <w:spacing w:line="570" w:lineRule="exact"/>
        <w:ind w:left="0" w:leftChars="0" w:firstLine="640" w:firstLineChars="200"/>
        <w:jc w:val="left"/>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kern w:val="2"/>
          <w:sz w:val="32"/>
          <w:szCs w:val="32"/>
          <w:highlight w:val="none"/>
          <w:lang w:val="en-US" w:eastAsia="zh-CN" w:bidi="ar-SA"/>
        </w:rPr>
        <w:t>防涂鸦抗粘贴涂料要求质保至少2年。 防涂鸦抗粘贴涂料的颜色应与路灯灯杆原颜色匹配，具体颜色待中标后以招标人通知为准。</w:t>
      </w:r>
    </w:p>
    <w:p>
      <w:pPr>
        <w:pageBreakBefore w:val="0"/>
        <w:kinsoku/>
        <w:wordWrap/>
        <w:overflowPunct/>
        <w:topLinePunct w:val="0"/>
        <w:autoSpaceDE/>
        <w:autoSpaceDN/>
        <w:bidi w:val="0"/>
        <w:snapToGrid w:val="0"/>
        <w:spacing w:line="570" w:lineRule="exact"/>
        <w:ind w:left="0" w:leftChars="0" w:firstLine="640" w:firstLineChars="200"/>
        <w:jc w:val="left"/>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kern w:val="2"/>
          <w:sz w:val="32"/>
          <w:szCs w:val="32"/>
          <w:highlight w:val="none"/>
          <w:lang w:val="en-US" w:eastAsia="zh-CN" w:bidi="ar-SA"/>
        </w:rPr>
        <w:t>防涂鸦抗粘贴涂料具体检测要求如下表。</w:t>
      </w:r>
    </w:p>
    <w:tbl>
      <w:tblPr>
        <w:tblStyle w:val="8"/>
        <w:tblW w:w="5066" w:type="pct"/>
        <w:tblInd w:w="0" w:type="dxa"/>
        <w:tblLayout w:type="autofit"/>
        <w:tblCellMar>
          <w:top w:w="0" w:type="dxa"/>
          <w:left w:w="108" w:type="dxa"/>
          <w:bottom w:w="0" w:type="dxa"/>
          <w:right w:w="108" w:type="dxa"/>
        </w:tblCellMar>
      </w:tblPr>
      <w:tblGrid>
        <w:gridCol w:w="803"/>
        <w:gridCol w:w="1388"/>
        <w:gridCol w:w="108"/>
        <w:gridCol w:w="1645"/>
        <w:gridCol w:w="5236"/>
      </w:tblGrid>
      <w:tr>
        <w:tblPrEx>
          <w:tblCellMar>
            <w:top w:w="0" w:type="dxa"/>
            <w:left w:w="108" w:type="dxa"/>
            <w:bottom w:w="0" w:type="dxa"/>
            <w:right w:w="108" w:type="dxa"/>
          </w:tblCellMar>
        </w:tblPrEx>
        <w:trPr>
          <w:trHeight w:val="102" w:hRule="atLeast"/>
          <w:tblHeader/>
        </w:trPr>
        <w:tc>
          <w:tcPr>
            <w:tcW w:w="438" w:type="pct"/>
            <w:tcBorders>
              <w:top w:val="single" w:color="auto" w:sz="4" w:space="0"/>
              <w:left w:val="single" w:color="auto" w:sz="4" w:space="0"/>
              <w:bottom w:val="single" w:color="auto" w:sz="4" w:space="0"/>
              <w:right w:val="single" w:color="auto" w:sz="4" w:space="0"/>
            </w:tcBorders>
            <w:shd w:val="clear" w:color="auto" w:fill="D7D7D7"/>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序号</w:t>
            </w:r>
          </w:p>
        </w:tc>
        <w:tc>
          <w:tcPr>
            <w:tcW w:w="1710" w:type="pct"/>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检验项目</w:t>
            </w:r>
          </w:p>
        </w:tc>
        <w:tc>
          <w:tcPr>
            <w:tcW w:w="2850" w:type="pct"/>
            <w:tcBorders>
              <w:top w:val="single" w:color="auto" w:sz="4" w:space="0"/>
              <w:left w:val="single" w:color="auto" w:sz="4" w:space="0"/>
              <w:bottom w:val="single" w:color="auto" w:sz="4" w:space="0"/>
              <w:right w:val="single" w:color="auto" w:sz="4" w:space="0"/>
            </w:tcBorders>
            <w:shd w:val="clear" w:color="auto" w:fill="D7D7D7"/>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标准及性能合格要求                             （C型抗粘贴并防涂鸦型）</w:t>
            </w:r>
          </w:p>
        </w:tc>
      </w:tr>
      <w:tr>
        <w:tblPrEx>
          <w:tblCellMar>
            <w:top w:w="0" w:type="dxa"/>
            <w:left w:w="108" w:type="dxa"/>
            <w:bottom w:w="0" w:type="dxa"/>
            <w:right w:w="108" w:type="dxa"/>
          </w:tblCellMar>
        </w:tblPrEx>
        <w:trPr>
          <w:trHeight w:val="90" w:hRule="atLeast"/>
        </w:trPr>
        <w:tc>
          <w:tcPr>
            <w:tcW w:w="438"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w:t>
            </w:r>
          </w:p>
        </w:tc>
        <w:tc>
          <w:tcPr>
            <w:tcW w:w="1710" w:type="pct"/>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容器中状态</w:t>
            </w:r>
          </w:p>
        </w:tc>
        <w:tc>
          <w:tcPr>
            <w:tcW w:w="2850"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搅拌后无硬块、无凝聚，呈均匀状态</w:t>
            </w:r>
          </w:p>
        </w:tc>
      </w:tr>
      <w:tr>
        <w:tblPrEx>
          <w:tblCellMar>
            <w:top w:w="0" w:type="dxa"/>
            <w:left w:w="108" w:type="dxa"/>
            <w:bottom w:w="0" w:type="dxa"/>
            <w:right w:w="108" w:type="dxa"/>
          </w:tblCellMar>
        </w:tblPrEx>
        <w:trPr>
          <w:trHeight w:val="90" w:hRule="atLeast"/>
        </w:trPr>
        <w:tc>
          <w:tcPr>
            <w:tcW w:w="438" w:type="pc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c>
          <w:tcPr>
            <w:tcW w:w="1710" w:type="pct"/>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施工性</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施涂无障碍</w:t>
            </w:r>
          </w:p>
        </w:tc>
      </w:tr>
      <w:tr>
        <w:tblPrEx>
          <w:tblCellMar>
            <w:top w:w="0" w:type="dxa"/>
            <w:left w:w="108" w:type="dxa"/>
            <w:bottom w:w="0" w:type="dxa"/>
            <w:right w:w="108" w:type="dxa"/>
          </w:tblCellMar>
        </w:tblPrEx>
        <w:trPr>
          <w:trHeight w:val="90" w:hRule="atLeast"/>
        </w:trPr>
        <w:tc>
          <w:tcPr>
            <w:tcW w:w="438" w:type="pc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w:t>
            </w:r>
          </w:p>
        </w:tc>
        <w:tc>
          <w:tcPr>
            <w:tcW w:w="1710" w:type="pct"/>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涂膜外观</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涂膜均匀，无针孔、无流挂</w:t>
            </w:r>
          </w:p>
        </w:tc>
      </w:tr>
      <w:tr>
        <w:tblPrEx>
          <w:tblCellMar>
            <w:top w:w="0" w:type="dxa"/>
            <w:left w:w="108" w:type="dxa"/>
            <w:bottom w:w="0" w:type="dxa"/>
            <w:right w:w="108" w:type="dxa"/>
          </w:tblCellMar>
        </w:tblPrEx>
        <w:trPr>
          <w:trHeight w:val="90" w:hRule="atLeast"/>
        </w:trPr>
        <w:tc>
          <w:tcPr>
            <w:tcW w:w="438" w:type="pc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w:t>
            </w:r>
          </w:p>
        </w:tc>
        <w:tc>
          <w:tcPr>
            <w:tcW w:w="1710" w:type="pct"/>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表干时间</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≦1h</w:t>
            </w:r>
          </w:p>
        </w:tc>
      </w:tr>
      <w:tr>
        <w:tblPrEx>
          <w:tblCellMar>
            <w:top w:w="0" w:type="dxa"/>
            <w:left w:w="108" w:type="dxa"/>
            <w:bottom w:w="0" w:type="dxa"/>
            <w:right w:w="108" w:type="dxa"/>
          </w:tblCellMar>
        </w:tblPrEx>
        <w:trPr>
          <w:trHeight w:val="90" w:hRule="atLeast"/>
        </w:trPr>
        <w:tc>
          <w:tcPr>
            <w:tcW w:w="438" w:type="pc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w:t>
            </w:r>
          </w:p>
        </w:tc>
        <w:tc>
          <w:tcPr>
            <w:tcW w:w="1710" w:type="pct"/>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耐水性</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96h无气泡、无掉粉、无明显变色和失光</w:t>
            </w:r>
          </w:p>
        </w:tc>
      </w:tr>
      <w:tr>
        <w:tblPrEx>
          <w:tblCellMar>
            <w:top w:w="0" w:type="dxa"/>
            <w:left w:w="108" w:type="dxa"/>
            <w:bottom w:w="0" w:type="dxa"/>
            <w:right w:w="108" w:type="dxa"/>
          </w:tblCellMar>
        </w:tblPrEx>
        <w:trPr>
          <w:trHeight w:val="90" w:hRule="atLeast"/>
        </w:trPr>
        <w:tc>
          <w:tcPr>
            <w:tcW w:w="438" w:type="pc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w:t>
            </w:r>
          </w:p>
        </w:tc>
        <w:tc>
          <w:tcPr>
            <w:tcW w:w="1710" w:type="pct"/>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耐碱性</w:t>
            </w:r>
          </w:p>
        </w:tc>
        <w:tc>
          <w:tcPr>
            <w:tcW w:w="2850" w:type="pct"/>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48h无气泡、无掉粉、无明显变色和失光</w:t>
            </w:r>
          </w:p>
        </w:tc>
      </w:tr>
      <w:tr>
        <w:tblPrEx>
          <w:tblCellMar>
            <w:top w:w="0" w:type="dxa"/>
            <w:left w:w="108" w:type="dxa"/>
            <w:bottom w:w="0" w:type="dxa"/>
            <w:right w:w="108" w:type="dxa"/>
          </w:tblCellMar>
        </w:tblPrEx>
        <w:trPr>
          <w:trHeight w:val="90" w:hRule="atLeast"/>
        </w:trPr>
        <w:tc>
          <w:tcPr>
            <w:tcW w:w="438" w:type="pc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7</w:t>
            </w:r>
          </w:p>
        </w:tc>
        <w:tc>
          <w:tcPr>
            <w:tcW w:w="1710" w:type="pct"/>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铅笔硬度</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≧4h</w:t>
            </w:r>
          </w:p>
        </w:tc>
      </w:tr>
      <w:tr>
        <w:tblPrEx>
          <w:tblCellMar>
            <w:top w:w="0" w:type="dxa"/>
            <w:left w:w="108" w:type="dxa"/>
            <w:bottom w:w="0" w:type="dxa"/>
            <w:right w:w="108" w:type="dxa"/>
          </w:tblCellMar>
        </w:tblPrEx>
        <w:trPr>
          <w:trHeight w:val="90" w:hRule="atLeast"/>
        </w:trPr>
        <w:tc>
          <w:tcPr>
            <w:tcW w:w="438" w:type="pc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8</w:t>
            </w:r>
          </w:p>
        </w:tc>
        <w:tc>
          <w:tcPr>
            <w:tcW w:w="1710" w:type="pct"/>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耐溶剂擦拭性</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100次不露底</w:t>
            </w:r>
          </w:p>
        </w:tc>
      </w:tr>
      <w:tr>
        <w:tblPrEx>
          <w:tblCellMar>
            <w:top w:w="0" w:type="dxa"/>
            <w:left w:w="108" w:type="dxa"/>
            <w:bottom w:w="0" w:type="dxa"/>
            <w:right w:w="108" w:type="dxa"/>
          </w:tblCellMar>
        </w:tblPrEx>
        <w:trPr>
          <w:trHeight w:val="90" w:hRule="atLeast"/>
        </w:trPr>
        <w:tc>
          <w:tcPr>
            <w:tcW w:w="438" w:type="pc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9</w:t>
            </w:r>
          </w:p>
        </w:tc>
        <w:tc>
          <w:tcPr>
            <w:tcW w:w="1710" w:type="pct"/>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附着力（划格法）/级</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≦1级</w:t>
            </w:r>
          </w:p>
        </w:tc>
      </w:tr>
      <w:tr>
        <w:tblPrEx>
          <w:tblCellMar>
            <w:top w:w="0" w:type="dxa"/>
            <w:left w:w="108" w:type="dxa"/>
            <w:bottom w:w="0" w:type="dxa"/>
            <w:right w:w="108" w:type="dxa"/>
          </w:tblCellMar>
        </w:tblPrEx>
        <w:trPr>
          <w:trHeight w:val="90" w:hRule="atLeast"/>
        </w:trPr>
        <w:tc>
          <w:tcPr>
            <w:tcW w:w="438"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p>
        </w:tc>
        <w:tc>
          <w:tcPr>
            <w:tcW w:w="1710" w:type="pct"/>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抗粘贴性（180°剥离强度）/(N/mm)</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≦0.10N/mm</w:t>
            </w:r>
          </w:p>
        </w:tc>
      </w:tr>
      <w:tr>
        <w:tblPrEx>
          <w:tblCellMar>
            <w:top w:w="0" w:type="dxa"/>
            <w:left w:w="108" w:type="dxa"/>
            <w:bottom w:w="0" w:type="dxa"/>
            <w:right w:w="108" w:type="dxa"/>
          </w:tblCellMar>
        </w:tblPrEx>
        <w:trPr>
          <w:trHeight w:val="90" w:hRule="atLeast"/>
        </w:trPr>
        <w:tc>
          <w:tcPr>
            <w:tcW w:w="438" w:type="pct"/>
            <w:vMerge w:val="restart"/>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11</w:t>
            </w:r>
          </w:p>
        </w:tc>
        <w:tc>
          <w:tcPr>
            <w:tcW w:w="814" w:type="pct"/>
            <w:gridSpan w:val="2"/>
            <w:vMerge w:val="restart"/>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抗反复粘贴性50次</w:t>
            </w:r>
          </w:p>
        </w:tc>
        <w:tc>
          <w:tcPr>
            <w:tcW w:w="89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外观</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无剥落、无明显失光、无胶残留物</w:t>
            </w:r>
          </w:p>
        </w:tc>
      </w:tr>
      <w:tr>
        <w:tblPrEx>
          <w:tblCellMar>
            <w:top w:w="0" w:type="dxa"/>
            <w:left w:w="108" w:type="dxa"/>
            <w:bottom w:w="0" w:type="dxa"/>
            <w:right w:w="108" w:type="dxa"/>
          </w:tblCellMar>
        </w:tblPrEx>
        <w:trPr>
          <w:trHeight w:val="90" w:hRule="atLeast"/>
        </w:trPr>
        <w:tc>
          <w:tcPr>
            <w:tcW w:w="438" w:type="pct"/>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14" w:type="pct"/>
            <w:gridSpan w:val="2"/>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9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180°剥离强度/(N/mm）</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val="en-US" w:eastAsia="zh-CN"/>
              </w:rPr>
            </w:pPr>
          </w:p>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≦0.20N/mm，胶带无法粘贴</w:t>
            </w:r>
          </w:p>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r>
      <w:tr>
        <w:tblPrEx>
          <w:tblCellMar>
            <w:top w:w="0" w:type="dxa"/>
            <w:left w:w="108" w:type="dxa"/>
            <w:bottom w:w="0" w:type="dxa"/>
            <w:right w:w="108" w:type="dxa"/>
          </w:tblCellMar>
        </w:tblPrEx>
        <w:trPr>
          <w:trHeight w:val="90" w:hRule="atLeast"/>
        </w:trPr>
        <w:tc>
          <w:tcPr>
            <w:tcW w:w="438" w:type="pct"/>
            <w:vMerge w:val="restart"/>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12</w:t>
            </w:r>
          </w:p>
        </w:tc>
        <w:tc>
          <w:tcPr>
            <w:tcW w:w="814" w:type="pct"/>
            <w:gridSpan w:val="2"/>
            <w:vMerge w:val="restart"/>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抗高温粘贴性50℃,24h</w:t>
            </w:r>
          </w:p>
        </w:tc>
        <w:tc>
          <w:tcPr>
            <w:tcW w:w="89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外观</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无剥落、无明显失光、无胶残留物</w:t>
            </w:r>
          </w:p>
        </w:tc>
      </w:tr>
      <w:tr>
        <w:tblPrEx>
          <w:tblCellMar>
            <w:top w:w="0" w:type="dxa"/>
            <w:left w:w="108" w:type="dxa"/>
            <w:bottom w:w="0" w:type="dxa"/>
            <w:right w:w="108" w:type="dxa"/>
          </w:tblCellMar>
        </w:tblPrEx>
        <w:trPr>
          <w:trHeight w:val="90" w:hRule="atLeast"/>
        </w:trPr>
        <w:tc>
          <w:tcPr>
            <w:tcW w:w="438" w:type="pct"/>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14" w:type="pct"/>
            <w:gridSpan w:val="2"/>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9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180°剥离强度/(N/mm）</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≦0.25N/mm，胶带无法粘贴</w:t>
            </w:r>
          </w:p>
        </w:tc>
      </w:tr>
      <w:tr>
        <w:tblPrEx>
          <w:tblCellMar>
            <w:top w:w="0" w:type="dxa"/>
            <w:left w:w="108" w:type="dxa"/>
            <w:bottom w:w="0" w:type="dxa"/>
            <w:right w:w="108" w:type="dxa"/>
          </w:tblCellMar>
        </w:tblPrEx>
        <w:trPr>
          <w:trHeight w:val="90" w:hRule="atLeast"/>
        </w:trPr>
        <w:tc>
          <w:tcPr>
            <w:tcW w:w="438" w:type="pct"/>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13</w:t>
            </w:r>
          </w:p>
        </w:tc>
        <w:tc>
          <w:tcPr>
            <w:tcW w:w="81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耐人工气候老化性400h</w:t>
            </w:r>
          </w:p>
        </w:tc>
        <w:tc>
          <w:tcPr>
            <w:tcW w:w="89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外观</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无开裂、无剥落、无明显失光</w:t>
            </w:r>
          </w:p>
        </w:tc>
      </w:tr>
      <w:tr>
        <w:tblPrEx>
          <w:tblCellMar>
            <w:top w:w="0" w:type="dxa"/>
            <w:left w:w="108" w:type="dxa"/>
            <w:bottom w:w="0" w:type="dxa"/>
            <w:right w:w="108" w:type="dxa"/>
          </w:tblCellMar>
        </w:tblPrEx>
        <w:trPr>
          <w:trHeight w:val="90" w:hRule="atLeast"/>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1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9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180°剥离强度/(N/mm）</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≦0.20N/mm</w:t>
            </w:r>
          </w:p>
        </w:tc>
      </w:tr>
      <w:tr>
        <w:tblPrEx>
          <w:tblCellMar>
            <w:top w:w="0" w:type="dxa"/>
            <w:left w:w="108" w:type="dxa"/>
            <w:bottom w:w="0" w:type="dxa"/>
            <w:right w:w="108" w:type="dxa"/>
          </w:tblCellMar>
        </w:tblPrEx>
        <w:trPr>
          <w:trHeight w:val="90" w:hRule="atLeast"/>
        </w:trPr>
        <w:tc>
          <w:tcPr>
            <w:tcW w:w="438" w:type="pct"/>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14</w:t>
            </w:r>
          </w:p>
        </w:tc>
        <w:tc>
          <w:tcPr>
            <w:tcW w:w="81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防涂鸦性</w:t>
            </w:r>
          </w:p>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(可清洗级别）</w:t>
            </w:r>
          </w:p>
        </w:tc>
        <w:tc>
          <w:tcPr>
            <w:tcW w:w="89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墨汁/级</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r>
      <w:tr>
        <w:tblPrEx>
          <w:tblCellMar>
            <w:top w:w="0" w:type="dxa"/>
            <w:left w:w="108" w:type="dxa"/>
            <w:bottom w:w="0" w:type="dxa"/>
            <w:right w:w="108" w:type="dxa"/>
          </w:tblCellMar>
        </w:tblPrEx>
        <w:trPr>
          <w:trHeight w:val="90" w:hRule="atLeast"/>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1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9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油性记号笔/级</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r>
      <w:tr>
        <w:tblPrEx>
          <w:tblCellMar>
            <w:top w:w="0" w:type="dxa"/>
            <w:left w:w="108" w:type="dxa"/>
            <w:bottom w:w="0" w:type="dxa"/>
            <w:right w:w="108" w:type="dxa"/>
          </w:tblCellMar>
        </w:tblPrEx>
        <w:trPr>
          <w:trHeight w:val="90" w:hRule="atLeast"/>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1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89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喷漆/级</w:t>
            </w:r>
          </w:p>
        </w:tc>
        <w:tc>
          <w:tcPr>
            <w:tcW w:w="2850"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p>
        </w:tc>
      </w:tr>
      <w:tr>
        <w:tblPrEx>
          <w:tblCellMar>
            <w:top w:w="0" w:type="dxa"/>
            <w:left w:w="108" w:type="dxa"/>
            <w:bottom w:w="0" w:type="dxa"/>
            <w:right w:w="108" w:type="dxa"/>
          </w:tblCellMar>
        </w:tblPrEx>
        <w:trPr>
          <w:trHeight w:val="102" w:hRule="atLeast"/>
        </w:trPr>
        <w:tc>
          <w:tcPr>
            <w:tcW w:w="438"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15</w:t>
            </w:r>
          </w:p>
        </w:tc>
        <w:tc>
          <w:tcPr>
            <w:tcW w:w="1710" w:type="pct"/>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防涂鸦抗粘贴涂料</w:t>
            </w:r>
          </w:p>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有害物质含量</w:t>
            </w:r>
          </w:p>
        </w:tc>
        <w:tc>
          <w:tcPr>
            <w:tcW w:w="2850"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应符合《GB 24408 建筑用外墙涂料中有害物质限量》中表1的要求</w:t>
            </w:r>
          </w:p>
        </w:tc>
      </w:tr>
      <w:tr>
        <w:tblPrEx>
          <w:tblCellMar>
            <w:top w:w="0" w:type="dxa"/>
            <w:left w:w="108" w:type="dxa"/>
            <w:bottom w:w="0" w:type="dxa"/>
            <w:right w:w="108" w:type="dxa"/>
          </w:tblCellMar>
        </w:tblPrEx>
        <w:trPr>
          <w:trHeight w:val="90" w:hRule="atLeast"/>
        </w:trPr>
        <w:tc>
          <w:tcPr>
            <w:tcW w:w="438" w:type="pct"/>
            <w:vMerge w:val="restart"/>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16</w:t>
            </w:r>
          </w:p>
        </w:tc>
        <w:tc>
          <w:tcPr>
            <w:tcW w:w="755" w:type="pct"/>
            <w:vMerge w:val="restart"/>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可清洗性</w:t>
            </w:r>
          </w:p>
        </w:tc>
        <w:tc>
          <w:tcPr>
            <w:tcW w:w="955" w:type="pct"/>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墨汁</w:t>
            </w:r>
          </w:p>
        </w:tc>
        <w:tc>
          <w:tcPr>
            <w:tcW w:w="2850"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自动聚合成液滴，棉布蘸清水可清洗</w:t>
            </w:r>
          </w:p>
        </w:tc>
      </w:tr>
      <w:tr>
        <w:tblPrEx>
          <w:tblCellMar>
            <w:top w:w="0" w:type="dxa"/>
            <w:left w:w="108" w:type="dxa"/>
            <w:bottom w:w="0" w:type="dxa"/>
            <w:right w:w="108" w:type="dxa"/>
          </w:tblCellMar>
        </w:tblPrEx>
        <w:trPr>
          <w:trHeight w:val="90" w:hRule="atLeast"/>
        </w:trPr>
        <w:tc>
          <w:tcPr>
            <w:tcW w:w="438" w:type="pct"/>
            <w:vMerge w:val="continue"/>
            <w:tcBorders>
              <w:left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55" w:type="pct"/>
            <w:vMerge w:val="continue"/>
            <w:tcBorders>
              <w:left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955" w:type="pct"/>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油性记号笔</w:t>
            </w:r>
          </w:p>
        </w:tc>
        <w:tc>
          <w:tcPr>
            <w:tcW w:w="2850"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自动聚合成液滴，棉布蘸清水可清洗</w:t>
            </w:r>
          </w:p>
        </w:tc>
      </w:tr>
      <w:tr>
        <w:tblPrEx>
          <w:tblCellMar>
            <w:top w:w="0" w:type="dxa"/>
            <w:left w:w="108" w:type="dxa"/>
            <w:bottom w:w="0" w:type="dxa"/>
            <w:right w:w="108" w:type="dxa"/>
          </w:tblCellMar>
        </w:tblPrEx>
        <w:trPr>
          <w:trHeight w:val="90" w:hRule="atLeast"/>
        </w:trPr>
        <w:tc>
          <w:tcPr>
            <w:tcW w:w="438" w:type="pct"/>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55" w:type="pct"/>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955" w:type="pct"/>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喷漆</w:t>
            </w:r>
          </w:p>
        </w:tc>
        <w:tc>
          <w:tcPr>
            <w:tcW w:w="2850"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自动聚合成液滴，棉布蘸清水可清洗</w:t>
            </w:r>
          </w:p>
        </w:tc>
      </w:tr>
      <w:tr>
        <w:tblPrEx>
          <w:tblCellMar>
            <w:top w:w="0" w:type="dxa"/>
            <w:left w:w="108" w:type="dxa"/>
            <w:bottom w:w="0" w:type="dxa"/>
            <w:right w:w="108" w:type="dxa"/>
          </w:tblCellMar>
        </w:tblPrEx>
        <w:trPr>
          <w:trHeight w:val="185" w:hRule="atLeast"/>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说明：1</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rPr>
              <w:t>该表格内容为防涂鸦抗粘贴涂料投标时需要提供检测报告的必要内容。</w:t>
            </w:r>
          </w:p>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rPr>
              <w:t>该表格内容同时为防涂鸦抗粘贴涂料中标后抽检时必要的的检测项目。</w:t>
            </w:r>
          </w:p>
          <w:p>
            <w:pPr>
              <w:pageBreakBefore w:val="0"/>
              <w:widowControl/>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rPr>
              <w:t>中标后，招标人在招标文件中未尽表述的检测内容，在与中标人协商后，仍可进行检测，并应符合相关要求。</w:t>
            </w:r>
          </w:p>
        </w:tc>
      </w:tr>
    </w:tbl>
    <w:p>
      <w:pPr>
        <w:pageBreakBefore w:val="0"/>
        <w:numPr>
          <w:ilvl w:val="0"/>
          <w:numId w:val="0"/>
        </w:numPr>
        <w:kinsoku/>
        <w:wordWrap/>
        <w:overflowPunct/>
        <w:topLinePunct w:val="0"/>
        <w:autoSpaceDE/>
        <w:autoSpaceDN/>
        <w:bidi w:val="0"/>
        <w:snapToGrid w:val="0"/>
        <w:spacing w:line="570" w:lineRule="exact"/>
        <w:ind w:left="420" w:leftChars="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3.喷涂部位要求</w:t>
      </w:r>
    </w:p>
    <w:p>
      <w:pPr>
        <w:pageBreakBefore w:val="0"/>
        <w:numPr>
          <w:ilvl w:val="0"/>
          <w:numId w:val="0"/>
        </w:numPr>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灯杆从上到下满喷，并在离法兰2m处预留号牌位置（号牌宽度为110mm，号牌详细尺寸待中标后由采购单位向中标单位提供）</w:t>
      </w:r>
      <w:r>
        <w:rPr>
          <w:rFonts w:hint="eastAsia" w:ascii="仿宋" w:hAnsi="仿宋" w:eastAsia="仿宋" w:cs="仿宋"/>
          <w:color w:val="auto"/>
          <w:sz w:val="32"/>
          <w:szCs w:val="32"/>
          <w:highlight w:val="none"/>
          <w:lang w:val="en-US" w:eastAsia="zh-CN"/>
        </w:rPr>
        <w:t>详见号牌示意图（图6）</w:t>
      </w:r>
      <w:r>
        <w:rPr>
          <w:rFonts w:hint="eastAsia" w:ascii="仿宋" w:hAnsi="仿宋" w:eastAsia="仿宋" w:cs="仿宋"/>
          <w:color w:val="auto"/>
          <w:sz w:val="32"/>
          <w:szCs w:val="32"/>
          <w:highlight w:val="none"/>
        </w:rPr>
        <w:t>。</w:t>
      </w:r>
    </w:p>
    <w:p>
      <w:pPr>
        <w:pageBreakBefore w:val="0"/>
        <w:widowControl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p>
    <w:p>
      <w:pPr>
        <w:pageBreakBefore w:val="0"/>
        <w:widowControl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p>
    <w:p>
      <w:pPr>
        <w:pageBreakBefore w:val="0"/>
        <w:widowControl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p>
    <w:p>
      <w:pPr>
        <w:pageBreakBefore w:val="0"/>
        <w:widowControl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lang w:eastAsia="zh-CN"/>
        </w:rPr>
      </w:pPr>
    </w:p>
    <w:p>
      <w:pPr>
        <w:pageBreakBefore w:val="0"/>
        <w:widowControl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p>
    <w:p>
      <w:pPr>
        <w:pageBreakBefore w:val="0"/>
        <w:widowControl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p>
    <w:p>
      <w:pPr>
        <w:pageBreakBefore w:val="0"/>
        <w:widowControl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p>
    <w:p>
      <w:pPr>
        <w:pageBreakBefore w:val="0"/>
        <w:widowControl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p>
    <w:p>
      <w:pPr>
        <w:pageBreakBefore w:val="0"/>
        <w:kinsoku/>
        <w:wordWrap/>
        <w:overflowPunct/>
        <w:topLinePunct w:val="0"/>
        <w:autoSpaceDE/>
        <w:autoSpaceDN/>
        <w:bidi w:val="0"/>
        <w:snapToGrid w:val="0"/>
        <w:spacing w:line="570" w:lineRule="exact"/>
        <w:ind w:firstLine="640" w:firstLineChars="200"/>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32"/>
          <w:szCs w:val="32"/>
          <w:highlight w:val="none"/>
          <w:lang w:eastAsia="zh-CN"/>
        </w:rPr>
        <w:drawing>
          <wp:anchor distT="0" distB="0" distL="114300" distR="114300" simplePos="0" relativeHeight="251664384" behindDoc="0" locked="0" layoutInCell="1" allowOverlap="1">
            <wp:simplePos x="0" y="0"/>
            <wp:positionH relativeFrom="column">
              <wp:posOffset>2153920</wp:posOffset>
            </wp:positionH>
            <wp:positionV relativeFrom="paragraph">
              <wp:posOffset>-2891790</wp:posOffset>
            </wp:positionV>
            <wp:extent cx="1664335" cy="3586480"/>
            <wp:effectExtent l="0" t="0" r="12065" b="13970"/>
            <wp:wrapSquare wrapText="bothSides"/>
            <wp:docPr id="9" name="图片 9" descr="ff5049d0cb33340750b8603562e6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f5049d0cb33340750b8603562e60c2"/>
                    <pic:cNvPicPr>
                      <a:picLocks noChangeAspect="1"/>
                    </pic:cNvPicPr>
                  </pic:nvPicPr>
                  <pic:blipFill>
                    <a:blip r:embed="rId16"/>
                    <a:stretch>
                      <a:fillRect/>
                    </a:stretch>
                  </pic:blipFill>
                  <pic:spPr>
                    <a:xfrm>
                      <a:off x="0" y="0"/>
                      <a:ext cx="1664335" cy="3586480"/>
                    </a:xfrm>
                    <a:prstGeom prst="rect">
                      <a:avLst/>
                    </a:prstGeom>
                  </pic:spPr>
                </pic:pic>
              </a:graphicData>
            </a:graphic>
          </wp:anchor>
        </w:drawing>
      </w:r>
    </w:p>
    <w:p>
      <w:pPr>
        <w:pageBreakBefore w:val="0"/>
        <w:kinsoku/>
        <w:wordWrap/>
        <w:overflowPunct/>
        <w:topLinePunct w:val="0"/>
        <w:autoSpaceDE/>
        <w:autoSpaceDN/>
        <w:bidi w:val="0"/>
        <w:snapToGrid w:val="0"/>
        <w:spacing w:line="570" w:lineRule="exact"/>
        <w:ind w:firstLine="560" w:firstLineChars="200"/>
        <w:jc w:val="center"/>
        <w:textAlignment w:val="auto"/>
        <w:rPr>
          <w:rFonts w:hint="eastAsia" w:ascii="仿宋" w:hAnsi="仿宋" w:eastAsia="仿宋" w:cs="仿宋"/>
          <w:color w:val="auto"/>
          <w:sz w:val="28"/>
          <w:szCs w:val="28"/>
          <w:highlight w:val="none"/>
          <w:lang w:val="en-US" w:eastAsia="zh-CN"/>
        </w:rPr>
      </w:pPr>
    </w:p>
    <w:p>
      <w:pPr>
        <w:pageBreakBefore w:val="0"/>
        <w:kinsoku/>
        <w:wordWrap/>
        <w:overflowPunct/>
        <w:topLinePunct w:val="0"/>
        <w:autoSpaceDE/>
        <w:autoSpaceDN/>
        <w:bidi w:val="0"/>
        <w:snapToGrid w:val="0"/>
        <w:spacing w:line="570" w:lineRule="exact"/>
        <w:ind w:firstLine="560" w:firstLineChars="200"/>
        <w:jc w:val="center"/>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图6 号牌示意图</w:t>
      </w:r>
    </w:p>
    <w:p>
      <w:pPr>
        <w:pageBreakBefore w:val="0"/>
        <w:kinsoku/>
        <w:wordWrap/>
        <w:overflowPunct/>
        <w:topLinePunct w:val="0"/>
        <w:autoSpaceDE/>
        <w:autoSpaceDN/>
        <w:bidi w:val="0"/>
        <w:snapToGrid w:val="0"/>
        <w:spacing w:line="570" w:lineRule="exact"/>
        <w:ind w:firstLine="560" w:firstLineChars="200"/>
        <w:jc w:val="center"/>
        <w:textAlignment w:val="auto"/>
        <w:rPr>
          <w:rFonts w:hint="eastAsia" w:ascii="楷体" w:hAnsi="楷体" w:eastAsia="楷体" w:cs="楷体"/>
          <w:b w:val="0"/>
          <w:bCs w:val="0"/>
          <w:color w:val="auto"/>
          <w:kern w:val="2"/>
          <w:sz w:val="32"/>
          <w:szCs w:val="32"/>
          <w:highlight w:val="none"/>
          <w:lang w:val="en-US" w:eastAsia="zh-CN" w:bidi="ar-SA"/>
        </w:rPr>
      </w:pPr>
      <w:r>
        <w:rPr>
          <w:rFonts w:hint="eastAsia" w:ascii="仿宋" w:hAnsi="仿宋" w:eastAsia="仿宋" w:cs="仿宋"/>
          <w:color w:val="auto"/>
          <w:sz w:val="28"/>
          <w:szCs w:val="28"/>
          <w:highlight w:val="none"/>
          <w:lang w:val="en-US" w:eastAsia="zh-CN"/>
        </w:rPr>
        <w:t>注：1.号牌颜色松绿砂纹（生产前须与业主方确认）。</w:t>
      </w:r>
    </w:p>
    <w:p>
      <w:pPr>
        <w:pageBreakBefore w:val="0"/>
        <w:numPr>
          <w:ilvl w:val="0"/>
          <w:numId w:val="0"/>
        </w:numPr>
        <w:kinsoku/>
        <w:wordWrap/>
        <w:overflowPunct/>
        <w:topLinePunct w:val="0"/>
        <w:autoSpaceDE/>
        <w:autoSpaceDN/>
        <w:bidi w:val="0"/>
        <w:snapToGrid w:val="0"/>
        <w:spacing w:line="570" w:lineRule="exact"/>
        <w:ind w:left="420" w:leftChars="0"/>
        <w:jc w:val="left"/>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4.灯杆防涂鸦抗粘贴涂料要求</w:t>
      </w:r>
    </w:p>
    <w:p>
      <w:pPr>
        <w:pageBreakBefore w:val="0"/>
        <w:kinsoku/>
        <w:wordWrap/>
        <w:overflowPunct/>
        <w:topLinePunct w:val="0"/>
        <w:autoSpaceDE/>
        <w:autoSpaceDN/>
        <w:bidi w:val="0"/>
        <w:snapToGrid w:val="0"/>
        <w:spacing w:line="570" w:lineRule="exact"/>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灯杆防涂鸦抗粘贴涂料是否运用需经采购单位通知后实施。</w:t>
      </w:r>
      <w:bookmarkStart w:id="59" w:name="_Toc92188484"/>
    </w:p>
    <w:p>
      <w:pPr>
        <w:pStyle w:val="4"/>
        <w:pageBreakBefore w:val="0"/>
        <w:kinsoku/>
        <w:wordWrap/>
        <w:overflowPunct/>
        <w:topLinePunct w:val="0"/>
        <w:autoSpaceDE/>
        <w:autoSpaceDN/>
        <w:bidi w:val="0"/>
        <w:spacing w:line="570" w:lineRule="exact"/>
        <w:ind w:left="197" w:leftChars="94" w:right="210" w:firstLine="438" w:firstLineChars="137"/>
        <w:jc w:val="left"/>
        <w:textAlignment w:val="auto"/>
        <w:rPr>
          <w:rFonts w:hint="eastAsia" w:ascii="仿宋" w:hAnsi="仿宋" w:eastAsia="仿宋" w:cs="仿宋"/>
          <w:color w:val="auto"/>
          <w:sz w:val="32"/>
          <w:szCs w:val="32"/>
          <w:highlight w:val="none"/>
          <w:lang w:val="en-US" w:eastAsia="zh-CN"/>
        </w:rPr>
      </w:pPr>
      <w:r>
        <w:rPr>
          <w:rFonts w:hint="eastAsia" w:ascii="黑体" w:cs="黑体"/>
          <w:b w:val="0"/>
          <w:bCs/>
          <w:color w:val="auto"/>
          <w:sz w:val="32"/>
          <w:szCs w:val="32"/>
          <w:highlight w:val="none"/>
          <w:lang w:val="en-US" w:eastAsia="zh-CN"/>
        </w:rPr>
        <w:t>五</w:t>
      </w:r>
      <w:r>
        <w:rPr>
          <w:rFonts w:hint="eastAsia" w:ascii="黑体" w:hAnsi="黑体" w:eastAsia="黑体" w:cs="黑体"/>
          <w:b w:val="0"/>
          <w:bCs/>
          <w:color w:val="auto"/>
          <w:sz w:val="32"/>
          <w:szCs w:val="32"/>
          <w:highlight w:val="none"/>
          <w:lang w:val="en-US" w:eastAsia="zh-CN"/>
        </w:rPr>
        <w:t>、检验要求</w:t>
      </w:r>
      <w:bookmarkEnd w:id="59"/>
    </w:p>
    <w:p>
      <w:pPr>
        <w:pageBreakBefore w:val="0"/>
        <w:kinsoku/>
        <w:wordWrap/>
        <w:overflowPunct/>
        <w:topLinePunct w:val="0"/>
        <w:autoSpaceDE/>
        <w:autoSpaceDN/>
        <w:bidi w:val="0"/>
        <w:snapToGrid w:val="0"/>
        <w:spacing w:line="570" w:lineRule="exact"/>
        <w:ind w:firstLine="640" w:firstLineChars="200"/>
        <w:jc w:val="center"/>
        <w:textAlignment w:val="auto"/>
        <w:rPr>
          <w:rFonts w:hint="eastAsia" w:ascii="仿宋" w:hAnsi="仿宋" w:eastAsia="仿宋" w:cs="仿宋"/>
          <w:b w:val="0"/>
          <w:bCs w:val="0"/>
          <w:color w:val="auto"/>
          <w:sz w:val="32"/>
          <w:szCs w:val="32"/>
          <w:highlight w:val="none"/>
          <w:u w:val="single"/>
        </w:rPr>
      </w:pPr>
      <w:r>
        <w:rPr>
          <w:rFonts w:hint="eastAsia" w:ascii="仿宋" w:hAnsi="仿宋" w:eastAsia="仿宋" w:cs="仿宋"/>
          <w:b w:val="0"/>
          <w:bCs w:val="0"/>
          <w:color w:val="auto"/>
          <w:sz w:val="32"/>
          <w:szCs w:val="32"/>
          <w:highlight w:val="none"/>
          <w:lang w:val="en-US" w:eastAsia="zh-CN"/>
        </w:rPr>
        <w:t>表一</w:t>
      </w:r>
      <w:r>
        <w:rPr>
          <w:rFonts w:hint="eastAsia" w:ascii="仿宋" w:hAnsi="仿宋" w:eastAsia="仿宋" w:cs="仿宋"/>
          <w:b w:val="0"/>
          <w:bCs w:val="0"/>
          <w:color w:val="auto"/>
          <w:sz w:val="32"/>
          <w:szCs w:val="32"/>
          <w:highlight w:val="none"/>
        </w:rPr>
        <w:t>：投标时以及中标后灯具必须的检测项目</w:t>
      </w:r>
    </w:p>
    <w:tbl>
      <w:tblPr>
        <w:tblStyle w:val="8"/>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562"/>
        <w:gridCol w:w="720"/>
        <w:gridCol w:w="3255"/>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9096" w:type="dxa"/>
            <w:gridSpan w:val="5"/>
            <w:shd w:val="clear" w:color="auto" w:fill="D7D7D7"/>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rPr>
            </w:pPr>
            <w:bookmarkStart w:id="60" w:name="_Toc1568"/>
            <w:r>
              <w:rPr>
                <w:rFonts w:hint="eastAsia" w:ascii="仿宋" w:hAnsi="仿宋" w:eastAsia="仿宋" w:cs="仿宋"/>
                <w:b w:val="0"/>
                <w:bCs w:val="0"/>
                <w:color w:val="auto"/>
                <w:sz w:val="32"/>
                <w:szCs w:val="32"/>
                <w:highlight w:val="none"/>
              </w:rPr>
              <w:t>样品要求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1101" w:type="dxa"/>
            <w:shd w:val="clear" w:color="auto" w:fill="D7D7D7"/>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rPr>
              <w:t>测试方式</w:t>
            </w:r>
          </w:p>
        </w:tc>
        <w:tc>
          <w:tcPr>
            <w:tcW w:w="1562" w:type="dxa"/>
            <w:shd w:val="clear" w:color="auto" w:fill="D7D7D7"/>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rPr>
              <w:t>类型</w:t>
            </w:r>
          </w:p>
        </w:tc>
        <w:tc>
          <w:tcPr>
            <w:tcW w:w="720" w:type="dxa"/>
            <w:shd w:val="clear" w:color="auto" w:fill="D7D7D7"/>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rPr>
              <w:t>序号</w:t>
            </w:r>
          </w:p>
        </w:tc>
        <w:tc>
          <w:tcPr>
            <w:tcW w:w="3255" w:type="dxa"/>
            <w:shd w:val="clear" w:color="auto" w:fill="D7D7D7"/>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rPr>
              <w:t>测试内容</w:t>
            </w:r>
          </w:p>
        </w:tc>
        <w:tc>
          <w:tcPr>
            <w:tcW w:w="2458" w:type="dxa"/>
            <w:shd w:val="clear" w:color="auto" w:fill="D7D7D7"/>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rPr>
              <w:t>达标要求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01"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现场目测</w:t>
            </w:r>
          </w:p>
        </w:tc>
        <w:tc>
          <w:tcPr>
            <w:tcW w:w="1562"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外观</w:t>
            </w: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尺寸（灯头与装饰件）</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28"/>
                <w:szCs w:val="28"/>
                <w:highlight w:val="none"/>
                <w:lang w:val="en-US" w:eastAsia="zh-CN"/>
              </w:rPr>
              <w:t>灯头直径200mm，高度550mm（允许公差范围为±10mm）；水晶柱直径52mm，高度355mm（允许公差范围为±5mm）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01" w:type="dxa"/>
            <w:vMerge w:val="restart"/>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检测</w:t>
            </w: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报告</w:t>
            </w:r>
          </w:p>
        </w:tc>
        <w:tc>
          <w:tcPr>
            <w:tcW w:w="1562" w:type="dxa"/>
            <w:vMerge w:val="restart"/>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光学及模拟配光</w:t>
            </w: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2"/>
                <w:szCs w:val="32"/>
                <w:highlight w:val="none"/>
              </w:rPr>
              <w:t>（在本招标文件上述模拟安装条件下）</w:t>
            </w: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2</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整灯系统总功率</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≤4</w:t>
            </w: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3</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色温</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3000</w:t>
            </w:r>
            <w:r>
              <w:rPr>
                <w:rFonts w:hint="eastAsia" w:ascii="仿宋" w:hAnsi="仿宋" w:eastAsia="仿宋" w:cs="仿宋"/>
                <w:color w:val="auto"/>
                <w:sz w:val="32"/>
                <w:szCs w:val="32"/>
                <w:highlight w:val="none"/>
                <w:lang w:val="en-US" w:eastAsia="zh-CN"/>
              </w:rPr>
              <w:t>k</w:t>
            </w:r>
            <w:r>
              <w:rPr>
                <w:rFonts w:hint="eastAsia" w:ascii="仿宋" w:hAnsi="仿宋" w:eastAsia="仿宋" w:cs="仿宋"/>
                <w:color w:val="auto"/>
                <w:sz w:val="32"/>
                <w:szCs w:val="32"/>
                <w:highlight w:val="none"/>
              </w:rPr>
              <w:t>±100</w:t>
            </w:r>
            <w:r>
              <w:rPr>
                <w:rFonts w:hint="eastAsia" w:ascii="仿宋" w:hAnsi="仿宋" w:eastAsia="仿宋" w:cs="仿宋"/>
                <w:color w:val="auto"/>
                <w:sz w:val="32"/>
                <w:szCs w:val="32"/>
                <w:highlight w:val="none"/>
                <w:lang w:val="en-US" w:eastAsia="zh-CN"/>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4</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单灯功率因数</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5</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一般显色指数</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6</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灯具色容差</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≤5SDCM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7</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rPr>
              <w:t>路面平均照度Eav（</w:t>
            </w:r>
            <w:r>
              <w:rPr>
                <w:rFonts w:hint="eastAsia" w:ascii="仿宋" w:hAnsi="仿宋" w:eastAsia="仿宋" w:cs="仿宋"/>
                <w:color w:val="auto"/>
                <w:sz w:val="32"/>
                <w:szCs w:val="32"/>
                <w:highlight w:val="none"/>
                <w:lang w:eastAsia="zh-CN"/>
              </w:rPr>
              <w:t>lx</w:t>
            </w:r>
            <w:r>
              <w:rPr>
                <w:rFonts w:hint="eastAsia" w:ascii="仿宋" w:hAnsi="仿宋" w:eastAsia="仿宋" w:cs="仿宋"/>
                <w:color w:val="auto"/>
                <w:sz w:val="32"/>
                <w:szCs w:val="32"/>
                <w:highlight w:val="none"/>
              </w:rPr>
              <w:t>）维持值</w:t>
            </w:r>
            <w:r>
              <w:rPr>
                <w:rFonts w:hint="eastAsia" w:ascii="仿宋" w:hAnsi="仿宋" w:eastAsia="仿宋" w:cs="仿宋"/>
                <w:color w:val="auto"/>
                <w:sz w:val="32"/>
                <w:szCs w:val="32"/>
                <w:highlight w:val="none"/>
                <w:lang w:val="en-US" w:eastAsia="zh-CN"/>
              </w:rPr>
              <w:t xml:space="preserve">     (表二模拟安装条件)</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8</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路面最小照度Emin（</w:t>
            </w:r>
            <w:r>
              <w:rPr>
                <w:rFonts w:hint="eastAsia" w:ascii="仿宋" w:hAnsi="仿宋" w:eastAsia="仿宋" w:cs="仿宋"/>
                <w:color w:val="auto"/>
                <w:sz w:val="32"/>
                <w:szCs w:val="32"/>
                <w:highlight w:val="none"/>
                <w:lang w:eastAsia="zh-CN"/>
              </w:rPr>
              <w:t>lx</w:t>
            </w:r>
            <w:r>
              <w:rPr>
                <w:rFonts w:hint="eastAsia" w:ascii="仿宋" w:hAnsi="仿宋" w:eastAsia="仿宋" w:cs="仿宋"/>
                <w:color w:val="auto"/>
                <w:sz w:val="32"/>
                <w:szCs w:val="32"/>
                <w:highlight w:val="none"/>
              </w:rPr>
              <w:t>）维持值</w:t>
            </w: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(表二模拟安装条件)</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vMerge w:val="restart"/>
            <w:noWrap w:val="0"/>
            <w:vAlign w:val="center"/>
          </w:tcPr>
          <w:p>
            <w:pPr>
              <w:pageBreakBefore w:val="0"/>
              <w:kinsoku/>
              <w:wordWrap/>
              <w:overflowPunct/>
              <w:topLinePunct w:val="0"/>
              <w:autoSpaceDE/>
              <w:autoSpaceDN/>
              <w:bidi w:val="0"/>
              <w:snapToGrid w:val="0"/>
              <w:spacing w:line="570" w:lineRule="exact"/>
              <w:jc w:val="center"/>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9</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照明眩光限值≥80°最大光强Imax（cd/1000lm）</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≤100cd/1000lm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照明眩光限值≥90°最大光强Imax（cd/1000lm）</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≤20cd/1000lm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shd w:val="clear" w:color="auto" w:fill="FFFFFF"/>
              </w:rPr>
              <w:t>整灯光效</w:t>
            </w:r>
            <w:r>
              <w:rPr>
                <w:rFonts w:hint="eastAsia" w:ascii="仿宋" w:hAnsi="仿宋" w:eastAsia="仿宋" w:cs="仿宋"/>
                <w:color w:val="auto"/>
                <w:sz w:val="32"/>
                <w:szCs w:val="32"/>
                <w:highlight w:val="none"/>
                <w:shd w:val="clear" w:color="auto" w:fill="FFFFFF"/>
                <w:lang w:eastAsia="zh-CN"/>
              </w:rPr>
              <w:t>（</w:t>
            </w:r>
            <w:r>
              <w:rPr>
                <w:rFonts w:hint="eastAsia" w:ascii="仿宋" w:hAnsi="仿宋" w:eastAsia="仿宋" w:cs="仿宋"/>
                <w:color w:val="auto"/>
                <w:sz w:val="32"/>
                <w:szCs w:val="32"/>
                <w:highlight w:val="none"/>
                <w:shd w:val="clear" w:color="auto" w:fill="FFFFFF"/>
                <w:lang w:val="en-US" w:eastAsia="zh-CN"/>
              </w:rPr>
              <w:t>含透光罩</w:t>
            </w:r>
            <w:r>
              <w:rPr>
                <w:rFonts w:hint="eastAsia" w:ascii="仿宋" w:hAnsi="仿宋" w:eastAsia="仿宋" w:cs="仿宋"/>
                <w:color w:val="auto"/>
                <w:sz w:val="32"/>
                <w:szCs w:val="32"/>
                <w:highlight w:val="none"/>
                <w:shd w:val="clear" w:color="auto" w:fill="FFFFFF"/>
                <w:lang w:eastAsia="zh-CN"/>
              </w:rPr>
              <w:t>）</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38</w:t>
            </w:r>
            <w:r>
              <w:rPr>
                <w:rFonts w:hint="eastAsia" w:ascii="仿宋" w:hAnsi="仿宋" w:eastAsia="仿宋" w:cs="仿宋"/>
                <w:color w:val="auto"/>
                <w:sz w:val="32"/>
                <w:szCs w:val="32"/>
                <w:highlight w:val="none"/>
                <w:shd w:val="clear" w:color="auto" w:fill="FFFFFF"/>
              </w:rPr>
              <w:t>lm/</w:t>
            </w:r>
            <w:r>
              <w:rPr>
                <w:rFonts w:hint="eastAsia" w:ascii="仿宋" w:hAnsi="仿宋" w:eastAsia="仿宋" w:cs="仿宋"/>
                <w:color w:val="auto"/>
                <w:sz w:val="32"/>
                <w:szCs w:val="32"/>
                <w:highlight w:val="none"/>
                <w:shd w:val="clear" w:color="auto" w:fill="FFFFFF"/>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restart"/>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安全</w:t>
            </w: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10</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防护等级</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不低于</w:t>
            </w:r>
            <w:r>
              <w:rPr>
                <w:rFonts w:hint="eastAsia" w:ascii="仿宋" w:hAnsi="仿宋" w:eastAsia="仿宋" w:cs="仿宋"/>
                <w:color w:val="auto"/>
                <w:sz w:val="32"/>
                <w:szCs w:val="32"/>
                <w:highlight w:val="none"/>
              </w:rPr>
              <w:t>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1</w:t>
            </w:r>
            <w:r>
              <w:rPr>
                <w:rFonts w:hint="eastAsia" w:ascii="仿宋" w:hAnsi="仿宋" w:eastAsia="仿宋" w:cs="仿宋"/>
                <w:color w:val="auto"/>
                <w:sz w:val="32"/>
                <w:szCs w:val="32"/>
                <w:highlight w:val="none"/>
                <w:lang w:val="en-US" w:eastAsia="zh-CN"/>
              </w:rPr>
              <w:t>1</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安全与试验要求</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符合本文件“三、</w:t>
            </w:r>
            <w:r>
              <w:rPr>
                <w:rFonts w:hint="eastAsia" w:ascii="仿宋" w:hAnsi="仿宋" w:eastAsia="仿宋" w:cs="仿宋"/>
                <w:color w:val="auto"/>
                <w:sz w:val="32"/>
                <w:szCs w:val="32"/>
                <w:highlight w:val="none"/>
                <w:lang w:val="en-US" w:eastAsia="zh-CN"/>
              </w:rPr>
              <w:t>庭院灯技术要求</w:t>
            </w:r>
            <w:r>
              <w:rPr>
                <w:rFonts w:hint="eastAsia" w:ascii="仿宋" w:hAnsi="仿宋" w:eastAsia="仿宋" w:cs="仿宋"/>
                <w:color w:val="auto"/>
                <w:sz w:val="32"/>
                <w:szCs w:val="32"/>
                <w:highlight w:val="none"/>
              </w:rPr>
              <w:t>中‘安全要求’”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restart"/>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材质</w:t>
            </w: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1</w:t>
            </w:r>
            <w:r>
              <w:rPr>
                <w:rFonts w:hint="eastAsia" w:ascii="仿宋" w:hAnsi="仿宋" w:eastAsia="仿宋" w:cs="仿宋"/>
                <w:color w:val="auto"/>
                <w:sz w:val="32"/>
                <w:szCs w:val="32"/>
                <w:highlight w:val="none"/>
                <w:lang w:val="en-US" w:eastAsia="zh-CN"/>
              </w:rPr>
              <w:t>2</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灯杆和灯头光源上下端盖金属材料要求</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产品质量证明书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101"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1562" w:type="dxa"/>
            <w:vMerge w:val="continue"/>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c>
          <w:tcPr>
            <w:tcW w:w="720"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1</w:t>
            </w:r>
            <w:r>
              <w:rPr>
                <w:rFonts w:hint="eastAsia" w:ascii="仿宋" w:hAnsi="仿宋" w:eastAsia="仿宋" w:cs="仿宋"/>
                <w:color w:val="auto"/>
                <w:sz w:val="32"/>
                <w:szCs w:val="32"/>
                <w:highlight w:val="none"/>
                <w:lang w:val="en-US" w:eastAsia="zh-CN"/>
              </w:rPr>
              <w:t>3</w:t>
            </w:r>
          </w:p>
        </w:tc>
        <w:tc>
          <w:tcPr>
            <w:tcW w:w="3255"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光源装饰罩、灯具面罩PC材料要求</w:t>
            </w:r>
          </w:p>
        </w:tc>
        <w:tc>
          <w:tcPr>
            <w:tcW w:w="2458"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shd w:val="clear" w:color="auto" w:fill="FFFFFF"/>
              </w:rPr>
            </w:pPr>
            <w:r>
              <w:rPr>
                <w:rFonts w:hint="eastAsia" w:ascii="仿宋" w:hAnsi="仿宋" w:eastAsia="仿宋" w:cs="仿宋"/>
                <w:color w:val="auto"/>
                <w:sz w:val="32"/>
                <w:szCs w:val="32"/>
                <w:highlight w:val="none"/>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01" w:type="dxa"/>
            <w:noWrap w:val="0"/>
            <w:vAlign w:val="center"/>
          </w:tcPr>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备注</w:t>
            </w:r>
          </w:p>
        </w:tc>
        <w:tc>
          <w:tcPr>
            <w:tcW w:w="7995" w:type="dxa"/>
            <w:gridSpan w:val="4"/>
            <w:noWrap w:val="0"/>
            <w:vAlign w:val="center"/>
          </w:tcPr>
          <w:p>
            <w:pPr>
              <w:pageBreakBefore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．磋商供应商自行送检，送至国家级权威机构检测，检测结果必须满足技术文件相关指标要求（其中</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13</w:t>
            </w:r>
            <w:r>
              <w:rPr>
                <w:rFonts w:hint="eastAsia" w:ascii="仿宋" w:hAnsi="仿宋" w:eastAsia="仿宋" w:cs="仿宋"/>
                <w:color w:val="auto"/>
                <w:sz w:val="32"/>
                <w:szCs w:val="32"/>
                <w:highlight w:val="none"/>
              </w:rPr>
              <w:t>项为必须满足项，有一项不满足的按废标处理），同时需自行提供符合采购文件要求的防涂鸦抗粘贴涂料的检测报告（检测报告不合格按废标处理），检测费由磋商供应商承担。</w:t>
            </w:r>
          </w:p>
          <w:p>
            <w:pPr>
              <w:pageBreakBefore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rPr>
              <w:t>中标后灯具批量供货阶段，采购单位将随机抽取本项目照明清单内任意一款LED灯具，送至国家级权威机构检测光学性能指标（包含配光、灯具系统安装特性综合判定等）及电气安全性能指标（同时包含光生物危害、电磁兼容谐波电流限值、灯具防雷及防浪涌等级等指标），所测指标必须满足采购文件内的技术要求以及相关标准等。第一次抽检费用无论指标合格与否都由中标单位承担，检测不合格需无条件调整，直至合格，工期不顺延，一切损失由中标单位承担。</w:t>
            </w:r>
            <w:r>
              <w:rPr>
                <w:rFonts w:hint="eastAsia" w:ascii="仿宋" w:hAnsi="仿宋" w:eastAsia="仿宋" w:cs="仿宋"/>
                <w:color w:val="auto"/>
                <w:sz w:val="32"/>
                <w:szCs w:val="32"/>
                <w:highlight w:val="none"/>
                <w:lang w:val="en-US" w:eastAsia="zh-CN"/>
              </w:rPr>
              <w:t>采购方有权扣除全部履约保证金。</w:t>
            </w:r>
          </w:p>
          <w:p>
            <w:pPr>
              <w:pageBreakBefore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rPr>
              <w:t>该表格内容为所投灯具投标时需要提供检测报告的必要内容。</w:t>
            </w:r>
          </w:p>
          <w:p>
            <w:pPr>
              <w:pageBreakBefore w:val="0"/>
              <w:numPr>
                <w:ilvl w:val="0"/>
                <w:numId w:val="0"/>
              </w:numPr>
              <w:kinsoku/>
              <w:wordWrap/>
              <w:overflowPunct/>
              <w:topLinePunct w:val="0"/>
              <w:autoSpaceDE/>
              <w:autoSpaceDN/>
              <w:bidi w:val="0"/>
              <w:snapToGrid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rPr>
              <w:t>该表格内容同时为所投灯具投标中标后抽检时必要的的检测项目。</w:t>
            </w:r>
          </w:p>
          <w:p>
            <w:pPr>
              <w:pageBreakBefore w:val="0"/>
              <w:numPr>
                <w:ilvl w:val="0"/>
                <w:numId w:val="0"/>
              </w:numPr>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rPr>
              <w:t>中标后，招标人在招标文件中未尽表述的检测内容，在与中标人协商后，仍可进行检测，并应符合相关要求。</w:t>
            </w:r>
          </w:p>
          <w:p>
            <w:pPr>
              <w:pageBreakBefore w:val="0"/>
              <w:kinsoku/>
              <w:wordWrap/>
              <w:overflowPunct/>
              <w:topLinePunct w:val="0"/>
              <w:autoSpaceDE/>
              <w:autoSpaceDN/>
              <w:bidi w:val="0"/>
              <w:spacing w:line="570" w:lineRule="exact"/>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rPr>
              <w:t>技术文件详参有规定的，按详参规定执行，没有详参规定的，按照本通则执行。</w:t>
            </w:r>
          </w:p>
          <w:p>
            <w:pPr>
              <w:pageBreakBefore w:val="0"/>
              <w:numPr>
                <w:ilvl w:val="0"/>
                <w:numId w:val="0"/>
              </w:numPr>
              <w:kinsoku/>
              <w:wordWrap/>
              <w:overflowPunct/>
              <w:topLinePunct w:val="0"/>
              <w:autoSpaceDE/>
              <w:autoSpaceDN/>
              <w:bidi w:val="0"/>
              <w:snapToGrid w:val="0"/>
              <w:spacing w:line="570" w:lineRule="exact"/>
              <w:jc w:val="center"/>
              <w:textAlignment w:val="auto"/>
              <w:rPr>
                <w:rFonts w:hint="eastAsia" w:ascii="仿宋" w:hAnsi="仿宋" w:eastAsia="仿宋" w:cs="仿宋"/>
                <w:color w:val="auto"/>
                <w:sz w:val="32"/>
                <w:szCs w:val="32"/>
                <w:highlight w:val="none"/>
              </w:rPr>
            </w:pPr>
          </w:p>
        </w:tc>
      </w:tr>
    </w:tbl>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lang w:val="en-US" w:eastAsia="zh-CN"/>
        </w:rPr>
      </w:pPr>
    </w:p>
    <w:p>
      <w:pPr>
        <w:pageBreakBefore w:val="0"/>
        <w:kinsoku/>
        <w:wordWrap/>
        <w:overflowPunct/>
        <w:topLinePunct w:val="0"/>
        <w:autoSpaceDE/>
        <w:autoSpaceDN/>
        <w:bidi w:val="0"/>
        <w:snapToGrid w:val="0"/>
        <w:spacing w:line="570" w:lineRule="exact"/>
        <w:jc w:val="center"/>
        <w:textAlignment w:val="auto"/>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lang w:val="en-US" w:eastAsia="zh-CN"/>
        </w:rPr>
        <w:t>表二</w:t>
      </w:r>
      <w:r>
        <w:rPr>
          <w:rFonts w:hint="eastAsia" w:ascii="仿宋" w:hAnsi="仿宋" w:eastAsia="仿宋" w:cs="仿宋"/>
          <w:b w:val="0"/>
          <w:bCs w:val="0"/>
          <w:color w:val="auto"/>
          <w:sz w:val="32"/>
          <w:szCs w:val="32"/>
          <w:highlight w:val="none"/>
        </w:rPr>
        <w:t>：中标后灯灯杆需要检测的内容</w:t>
      </w:r>
      <w:bookmarkEnd w:id="60"/>
    </w:p>
    <w:tbl>
      <w:tblPr>
        <w:tblStyle w:val="8"/>
        <w:tblW w:w="46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628"/>
        <w:gridCol w:w="6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65"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序号</w:t>
            </w:r>
          </w:p>
        </w:tc>
        <w:tc>
          <w:tcPr>
            <w:tcW w:w="966"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检测项目</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w:t>
            </w:r>
          </w:p>
        </w:tc>
        <w:tc>
          <w:tcPr>
            <w:tcW w:w="966"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是否有合格探伤报告</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符合采购文件要求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465"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2</w:t>
            </w:r>
          </w:p>
        </w:tc>
        <w:tc>
          <w:tcPr>
            <w:tcW w:w="966"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尺寸要求</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参考技术文件内容，技术文件内规定了尺寸误差范围的按照技术文件执行，未标注公差的，按照GB-T1804的精度C级别标准执行，其中安装公差和位置公差按照精度M级别标准执行。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5" w:type="pct"/>
            <w:vMerge w:val="restar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3</w:t>
            </w:r>
          </w:p>
        </w:tc>
        <w:tc>
          <w:tcPr>
            <w:tcW w:w="966" w:type="pct"/>
            <w:vMerge w:val="restart"/>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喷塑要求</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颜色是否一致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5" w:type="pct"/>
            <w:vMerge w:val="continue"/>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p>
        </w:tc>
        <w:tc>
          <w:tcPr>
            <w:tcW w:w="966" w:type="pct"/>
            <w:vMerge w:val="continue"/>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是否符合采购文件要求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65" w:type="pct"/>
            <w:vMerge w:val="restar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4</w:t>
            </w:r>
          </w:p>
        </w:tc>
        <w:tc>
          <w:tcPr>
            <w:tcW w:w="966" w:type="pct"/>
            <w:vMerge w:val="restar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法兰</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法兰厚度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5" w:type="pct"/>
            <w:vMerge w:val="continue"/>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p>
        </w:tc>
        <w:tc>
          <w:tcPr>
            <w:tcW w:w="966" w:type="pct"/>
            <w:vMerge w:val="continue"/>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安装孔间距及尺寸是否符合采购文件要求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65"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5</w:t>
            </w:r>
          </w:p>
        </w:tc>
        <w:tc>
          <w:tcPr>
            <w:tcW w:w="966"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材质</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符合采购文件要求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6</w:t>
            </w:r>
          </w:p>
        </w:tc>
        <w:tc>
          <w:tcPr>
            <w:tcW w:w="966"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接地</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是否有接地螺栓或接地线连接孔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65"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7</w:t>
            </w:r>
          </w:p>
        </w:tc>
        <w:tc>
          <w:tcPr>
            <w:tcW w:w="966"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杆体</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满足技术文件要求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65"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8</w:t>
            </w:r>
          </w:p>
        </w:tc>
        <w:tc>
          <w:tcPr>
            <w:tcW w:w="966"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灯杆重量</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满足技术文件要求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65"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9</w:t>
            </w:r>
          </w:p>
        </w:tc>
        <w:tc>
          <w:tcPr>
            <w:tcW w:w="966"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门板</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满足技术文件要求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5"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10</w:t>
            </w:r>
          </w:p>
        </w:tc>
        <w:tc>
          <w:tcPr>
            <w:tcW w:w="966"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配件</w:t>
            </w:r>
          </w:p>
        </w:tc>
        <w:tc>
          <w:tcPr>
            <w:tcW w:w="3568" w:type="pct"/>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满足技术文件要求</w:t>
            </w:r>
          </w:p>
        </w:tc>
      </w:tr>
    </w:tbl>
    <w:p>
      <w:pPr>
        <w:pStyle w:val="4"/>
        <w:pageBreakBefore w:val="0"/>
        <w:kinsoku/>
        <w:wordWrap/>
        <w:overflowPunct/>
        <w:topLinePunct w:val="0"/>
        <w:autoSpaceDE/>
        <w:autoSpaceDN/>
        <w:bidi w:val="0"/>
        <w:spacing w:line="570" w:lineRule="exact"/>
        <w:ind w:left="197" w:leftChars="94" w:right="210" w:firstLine="438" w:firstLineChars="137"/>
        <w:jc w:val="left"/>
        <w:textAlignment w:val="auto"/>
        <w:rPr>
          <w:rFonts w:hint="eastAsia" w:ascii="黑体" w:hAnsi="黑体" w:eastAsia="黑体" w:cs="黑体"/>
          <w:b w:val="0"/>
          <w:bCs/>
          <w:color w:val="auto"/>
          <w:sz w:val="32"/>
          <w:szCs w:val="32"/>
          <w:highlight w:val="none"/>
          <w:lang w:val="en-US" w:eastAsia="zh-CN"/>
        </w:rPr>
      </w:pPr>
      <w:r>
        <w:rPr>
          <w:rFonts w:hint="eastAsia" w:ascii="黑体" w:cs="黑体"/>
          <w:b w:val="0"/>
          <w:bCs/>
          <w:color w:val="auto"/>
          <w:sz w:val="32"/>
          <w:szCs w:val="32"/>
          <w:highlight w:val="none"/>
          <w:lang w:val="en-US" w:eastAsia="zh-CN"/>
        </w:rPr>
        <w:t>六</w:t>
      </w:r>
      <w:r>
        <w:rPr>
          <w:rFonts w:hint="eastAsia" w:ascii="黑体" w:hAnsi="黑体" w:eastAsia="黑体" w:cs="黑体"/>
          <w:b w:val="0"/>
          <w:bCs/>
          <w:color w:val="auto"/>
          <w:sz w:val="32"/>
          <w:szCs w:val="32"/>
          <w:highlight w:val="none"/>
          <w:lang w:val="en-US" w:eastAsia="zh-CN"/>
        </w:rPr>
        <w:t>、供货要求</w:t>
      </w:r>
    </w:p>
    <w:p>
      <w:pPr>
        <w:pageBreakBefore w:val="0"/>
        <w:widowControl/>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w:t>
      </w:r>
      <w:r>
        <w:rPr>
          <w:rFonts w:hint="eastAsia" w:ascii="仿宋" w:hAnsi="仿宋" w:eastAsia="仿宋" w:cs="仿宋"/>
          <w:color w:val="auto"/>
          <w:sz w:val="32"/>
          <w:szCs w:val="32"/>
        </w:rPr>
        <w:t>．</w:t>
      </w:r>
      <w:r>
        <w:rPr>
          <w:rFonts w:hint="eastAsia" w:ascii="仿宋" w:hAnsi="仿宋" w:eastAsia="仿宋" w:cs="仿宋"/>
          <w:color w:val="auto"/>
          <w:kern w:val="0"/>
          <w:sz w:val="32"/>
          <w:szCs w:val="32"/>
          <w:highlight w:val="none"/>
          <w:lang w:val="en-US" w:eastAsia="zh-CN"/>
        </w:rPr>
        <w:t>供应商中标后还需提供庭院灯现场安装，经第三方检测机构检测，满足照明质量指标后才可批量供货（检测要求及达标数据见下表）。</w:t>
      </w:r>
    </w:p>
    <w:p>
      <w:pPr>
        <w:pageBreakBefore w:val="0"/>
        <w:widowControl/>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w:t>
      </w:r>
      <w:r>
        <w:rPr>
          <w:rFonts w:hint="eastAsia" w:ascii="仿宋" w:hAnsi="仿宋" w:eastAsia="仿宋" w:cs="仿宋"/>
          <w:color w:val="auto"/>
          <w:sz w:val="32"/>
          <w:szCs w:val="32"/>
        </w:rPr>
        <w:t>．</w:t>
      </w:r>
      <w:r>
        <w:rPr>
          <w:rFonts w:hint="eastAsia" w:ascii="仿宋" w:hAnsi="仿宋" w:eastAsia="仿宋" w:cs="仿宋"/>
          <w:color w:val="auto"/>
          <w:kern w:val="0"/>
          <w:sz w:val="32"/>
          <w:szCs w:val="32"/>
          <w:highlight w:val="none"/>
          <w:lang w:val="en-US" w:eastAsia="zh-CN"/>
        </w:rPr>
        <w:t>如检测不合格，采购方终止合同并扣除供货方全部履约保证金。</w:t>
      </w:r>
    </w:p>
    <w:p>
      <w:pPr>
        <w:pageBreakBefore w:val="0"/>
        <w:kinsoku/>
        <w:wordWrap/>
        <w:overflowPunct/>
        <w:topLinePunct w:val="0"/>
        <w:autoSpaceDE/>
        <w:autoSpaceDN/>
        <w:bidi w:val="0"/>
        <w:spacing w:line="570" w:lineRule="exact"/>
        <w:ind w:firstLine="640" w:firstLineChars="200"/>
        <w:jc w:val="lef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3.模拟安装条件及达标要求</w:t>
      </w:r>
    </w:p>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模拟安装条件</w:t>
      </w:r>
    </w:p>
    <w:tbl>
      <w:tblPr>
        <w:tblStyle w:val="8"/>
        <w:tblW w:w="0" w:type="auto"/>
        <w:jc w:val="center"/>
        <w:tblLayout w:type="autofit"/>
        <w:tblCellMar>
          <w:top w:w="0" w:type="dxa"/>
          <w:left w:w="108" w:type="dxa"/>
          <w:bottom w:w="0" w:type="dxa"/>
          <w:right w:w="108" w:type="dxa"/>
        </w:tblCellMar>
      </w:tblPr>
      <w:tblGrid>
        <w:gridCol w:w="961"/>
        <w:gridCol w:w="4040"/>
        <w:gridCol w:w="2191"/>
      </w:tblGrid>
      <w:tr>
        <w:trPr>
          <w:trHeight w:val="442" w:hRule="atLeast"/>
          <w:jc w:val="center"/>
        </w:trPr>
        <w:tc>
          <w:tcPr>
            <w:tcW w:w="961"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灯具系统安装条</w:t>
            </w:r>
            <w:r>
              <w:rPr>
                <w:rFonts w:hint="eastAsia" w:ascii="仿宋" w:hAnsi="仿宋" w:eastAsia="仿宋" w:cs="仿宋"/>
                <w:color w:val="auto"/>
                <w:kern w:val="0"/>
                <w:sz w:val="32"/>
                <w:szCs w:val="32"/>
                <w:highlight w:val="none"/>
                <w:lang w:val="en-US" w:eastAsia="zh-CN"/>
              </w:rPr>
              <w:t xml:space="preserve"> </w:t>
            </w:r>
            <w:r>
              <w:rPr>
                <w:rFonts w:hint="eastAsia" w:ascii="仿宋" w:hAnsi="仿宋" w:eastAsia="仿宋" w:cs="仿宋"/>
                <w:color w:val="auto"/>
                <w:kern w:val="0"/>
                <w:sz w:val="32"/>
                <w:szCs w:val="32"/>
                <w:highlight w:val="none"/>
              </w:rPr>
              <w:t>件</w:t>
            </w:r>
          </w:p>
        </w:tc>
        <w:tc>
          <w:tcPr>
            <w:tcW w:w="4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道路类别：</w:t>
            </w:r>
          </w:p>
        </w:tc>
        <w:tc>
          <w:tcPr>
            <w:tcW w:w="21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园路</w:t>
            </w:r>
          </w:p>
        </w:tc>
      </w:tr>
      <w:tr>
        <w:tblPrEx>
          <w:tblCellMar>
            <w:top w:w="0" w:type="dxa"/>
            <w:left w:w="108" w:type="dxa"/>
            <w:bottom w:w="0" w:type="dxa"/>
            <w:right w:w="108" w:type="dxa"/>
          </w:tblCellMar>
        </w:tblPrEx>
        <w:trPr>
          <w:trHeight w:val="412" w:hRule="atLeast"/>
          <w:jc w:val="center"/>
        </w:trPr>
        <w:tc>
          <w:tcPr>
            <w:tcW w:w="96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4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道路宽度(m)：</w:t>
            </w:r>
          </w:p>
        </w:tc>
        <w:tc>
          <w:tcPr>
            <w:tcW w:w="21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5</w:t>
            </w:r>
          </w:p>
        </w:tc>
      </w:tr>
      <w:tr>
        <w:tblPrEx>
          <w:tblCellMar>
            <w:top w:w="0" w:type="dxa"/>
            <w:left w:w="108" w:type="dxa"/>
            <w:bottom w:w="0" w:type="dxa"/>
            <w:right w:w="108" w:type="dxa"/>
          </w:tblCellMar>
        </w:tblPrEx>
        <w:trPr>
          <w:trHeight w:val="425" w:hRule="atLeast"/>
          <w:jc w:val="center"/>
        </w:trPr>
        <w:tc>
          <w:tcPr>
            <w:tcW w:w="96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4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道路表面材料</w:t>
            </w:r>
          </w:p>
        </w:tc>
        <w:tc>
          <w:tcPr>
            <w:tcW w:w="21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沥青</w:t>
            </w:r>
          </w:p>
        </w:tc>
      </w:tr>
      <w:tr>
        <w:tblPrEx>
          <w:tblCellMar>
            <w:top w:w="0" w:type="dxa"/>
            <w:left w:w="108" w:type="dxa"/>
            <w:bottom w:w="0" w:type="dxa"/>
            <w:right w:w="108" w:type="dxa"/>
          </w:tblCellMar>
        </w:tblPrEx>
        <w:trPr>
          <w:trHeight w:val="412" w:hRule="atLeast"/>
          <w:jc w:val="center"/>
        </w:trPr>
        <w:tc>
          <w:tcPr>
            <w:tcW w:w="96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4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灯具布置方式</w:t>
            </w:r>
          </w:p>
        </w:tc>
        <w:tc>
          <w:tcPr>
            <w:tcW w:w="21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单侧</w:t>
            </w:r>
          </w:p>
        </w:tc>
      </w:tr>
      <w:tr>
        <w:tblPrEx>
          <w:tblCellMar>
            <w:top w:w="0" w:type="dxa"/>
            <w:left w:w="108" w:type="dxa"/>
            <w:bottom w:w="0" w:type="dxa"/>
            <w:right w:w="108" w:type="dxa"/>
          </w:tblCellMar>
        </w:tblPrEx>
        <w:trPr>
          <w:trHeight w:val="412" w:hRule="atLeast"/>
          <w:jc w:val="center"/>
        </w:trPr>
        <w:tc>
          <w:tcPr>
            <w:tcW w:w="96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4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灯具安装高度(m)</w:t>
            </w:r>
          </w:p>
        </w:tc>
        <w:tc>
          <w:tcPr>
            <w:tcW w:w="21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3.5</w:t>
            </w:r>
          </w:p>
        </w:tc>
      </w:tr>
      <w:tr>
        <w:tblPrEx>
          <w:tblCellMar>
            <w:top w:w="0" w:type="dxa"/>
            <w:left w:w="108" w:type="dxa"/>
            <w:bottom w:w="0" w:type="dxa"/>
            <w:right w:w="108" w:type="dxa"/>
          </w:tblCellMar>
        </w:tblPrEx>
        <w:trPr>
          <w:trHeight w:val="412" w:hRule="atLeast"/>
          <w:jc w:val="center"/>
        </w:trPr>
        <w:tc>
          <w:tcPr>
            <w:tcW w:w="96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4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灯杆的安装间距(m)</w:t>
            </w:r>
          </w:p>
        </w:tc>
        <w:tc>
          <w:tcPr>
            <w:tcW w:w="21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2</w:t>
            </w:r>
            <w:r>
              <w:rPr>
                <w:rFonts w:hint="eastAsia" w:ascii="仿宋" w:hAnsi="仿宋" w:eastAsia="仿宋" w:cs="仿宋"/>
                <w:color w:val="auto"/>
                <w:kern w:val="0"/>
                <w:sz w:val="32"/>
                <w:szCs w:val="32"/>
                <w:highlight w:val="none"/>
              </w:rPr>
              <w:t>0</w:t>
            </w:r>
          </w:p>
        </w:tc>
      </w:tr>
      <w:tr>
        <w:tblPrEx>
          <w:tblCellMar>
            <w:top w:w="0" w:type="dxa"/>
            <w:left w:w="108" w:type="dxa"/>
            <w:bottom w:w="0" w:type="dxa"/>
            <w:right w:w="108" w:type="dxa"/>
          </w:tblCellMar>
        </w:tblPrEx>
        <w:trPr>
          <w:trHeight w:val="534" w:hRule="atLeast"/>
          <w:jc w:val="center"/>
        </w:trPr>
        <w:tc>
          <w:tcPr>
            <w:tcW w:w="96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p>
        </w:tc>
        <w:tc>
          <w:tcPr>
            <w:tcW w:w="4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灯杆与路沿</w:t>
            </w:r>
            <w:r>
              <w:rPr>
                <w:rFonts w:hint="eastAsia" w:ascii="仿宋" w:hAnsi="仿宋" w:eastAsia="仿宋" w:cs="仿宋"/>
                <w:color w:val="auto"/>
                <w:kern w:val="0"/>
                <w:sz w:val="32"/>
                <w:szCs w:val="32"/>
                <w:highlight w:val="none"/>
                <w:lang w:val="en-US" w:eastAsia="zh-CN"/>
              </w:rPr>
              <w:t>外侧</w:t>
            </w:r>
            <w:r>
              <w:rPr>
                <w:rFonts w:hint="eastAsia" w:ascii="仿宋" w:hAnsi="仿宋" w:eastAsia="仿宋" w:cs="仿宋"/>
                <w:color w:val="auto"/>
                <w:kern w:val="0"/>
                <w:sz w:val="32"/>
                <w:szCs w:val="32"/>
                <w:highlight w:val="none"/>
              </w:rPr>
              <w:t>的距离(m)</w:t>
            </w:r>
          </w:p>
        </w:tc>
        <w:tc>
          <w:tcPr>
            <w:tcW w:w="21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spacing w:line="570" w:lineRule="exact"/>
              <w:jc w:val="center"/>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0.5</w:t>
            </w:r>
          </w:p>
        </w:tc>
      </w:tr>
    </w:tbl>
    <w:p>
      <w:pPr>
        <w:pageBreakBefore w:val="0"/>
        <w:kinsoku/>
        <w:wordWrap/>
        <w:overflowPunct/>
        <w:topLinePunct w:val="0"/>
        <w:autoSpaceDE/>
        <w:autoSpaceDN/>
        <w:bidi w:val="0"/>
        <w:spacing w:line="57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在上述</w:t>
      </w:r>
      <w:r>
        <w:rPr>
          <w:rFonts w:hint="eastAsia" w:ascii="仿宋" w:hAnsi="仿宋" w:eastAsia="仿宋" w:cs="仿宋"/>
          <w:color w:val="auto"/>
          <w:sz w:val="32"/>
          <w:szCs w:val="32"/>
          <w:highlight w:val="none"/>
          <w:lang w:val="en-US" w:eastAsia="zh-CN"/>
        </w:rPr>
        <w:t>园路</w:t>
      </w:r>
      <w:r>
        <w:rPr>
          <w:rFonts w:hint="eastAsia" w:ascii="仿宋" w:hAnsi="仿宋" w:eastAsia="仿宋" w:cs="仿宋"/>
          <w:color w:val="auto"/>
          <w:sz w:val="32"/>
          <w:szCs w:val="32"/>
          <w:highlight w:val="none"/>
        </w:rPr>
        <w:t>模拟安装条件下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调光至70%</w:t>
      </w:r>
      <w:r>
        <w:rPr>
          <w:rFonts w:hint="eastAsia" w:ascii="仿宋" w:hAnsi="仿宋" w:eastAsia="仿宋" w:cs="仿宋"/>
          <w:color w:val="auto"/>
          <w:sz w:val="32"/>
          <w:szCs w:val="32"/>
          <w:highlight w:val="none"/>
        </w:rPr>
        <w:t>照明需满足以下要求：</w:t>
      </w:r>
    </w:p>
    <w:p>
      <w:pPr>
        <w:pageBreakBefore w:val="0"/>
        <w:kinsoku/>
        <w:wordWrap/>
        <w:overflowPunct/>
        <w:topLinePunct w:val="0"/>
        <w:autoSpaceDE/>
        <w:autoSpaceDN/>
        <w:bidi w:val="0"/>
        <w:spacing w:line="570" w:lineRule="exact"/>
        <w:ind w:firstLine="960" w:firstLineChars="3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b w:val="0"/>
          <w:bCs w:val="0"/>
          <w:color w:val="auto"/>
          <w:kern w:val="2"/>
          <w:sz w:val="32"/>
          <w:szCs w:val="32"/>
          <w:highlight w:val="none"/>
          <w:lang w:val="en-US" w:eastAsia="zh-CN" w:bidi="ar-SA"/>
        </w:rPr>
        <w:t>1）</w:t>
      </w:r>
      <w:r>
        <w:rPr>
          <w:rFonts w:hint="eastAsia" w:ascii="仿宋" w:hAnsi="仿宋" w:eastAsia="仿宋" w:cs="仿宋"/>
          <w:color w:val="auto"/>
          <w:sz w:val="32"/>
          <w:szCs w:val="32"/>
          <w:highlight w:val="none"/>
        </w:rPr>
        <w:t>路面平均照度Eav（</w:t>
      </w:r>
      <w:r>
        <w:rPr>
          <w:rFonts w:hint="eastAsia" w:ascii="仿宋" w:hAnsi="仿宋" w:eastAsia="仿宋" w:cs="仿宋"/>
          <w:color w:val="auto"/>
          <w:sz w:val="32"/>
          <w:szCs w:val="32"/>
          <w:highlight w:val="none"/>
          <w:lang w:eastAsia="zh-CN"/>
        </w:rPr>
        <w:t>lx</w:t>
      </w:r>
      <w:r>
        <w:rPr>
          <w:rFonts w:hint="eastAsia" w:ascii="仿宋" w:hAnsi="仿宋" w:eastAsia="仿宋" w:cs="仿宋"/>
          <w:color w:val="auto"/>
          <w:sz w:val="32"/>
          <w:szCs w:val="32"/>
          <w:highlight w:val="none"/>
        </w:rPr>
        <w:t>）维持值不低于</w:t>
      </w: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lx。</w:t>
      </w:r>
    </w:p>
    <w:p>
      <w:pPr>
        <w:pageBreakBefore w:val="0"/>
        <w:kinsoku/>
        <w:wordWrap/>
        <w:overflowPunct/>
        <w:topLinePunct w:val="0"/>
        <w:autoSpaceDE/>
        <w:autoSpaceDN/>
        <w:bidi w:val="0"/>
        <w:spacing w:line="57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b w:val="0"/>
          <w:bCs w:val="0"/>
          <w:color w:val="auto"/>
          <w:kern w:val="2"/>
          <w:sz w:val="32"/>
          <w:szCs w:val="32"/>
          <w:highlight w:val="none"/>
          <w:lang w:val="en-US" w:eastAsia="zh-CN" w:bidi="ar-SA"/>
        </w:rPr>
        <w:t>2）</w:t>
      </w:r>
      <w:r>
        <w:rPr>
          <w:rFonts w:hint="eastAsia" w:ascii="仿宋" w:hAnsi="仿宋" w:eastAsia="仿宋" w:cs="仿宋"/>
          <w:color w:val="auto"/>
          <w:sz w:val="32"/>
          <w:szCs w:val="32"/>
          <w:highlight w:val="none"/>
        </w:rPr>
        <w:t>路面最小照度Emin（</w:t>
      </w:r>
      <w:r>
        <w:rPr>
          <w:rFonts w:hint="eastAsia" w:ascii="仿宋" w:hAnsi="仿宋" w:eastAsia="仿宋" w:cs="仿宋"/>
          <w:color w:val="auto"/>
          <w:sz w:val="32"/>
          <w:szCs w:val="32"/>
          <w:highlight w:val="none"/>
          <w:lang w:eastAsia="zh-CN"/>
        </w:rPr>
        <w:t>lx</w:t>
      </w:r>
      <w:r>
        <w:rPr>
          <w:rFonts w:hint="eastAsia" w:ascii="仿宋" w:hAnsi="仿宋" w:eastAsia="仿宋" w:cs="仿宋"/>
          <w:color w:val="auto"/>
          <w:sz w:val="32"/>
          <w:szCs w:val="32"/>
          <w:highlight w:val="none"/>
        </w:rPr>
        <w:t>）维持值不低于1</w:t>
      </w:r>
      <w:r>
        <w:rPr>
          <w:rFonts w:hint="eastAsia" w:ascii="仿宋" w:hAnsi="仿宋" w:eastAsia="仿宋" w:cs="仿宋"/>
          <w:color w:val="auto"/>
          <w:sz w:val="32"/>
          <w:szCs w:val="32"/>
          <w:highlight w:val="none"/>
          <w:lang w:eastAsia="zh-CN"/>
        </w:rPr>
        <w:t>lx。</w:t>
      </w:r>
    </w:p>
    <w:sectPr>
      <w:headerReference r:id="rId5" w:type="default"/>
      <w:footerReference r:id="rId6" w:type="default"/>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B01DC3-D7C0-4D58-A285-DB8231EA97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00000001" w:usb1="080E0000" w:usb2="00000000" w:usb3="00000000" w:csb0="00040000" w:csb1="00000000"/>
    <w:embedRegular r:id="rId2" w:fontKey="{D1F7B55C-1EB1-4165-BCCD-ABA9E05D85A8}"/>
  </w:font>
  <w:font w:name="仿宋">
    <w:panose1 w:val="02010609060101010101"/>
    <w:charset w:val="86"/>
    <w:family w:val="modern"/>
    <w:pitch w:val="default"/>
    <w:sig w:usb0="800002BF" w:usb1="38CF7CFA" w:usb2="00000016" w:usb3="00000000" w:csb0="00040001" w:csb1="00000000"/>
    <w:embedRegular r:id="rId3" w:fontKey="{861D6A51-8A19-4470-81E9-BECD150FF4E3}"/>
  </w:font>
  <w:font w:name="楷体">
    <w:panose1 w:val="02010609060101010101"/>
    <w:charset w:val="86"/>
    <w:family w:val="auto"/>
    <w:pitch w:val="default"/>
    <w:sig w:usb0="800002BF" w:usb1="38CF7CFA" w:usb2="00000016" w:usb3="00000000" w:csb0="00040001" w:csb1="00000000"/>
    <w:embedRegular r:id="rId4" w:fontKey="{C529C2F3-A117-4DAB-B479-C7877D5D1AD4}"/>
  </w:font>
  <w:font w:name="楷体_GB2312">
    <w:panose1 w:val="02010609030101010101"/>
    <w:charset w:val="86"/>
    <w:family w:val="modern"/>
    <w:pitch w:val="default"/>
    <w:sig w:usb0="00000001" w:usb1="080E0000" w:usb2="00000000" w:usb3="00000000" w:csb0="00040000" w:csb1="00000000"/>
    <w:embedRegular r:id="rId5" w:fontKey="{79733671-2963-46F3-8D82-FACE0600D2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ascii="楷体_GB2312" w:eastAsia="楷体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ascii="楷体_GB2312" w:eastAsia="楷体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13D3A8"/>
    <w:multiLevelType w:val="singleLevel"/>
    <w:tmpl w:val="5A13D3A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Nzg5MmMwODJmYzMxMmYwNGQ1NWNhZmFiYjdjZmQifQ=="/>
  </w:docVars>
  <w:rsids>
    <w:rsidRoot w:val="00000000"/>
    <w:rsid w:val="003414DC"/>
    <w:rsid w:val="003532FE"/>
    <w:rsid w:val="005D4603"/>
    <w:rsid w:val="00BE7797"/>
    <w:rsid w:val="010F7FF3"/>
    <w:rsid w:val="01687703"/>
    <w:rsid w:val="018F2EE2"/>
    <w:rsid w:val="02570B78"/>
    <w:rsid w:val="02776F03"/>
    <w:rsid w:val="03E4061E"/>
    <w:rsid w:val="03F60FF6"/>
    <w:rsid w:val="03F92894"/>
    <w:rsid w:val="04131BA8"/>
    <w:rsid w:val="04446A16"/>
    <w:rsid w:val="04A647CA"/>
    <w:rsid w:val="04B86203"/>
    <w:rsid w:val="04DD561A"/>
    <w:rsid w:val="04E625DC"/>
    <w:rsid w:val="054D158E"/>
    <w:rsid w:val="05CD4600"/>
    <w:rsid w:val="05FD177C"/>
    <w:rsid w:val="061D6D0E"/>
    <w:rsid w:val="066C1A43"/>
    <w:rsid w:val="06CF44DE"/>
    <w:rsid w:val="07354626"/>
    <w:rsid w:val="07797F74"/>
    <w:rsid w:val="07941499"/>
    <w:rsid w:val="08093205"/>
    <w:rsid w:val="087C2D10"/>
    <w:rsid w:val="089C4EBD"/>
    <w:rsid w:val="09065336"/>
    <w:rsid w:val="09436A8B"/>
    <w:rsid w:val="09651C5D"/>
    <w:rsid w:val="09DA6CC4"/>
    <w:rsid w:val="0A20096D"/>
    <w:rsid w:val="0A670558"/>
    <w:rsid w:val="0B1C3A38"/>
    <w:rsid w:val="0B517254"/>
    <w:rsid w:val="0BBA6DAD"/>
    <w:rsid w:val="0BCB2D68"/>
    <w:rsid w:val="0BDA11FD"/>
    <w:rsid w:val="0C605BA6"/>
    <w:rsid w:val="0C6579EB"/>
    <w:rsid w:val="0CDF1AF8"/>
    <w:rsid w:val="0E0F3F27"/>
    <w:rsid w:val="0E176D61"/>
    <w:rsid w:val="0E2A021A"/>
    <w:rsid w:val="105C48D7"/>
    <w:rsid w:val="106A0390"/>
    <w:rsid w:val="1074577C"/>
    <w:rsid w:val="109B245A"/>
    <w:rsid w:val="112E1DCF"/>
    <w:rsid w:val="11551A52"/>
    <w:rsid w:val="121511E1"/>
    <w:rsid w:val="12E15D3D"/>
    <w:rsid w:val="132F62D2"/>
    <w:rsid w:val="13CA1DA5"/>
    <w:rsid w:val="14185F29"/>
    <w:rsid w:val="149D660B"/>
    <w:rsid w:val="14AB67E0"/>
    <w:rsid w:val="14EB6F88"/>
    <w:rsid w:val="150F3338"/>
    <w:rsid w:val="1529100F"/>
    <w:rsid w:val="15746EC9"/>
    <w:rsid w:val="158E4CE2"/>
    <w:rsid w:val="159E329B"/>
    <w:rsid w:val="15C51073"/>
    <w:rsid w:val="15C70470"/>
    <w:rsid w:val="15DF77DA"/>
    <w:rsid w:val="162F216F"/>
    <w:rsid w:val="16E07632"/>
    <w:rsid w:val="16E51918"/>
    <w:rsid w:val="18031295"/>
    <w:rsid w:val="18D23988"/>
    <w:rsid w:val="198426F9"/>
    <w:rsid w:val="19A075E2"/>
    <w:rsid w:val="19C754F3"/>
    <w:rsid w:val="1A700008"/>
    <w:rsid w:val="1AB837C9"/>
    <w:rsid w:val="1BA44CF9"/>
    <w:rsid w:val="1C0F32C0"/>
    <w:rsid w:val="1CA8588C"/>
    <w:rsid w:val="1CDA72AF"/>
    <w:rsid w:val="1D484219"/>
    <w:rsid w:val="1D6F0DE6"/>
    <w:rsid w:val="1D9236A8"/>
    <w:rsid w:val="1E094CF0"/>
    <w:rsid w:val="1EA46497"/>
    <w:rsid w:val="1F182C4F"/>
    <w:rsid w:val="1F4A7DF5"/>
    <w:rsid w:val="1FAA11BB"/>
    <w:rsid w:val="20027566"/>
    <w:rsid w:val="20CC6578"/>
    <w:rsid w:val="21494A03"/>
    <w:rsid w:val="218B0B78"/>
    <w:rsid w:val="22635651"/>
    <w:rsid w:val="231A4890"/>
    <w:rsid w:val="239D4B92"/>
    <w:rsid w:val="23D42CAA"/>
    <w:rsid w:val="24656762"/>
    <w:rsid w:val="2498617F"/>
    <w:rsid w:val="24BB5C18"/>
    <w:rsid w:val="25341526"/>
    <w:rsid w:val="25713950"/>
    <w:rsid w:val="285445B3"/>
    <w:rsid w:val="29552687"/>
    <w:rsid w:val="295F5B00"/>
    <w:rsid w:val="2A3407E7"/>
    <w:rsid w:val="2A782A22"/>
    <w:rsid w:val="2A8926D9"/>
    <w:rsid w:val="2C934D84"/>
    <w:rsid w:val="2CB62687"/>
    <w:rsid w:val="2CF00429"/>
    <w:rsid w:val="2DCF0F58"/>
    <w:rsid w:val="2E7768B0"/>
    <w:rsid w:val="302729DB"/>
    <w:rsid w:val="304C1E1A"/>
    <w:rsid w:val="306C7FCD"/>
    <w:rsid w:val="30FC66FB"/>
    <w:rsid w:val="31100D0A"/>
    <w:rsid w:val="31532D34"/>
    <w:rsid w:val="31557F29"/>
    <w:rsid w:val="31D10276"/>
    <w:rsid w:val="32702331"/>
    <w:rsid w:val="32794A1C"/>
    <w:rsid w:val="32CE6BF6"/>
    <w:rsid w:val="33242BDA"/>
    <w:rsid w:val="334721B0"/>
    <w:rsid w:val="33D939C5"/>
    <w:rsid w:val="34193469"/>
    <w:rsid w:val="34567FB6"/>
    <w:rsid w:val="34B306BA"/>
    <w:rsid w:val="34C935CD"/>
    <w:rsid w:val="35053BB6"/>
    <w:rsid w:val="369467D6"/>
    <w:rsid w:val="36C33119"/>
    <w:rsid w:val="377134A2"/>
    <w:rsid w:val="37C2450E"/>
    <w:rsid w:val="38060B00"/>
    <w:rsid w:val="38A94C7C"/>
    <w:rsid w:val="38DD3F57"/>
    <w:rsid w:val="38E90BED"/>
    <w:rsid w:val="38FD0A0F"/>
    <w:rsid w:val="3917449C"/>
    <w:rsid w:val="393A6FB3"/>
    <w:rsid w:val="3A35391F"/>
    <w:rsid w:val="3A3F00D0"/>
    <w:rsid w:val="3B393D0B"/>
    <w:rsid w:val="3B5B4297"/>
    <w:rsid w:val="3C3B0E04"/>
    <w:rsid w:val="3C414336"/>
    <w:rsid w:val="3CBA1C3E"/>
    <w:rsid w:val="3CD218F9"/>
    <w:rsid w:val="3D346BCE"/>
    <w:rsid w:val="3DBF1E7D"/>
    <w:rsid w:val="3E8B6203"/>
    <w:rsid w:val="3ED74FA5"/>
    <w:rsid w:val="3EFE6FA3"/>
    <w:rsid w:val="3F665F5C"/>
    <w:rsid w:val="3F7B3080"/>
    <w:rsid w:val="3F9133A5"/>
    <w:rsid w:val="3FC1012F"/>
    <w:rsid w:val="40714F85"/>
    <w:rsid w:val="4125649B"/>
    <w:rsid w:val="414139C3"/>
    <w:rsid w:val="423050F8"/>
    <w:rsid w:val="43500413"/>
    <w:rsid w:val="43E4720E"/>
    <w:rsid w:val="447150B9"/>
    <w:rsid w:val="46401681"/>
    <w:rsid w:val="46A20DF5"/>
    <w:rsid w:val="47EB1ADB"/>
    <w:rsid w:val="481B38FC"/>
    <w:rsid w:val="48DA2C66"/>
    <w:rsid w:val="48E60857"/>
    <w:rsid w:val="48F172D6"/>
    <w:rsid w:val="49382AE4"/>
    <w:rsid w:val="49845936"/>
    <w:rsid w:val="498D72DE"/>
    <w:rsid w:val="4B141BD8"/>
    <w:rsid w:val="4B1664ED"/>
    <w:rsid w:val="4B2477C4"/>
    <w:rsid w:val="4B6B7E57"/>
    <w:rsid w:val="4B8A537A"/>
    <w:rsid w:val="4C1E4E6F"/>
    <w:rsid w:val="4CCE3E8B"/>
    <w:rsid w:val="4DC813F1"/>
    <w:rsid w:val="4E281379"/>
    <w:rsid w:val="4F493C9D"/>
    <w:rsid w:val="4F5C0368"/>
    <w:rsid w:val="50785A9F"/>
    <w:rsid w:val="50CD4459"/>
    <w:rsid w:val="51001A36"/>
    <w:rsid w:val="510065DD"/>
    <w:rsid w:val="51227160"/>
    <w:rsid w:val="530C74BB"/>
    <w:rsid w:val="540957A8"/>
    <w:rsid w:val="547E6196"/>
    <w:rsid w:val="54957056"/>
    <w:rsid w:val="550D751A"/>
    <w:rsid w:val="55255538"/>
    <w:rsid w:val="55D3606E"/>
    <w:rsid w:val="55D6652D"/>
    <w:rsid w:val="56244B1C"/>
    <w:rsid w:val="562465E2"/>
    <w:rsid w:val="566000ED"/>
    <w:rsid w:val="57234DD3"/>
    <w:rsid w:val="575E41E0"/>
    <w:rsid w:val="57630724"/>
    <w:rsid w:val="57672F12"/>
    <w:rsid w:val="580A3E39"/>
    <w:rsid w:val="5A384AEE"/>
    <w:rsid w:val="5A636BCF"/>
    <w:rsid w:val="5A7D66B3"/>
    <w:rsid w:val="5B3E042E"/>
    <w:rsid w:val="5B483D8E"/>
    <w:rsid w:val="5B5B3D34"/>
    <w:rsid w:val="5BAF4E87"/>
    <w:rsid w:val="5BFC5BF3"/>
    <w:rsid w:val="5CBA7F88"/>
    <w:rsid w:val="5D4A165E"/>
    <w:rsid w:val="5D635015"/>
    <w:rsid w:val="5D9D79EF"/>
    <w:rsid w:val="5E591D49"/>
    <w:rsid w:val="5EE10887"/>
    <w:rsid w:val="5F70492E"/>
    <w:rsid w:val="605D1356"/>
    <w:rsid w:val="60B116A2"/>
    <w:rsid w:val="611A32C1"/>
    <w:rsid w:val="613C4017"/>
    <w:rsid w:val="61CE6974"/>
    <w:rsid w:val="622A34BA"/>
    <w:rsid w:val="624E4179"/>
    <w:rsid w:val="6267026A"/>
    <w:rsid w:val="62FA152C"/>
    <w:rsid w:val="634A1A92"/>
    <w:rsid w:val="639A2453"/>
    <w:rsid w:val="63FC456F"/>
    <w:rsid w:val="64151F48"/>
    <w:rsid w:val="65200BA4"/>
    <w:rsid w:val="65A2780B"/>
    <w:rsid w:val="66940E62"/>
    <w:rsid w:val="66CA0DC7"/>
    <w:rsid w:val="674A1F19"/>
    <w:rsid w:val="676E3E49"/>
    <w:rsid w:val="67AF66FB"/>
    <w:rsid w:val="68F043A2"/>
    <w:rsid w:val="69166546"/>
    <w:rsid w:val="6931512E"/>
    <w:rsid w:val="69C53AC8"/>
    <w:rsid w:val="6A425119"/>
    <w:rsid w:val="6A7F636D"/>
    <w:rsid w:val="6B07334F"/>
    <w:rsid w:val="6B9526A7"/>
    <w:rsid w:val="6BC009EB"/>
    <w:rsid w:val="6BC920B8"/>
    <w:rsid w:val="6CAB51F7"/>
    <w:rsid w:val="6CEE1C2C"/>
    <w:rsid w:val="6E1D2124"/>
    <w:rsid w:val="6F557BD7"/>
    <w:rsid w:val="6F675D4D"/>
    <w:rsid w:val="6FA63FD2"/>
    <w:rsid w:val="70875F7B"/>
    <w:rsid w:val="711B38F2"/>
    <w:rsid w:val="714D3C90"/>
    <w:rsid w:val="718F3339"/>
    <w:rsid w:val="71926986"/>
    <w:rsid w:val="721E646B"/>
    <w:rsid w:val="72300AB1"/>
    <w:rsid w:val="723E07BF"/>
    <w:rsid w:val="72732416"/>
    <w:rsid w:val="729C2CCE"/>
    <w:rsid w:val="72AC32C3"/>
    <w:rsid w:val="72CF4231"/>
    <w:rsid w:val="73AD7AA7"/>
    <w:rsid w:val="73AF035B"/>
    <w:rsid w:val="73C372CA"/>
    <w:rsid w:val="748D533D"/>
    <w:rsid w:val="74CE23CA"/>
    <w:rsid w:val="74F3598D"/>
    <w:rsid w:val="750E27C7"/>
    <w:rsid w:val="75815E9A"/>
    <w:rsid w:val="759039A5"/>
    <w:rsid w:val="75EB0F1B"/>
    <w:rsid w:val="768D0DFC"/>
    <w:rsid w:val="76971C64"/>
    <w:rsid w:val="76A84E99"/>
    <w:rsid w:val="773D616F"/>
    <w:rsid w:val="77C27899"/>
    <w:rsid w:val="780C63D5"/>
    <w:rsid w:val="78331707"/>
    <w:rsid w:val="78BB4144"/>
    <w:rsid w:val="793061B9"/>
    <w:rsid w:val="79D7762B"/>
    <w:rsid w:val="79F44686"/>
    <w:rsid w:val="7A0F3269"/>
    <w:rsid w:val="7A1470EB"/>
    <w:rsid w:val="7AE709F8"/>
    <w:rsid w:val="7D096B1B"/>
    <w:rsid w:val="7D2206CA"/>
    <w:rsid w:val="7D364FB1"/>
    <w:rsid w:val="7D380D29"/>
    <w:rsid w:val="7D625DA6"/>
    <w:rsid w:val="7E4C610E"/>
    <w:rsid w:val="7E860AEC"/>
    <w:rsid w:val="7EA424F8"/>
    <w:rsid w:val="7F252BFD"/>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99"/>
    <w:pPr>
      <w:keepNext/>
      <w:keepLines/>
      <w:spacing w:before="260" w:beforeLines="0" w:after="260" w:afterLines="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0" w:after="20" w:line="360" w:lineRule="auto"/>
      <w:ind w:left="200" w:leftChars="200" w:right="100" w:rightChars="100"/>
      <w:jc w:val="left"/>
      <w:outlineLvl w:val="2"/>
    </w:pPr>
    <w:rPr>
      <w:rFonts w:hAnsi="黑体" w:eastAsia="黑体"/>
      <w:b/>
      <w:sz w:val="28"/>
      <w:szCs w:val="20"/>
    </w:rPr>
  </w:style>
  <w:style w:type="paragraph" w:styleId="5">
    <w:name w:val="heading 5"/>
    <w:basedOn w:val="1"/>
    <w:next w:val="1"/>
    <w:qFormat/>
    <w:uiPriority w:val="0"/>
    <w:pPr>
      <w:keepNext/>
      <w:keepLines/>
      <w:spacing w:before="280" w:after="290" w:line="376" w:lineRule="auto"/>
      <w:outlineLvl w:val="4"/>
    </w:pPr>
    <w:rPr>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szCs w:val="20"/>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szCs w:val="20"/>
    </w:rPr>
  </w:style>
  <w:style w:type="paragraph" w:customStyle="1" w:styleId="10">
    <w:name w:val="_Style 2"/>
    <w:basedOn w:val="1"/>
    <w:qFormat/>
    <w:uiPriority w:val="0"/>
    <w:pPr>
      <w:spacing w:after="0" w:afterLines="0" w:line="240" w:lineRule="auto"/>
    </w:pPr>
  </w:style>
  <w:style w:type="paragraph" w:customStyle="1" w:styleId="11">
    <w:name w:val="_Style 3"/>
    <w:basedOn w:val="1"/>
    <w:qFormat/>
    <w:uiPriority w:val="0"/>
    <w:pPr>
      <w:adjustRightInd w:val="0"/>
      <w:snapToGrid w:val="0"/>
      <w:spacing w:line="288" w:lineRule="auto"/>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6976</Words>
  <Characters>8052</Characters>
  <Lines>0</Lines>
  <Paragraphs>0</Paragraphs>
  <TotalTime>16</TotalTime>
  <ScaleCrop>false</ScaleCrop>
  <LinksUpToDate>false</LinksUpToDate>
  <CharactersWithSpaces>8261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2022-03-03T05:37:00Z</dcterms:created>
  <dc:creator>Administrator</dc:creator>
  <cp:lastModifiedBy>柳公子</cp:lastModifiedBy>
  <cp:lastPrinted>2023-09-07T03:10:00Z</cp:lastPrinted>
  <dcterms:modified xsi:type="dcterms:W3CDTF">2023-09-07T03:20:37Z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12F2DE1E6B1E490FAD4088627067694B_13</vt:lpwstr>
  </property>
</Properties>
</file>