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156" w:after="468" w:line="480" w:lineRule="auto"/>
        <w:textAlignment w:val="auto"/>
        <w:rPr>
          <w:rFonts w:hint="eastAsia" w:ascii="方正小标宋简体" w:hAnsi="方正小标宋简体" w:eastAsia="方正小标宋简体" w:cs="方正小标宋简体"/>
          <w:sz w:val="52"/>
          <w:szCs w:val="52"/>
          <w:lang w:val="en-US" w:eastAsia="zh-CN"/>
        </w:rPr>
      </w:pPr>
      <w:bookmarkStart w:id="0" w:name="_Toc32412_WPSOffice_Level1"/>
      <w:r>
        <w:rPr>
          <w:rFonts w:hint="eastAsia" w:ascii="方正小标宋简体" w:hAnsi="方正小标宋简体" w:eastAsia="方正小标宋简体" w:cs="方正小标宋简体"/>
          <w:sz w:val="52"/>
          <w:szCs w:val="52"/>
          <w:lang w:val="en-US" w:eastAsia="zh-CN"/>
        </w:rPr>
        <w:t>火车站南广场南侧地块景观照明</w:t>
      </w:r>
    </w:p>
    <w:p>
      <w:pPr>
        <w:pStyle w:val="2"/>
        <w:keepNext/>
        <w:keepLines/>
        <w:pageBreakBefore w:val="0"/>
        <w:widowControl w:val="0"/>
        <w:kinsoku/>
        <w:wordWrap/>
        <w:overflowPunct/>
        <w:topLinePunct w:val="0"/>
        <w:autoSpaceDE/>
        <w:autoSpaceDN/>
        <w:bidi w:val="0"/>
        <w:adjustRightInd/>
        <w:snapToGrid/>
        <w:spacing w:before="156" w:after="468" w:line="480" w:lineRule="auto"/>
        <w:textAlignment w:val="auto"/>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lang w:val="en-US" w:eastAsia="zh-CN"/>
        </w:rPr>
        <w:t>工程灯具</w:t>
      </w:r>
      <w:r>
        <w:rPr>
          <w:rFonts w:hint="eastAsia" w:ascii="方正小标宋简体" w:hAnsi="方正小标宋简体" w:eastAsia="方正小标宋简体" w:cs="方正小标宋简体"/>
          <w:sz w:val="52"/>
          <w:szCs w:val="52"/>
        </w:rPr>
        <w:t>技术文件</w:t>
      </w:r>
    </w:p>
    <w:bookmarkEnd w:id="0"/>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清单</w:t>
      </w:r>
    </w:p>
    <w:tbl>
      <w:tblPr>
        <w:tblStyle w:val="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4389"/>
        <w:gridCol w:w="917"/>
        <w:gridCol w:w="680"/>
        <w:gridCol w:w="868"/>
        <w:gridCol w:w="1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blHeader/>
          <w:jc w:val="center"/>
        </w:trPr>
        <w:tc>
          <w:tcPr>
            <w:tcW w:w="706" w:type="dxa"/>
            <w:tcBorders>
              <w:tl2br w:val="nil"/>
              <w:tr2bl w:val="nil"/>
            </w:tcBorders>
            <w:shd w:val="clear" w:color="auto" w:fill="F1F1F1" w:themeFill="background1" w:themeFillShade="F2"/>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0"/>
                <w:sz w:val="32"/>
                <w:szCs w:val="32"/>
              </w:rPr>
              <w:t>序号</w:t>
            </w:r>
          </w:p>
        </w:tc>
        <w:tc>
          <w:tcPr>
            <w:tcW w:w="4389" w:type="dxa"/>
            <w:tcBorders>
              <w:tl2br w:val="nil"/>
              <w:tr2bl w:val="nil"/>
            </w:tcBorders>
            <w:shd w:val="clear" w:color="auto" w:fill="F1F1F1" w:themeFill="background1" w:themeFillShade="F2"/>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0"/>
                <w:sz w:val="32"/>
                <w:szCs w:val="32"/>
              </w:rPr>
              <w:t>名称</w:t>
            </w:r>
          </w:p>
        </w:tc>
        <w:tc>
          <w:tcPr>
            <w:tcW w:w="917" w:type="dxa"/>
            <w:tcBorders>
              <w:tl2br w:val="nil"/>
              <w:tr2bl w:val="nil"/>
            </w:tcBorders>
            <w:shd w:val="clear" w:color="auto" w:fill="F1F1F1" w:themeFill="background1" w:themeFillShade="F2"/>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lang w:eastAsia="zh-CN"/>
              </w:rPr>
            </w:pPr>
            <w:r>
              <w:rPr>
                <w:rFonts w:hint="eastAsia" w:ascii="仿宋_GB2312" w:hAnsi="仿宋_GB2312" w:eastAsia="仿宋_GB2312" w:cs="仿宋_GB2312"/>
                <w:b/>
                <w:bCs/>
                <w:color w:val="auto"/>
                <w:kern w:val="0"/>
                <w:sz w:val="32"/>
                <w:szCs w:val="32"/>
                <w:lang w:eastAsia="zh-CN"/>
              </w:rPr>
              <w:t>数量</w:t>
            </w:r>
          </w:p>
        </w:tc>
        <w:tc>
          <w:tcPr>
            <w:tcW w:w="680" w:type="dxa"/>
            <w:tcBorders>
              <w:tl2br w:val="nil"/>
              <w:tr2bl w:val="nil"/>
            </w:tcBorders>
            <w:shd w:val="clear" w:color="auto" w:fill="F1F1F1" w:themeFill="background1" w:themeFillShade="F2"/>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0"/>
                <w:sz w:val="32"/>
                <w:szCs w:val="32"/>
              </w:rPr>
              <w:t>单位</w:t>
            </w:r>
          </w:p>
        </w:tc>
        <w:tc>
          <w:tcPr>
            <w:tcW w:w="868" w:type="dxa"/>
            <w:tcBorders>
              <w:tl2br w:val="nil"/>
              <w:tr2bl w:val="nil"/>
            </w:tcBorders>
            <w:shd w:val="clear" w:color="auto" w:fill="F1F1F1" w:themeFill="background1" w:themeFillShade="F2"/>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lang w:val="en-US" w:eastAsia="zh-CN"/>
              </w:rPr>
            </w:pPr>
            <w:r>
              <w:rPr>
                <w:rFonts w:hint="eastAsia" w:ascii="仿宋_GB2312" w:hAnsi="仿宋_GB2312" w:eastAsia="仿宋_GB2312" w:cs="仿宋_GB2312"/>
                <w:b/>
                <w:bCs/>
                <w:color w:val="auto"/>
                <w:kern w:val="0"/>
                <w:sz w:val="32"/>
                <w:szCs w:val="32"/>
                <w:lang w:val="en-US" w:eastAsia="zh-CN"/>
              </w:rPr>
              <w:t>防水要求</w:t>
            </w:r>
          </w:p>
        </w:tc>
        <w:tc>
          <w:tcPr>
            <w:tcW w:w="1991" w:type="dxa"/>
            <w:tcBorders>
              <w:tl2br w:val="nil"/>
              <w:tr2bl w:val="nil"/>
            </w:tcBorders>
            <w:shd w:val="clear" w:color="auto" w:fill="F1F1F1" w:themeFill="background1" w:themeFillShade="F2"/>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rPr>
              <w:t>编码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6" w:type="dxa"/>
            <w:tcBorders>
              <w:tl2br w:val="nil"/>
              <w:tr2bl w:val="nil"/>
            </w:tcBorders>
            <w:shd w:val="clear" w:color="auto" w:fill="auto"/>
            <w:vAlign w:val="center"/>
          </w:tcPr>
          <w:p>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w:t>
            </w:r>
          </w:p>
        </w:tc>
        <w:tc>
          <w:tcPr>
            <w:tcW w:w="4389" w:type="dxa"/>
            <w:tcBorders>
              <w:tl2br w:val="nil"/>
              <w:tr2bl w:val="nil"/>
            </w:tcBorders>
            <w:shd w:val="clear" w:color="auto" w:fill="auto"/>
            <w:vAlign w:val="center"/>
          </w:tcPr>
          <w:p>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1W LED嵌入式点光源</w:t>
            </w:r>
          </w:p>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（4000K±100K）</w:t>
            </w:r>
          </w:p>
        </w:tc>
        <w:tc>
          <w:tcPr>
            <w:tcW w:w="9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spacing w:line="560" w:lineRule="exact"/>
              <w:jc w:val="center"/>
              <w:textAlignment w:val="center"/>
              <w:rPr>
                <w:rFonts w:hint="default" w:ascii="仿宋_GB2312" w:hAnsi="仿宋_GB2312" w:eastAsia="仿宋_GB2312" w:cs="仿宋_GB2312"/>
                <w:color w:val="FF0000"/>
                <w:kern w:val="0"/>
                <w:sz w:val="32"/>
                <w:szCs w:val="32"/>
                <w:highlight w:val="yellow"/>
                <w:lang w:val="en-US" w:eastAsia="zh-CN"/>
              </w:rPr>
            </w:pPr>
            <w:r>
              <w:rPr>
                <w:rFonts w:hint="eastAsia" w:ascii="仿宋_GB2312" w:hAnsi="仿宋_GB2312" w:eastAsia="仿宋_GB2312" w:cs="仿宋_GB2312"/>
                <w:color w:val="auto"/>
                <w:kern w:val="0"/>
                <w:sz w:val="32"/>
                <w:szCs w:val="32"/>
                <w:highlight w:val="none"/>
                <w:lang w:val="en-US" w:eastAsia="zh-CN"/>
              </w:rPr>
              <w:t>15</w:t>
            </w:r>
          </w:p>
        </w:tc>
        <w:tc>
          <w:tcPr>
            <w:tcW w:w="680" w:type="dxa"/>
            <w:tcBorders>
              <w:tl2br w:val="nil"/>
              <w:tr2bl w:val="nil"/>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套</w:t>
            </w:r>
          </w:p>
        </w:tc>
        <w:tc>
          <w:tcPr>
            <w:tcW w:w="868" w:type="dxa"/>
            <w:tcBorders>
              <w:tl2br w:val="nil"/>
              <w:tr2bl w:val="nil"/>
            </w:tcBorders>
            <w:vAlign w:val="center"/>
          </w:tcPr>
          <w:p>
            <w:pPr>
              <w:pageBreakBefore w:val="0"/>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IP65</w:t>
            </w:r>
          </w:p>
        </w:tc>
        <w:tc>
          <w:tcPr>
            <w:tcW w:w="1991" w:type="dxa"/>
            <w:tcBorders>
              <w:tl2br w:val="nil"/>
              <w:tr2bl w:val="nil"/>
            </w:tcBorders>
            <w:vAlign w:val="center"/>
          </w:tcPr>
          <w:p>
            <w:pPr>
              <w:pageBreakBefore w:val="0"/>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0201150140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6" w:type="dxa"/>
            <w:tcBorders>
              <w:tl2br w:val="nil"/>
              <w:tr2bl w:val="nil"/>
            </w:tcBorders>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rPr>
              <w:t>2</w:t>
            </w:r>
          </w:p>
        </w:tc>
        <w:tc>
          <w:tcPr>
            <w:tcW w:w="4389" w:type="dxa"/>
            <w:tcBorders>
              <w:tl2br w:val="nil"/>
              <w:tr2bl w:val="nil"/>
            </w:tcBorders>
            <w:shd w:val="clear" w:color="auto" w:fill="auto"/>
            <w:vAlign w:val="center"/>
          </w:tcPr>
          <w:p>
            <w:pPr>
              <w:pageBreakBefore w:val="0"/>
              <w:widowControl/>
              <w:kinsoku/>
              <w:wordWrap/>
              <w:overflowPunct/>
              <w:topLinePunct w:val="0"/>
              <w:bidi w:val="0"/>
              <w:spacing w:line="560" w:lineRule="exact"/>
              <w:jc w:val="center"/>
              <w:textAlignment w:val="top"/>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0.3W LED嵌入式点光源</w:t>
            </w:r>
          </w:p>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rPr>
              <w:t>（4000K±100K）</w:t>
            </w:r>
          </w:p>
        </w:tc>
        <w:tc>
          <w:tcPr>
            <w:tcW w:w="9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bidi w:val="0"/>
              <w:spacing w:line="560" w:lineRule="exact"/>
              <w:jc w:val="center"/>
              <w:textAlignment w:val="center"/>
              <w:rPr>
                <w:rFonts w:hint="default" w:ascii="仿宋_GB2312" w:hAnsi="仿宋_GB2312" w:eastAsia="仿宋_GB2312" w:cs="仿宋_GB2312"/>
                <w:color w:val="FF0000"/>
                <w:kern w:val="0"/>
                <w:sz w:val="32"/>
                <w:szCs w:val="32"/>
                <w:highlight w:val="yellow"/>
                <w:lang w:val="en-US" w:eastAsia="zh-CN" w:bidi="ar-SA"/>
              </w:rPr>
            </w:pPr>
            <w:r>
              <w:rPr>
                <w:rFonts w:hint="eastAsia" w:ascii="仿宋_GB2312" w:hAnsi="仿宋_GB2312" w:eastAsia="仿宋_GB2312" w:cs="仿宋_GB2312"/>
                <w:color w:val="auto"/>
                <w:kern w:val="0"/>
                <w:sz w:val="32"/>
                <w:szCs w:val="32"/>
                <w:highlight w:val="none"/>
                <w:lang w:val="en-US" w:eastAsia="zh-CN"/>
              </w:rPr>
              <w:t>45</w:t>
            </w:r>
          </w:p>
        </w:tc>
        <w:tc>
          <w:tcPr>
            <w:tcW w:w="680" w:type="dxa"/>
            <w:tcBorders>
              <w:tl2br w:val="nil"/>
              <w:tr2bl w:val="nil"/>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套</w:t>
            </w:r>
          </w:p>
        </w:tc>
        <w:tc>
          <w:tcPr>
            <w:tcW w:w="868" w:type="dxa"/>
            <w:tcBorders>
              <w:tl2br w:val="nil"/>
              <w:tr2bl w:val="nil"/>
            </w:tcBorders>
            <w:vAlign w:val="center"/>
          </w:tcPr>
          <w:p>
            <w:pPr>
              <w:pageBreakBefore w:val="0"/>
              <w:kinsoku/>
              <w:wordWrap/>
              <w:overflowPunct/>
              <w:topLinePunct w:val="0"/>
              <w:autoSpaceDE w:val="0"/>
              <w:autoSpaceDN w:val="0"/>
              <w:bidi w:val="0"/>
              <w:adjustRightInd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IP65</w:t>
            </w:r>
          </w:p>
        </w:tc>
        <w:tc>
          <w:tcPr>
            <w:tcW w:w="1991" w:type="dxa"/>
            <w:tcBorders>
              <w:tl2br w:val="nil"/>
              <w:tr2bl w:val="nil"/>
            </w:tcBorders>
            <w:vAlign w:val="center"/>
          </w:tcPr>
          <w:p>
            <w:pPr>
              <w:pageBreakBefore w:val="0"/>
              <w:kinsoku/>
              <w:wordWrap/>
              <w:overflowPunct/>
              <w:topLinePunct w:val="0"/>
              <w:autoSpaceDE w:val="0"/>
              <w:autoSpaceDN w:val="0"/>
              <w:bidi w:val="0"/>
              <w:adjustRightInd w:val="0"/>
              <w:spacing w:line="560" w:lineRule="exact"/>
              <w:jc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0201158440</w:t>
            </w:r>
          </w:p>
        </w:tc>
      </w:tr>
    </w:tbl>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ascii="仿宋_GB2312" w:hAnsi="仿宋_GB2312" w:eastAsia="仿宋_GB2312" w:cs="仿宋_GB2312"/>
          <w:b w:val="0"/>
          <w:bCs/>
          <w:kern w:val="0"/>
          <w:sz w:val="21"/>
          <w:szCs w:val="21"/>
          <w:lang w:val="en-US" w:eastAsia="zh-CN"/>
        </w:rPr>
      </w:pPr>
    </w:p>
    <w:p>
      <w:pPr>
        <w:rPr>
          <w:rFonts w:hint="eastAsia" w:ascii="仿宋_GB2312" w:hAnsi="仿宋_GB2312" w:eastAsia="仿宋_GB2312" w:cs="仿宋_GB2312"/>
          <w:b w:val="0"/>
          <w:bCs/>
          <w:kern w:val="0"/>
          <w:sz w:val="21"/>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投标须知</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常规要求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报价</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景观灯具报价含驱动电源、灯具安装完毕所需所有螺栓、螺帽、防松垫片（包括灯具自带螺栓和安装用螺栓），</w:t>
      </w:r>
      <w:r>
        <w:rPr>
          <w:rFonts w:hint="eastAsia" w:ascii="仿宋_GB2312" w:hAnsi="仿宋_GB2312" w:eastAsia="仿宋_GB2312" w:cs="仿宋_GB2312"/>
          <w:color w:val="auto"/>
          <w:sz w:val="32"/>
          <w:szCs w:val="32"/>
          <w:highlight w:val="none"/>
        </w:rPr>
        <w:t>具体的数量、型号、颜色等参数应当与</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提供的技术性文件一致或由</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审核确认。若由于缺失配件而无法满足现场安装条件所产生的额外安装、更换费用由</w:t>
      </w:r>
      <w:r>
        <w:rPr>
          <w:rFonts w:hint="eastAsia" w:ascii="仿宋_GB2312" w:hAnsi="仿宋_GB2312" w:eastAsia="仿宋_GB2312" w:cs="仿宋_GB2312"/>
          <w:color w:val="auto"/>
          <w:sz w:val="32"/>
          <w:szCs w:val="32"/>
          <w:highlight w:val="none"/>
          <w:lang w:val="en-US" w:eastAsia="zh-CN"/>
        </w:rPr>
        <w:t>中标单位</w:t>
      </w:r>
      <w:r>
        <w:rPr>
          <w:rFonts w:hint="eastAsia" w:ascii="仿宋_GB2312" w:hAnsi="仿宋_GB2312" w:eastAsia="仿宋_GB2312" w:cs="仿宋_GB2312"/>
          <w:color w:val="auto"/>
          <w:sz w:val="32"/>
          <w:szCs w:val="32"/>
          <w:highlight w:val="none"/>
        </w:rPr>
        <w:t>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灯与灯之间的电源</w:t>
      </w:r>
      <w:r>
        <w:rPr>
          <w:rFonts w:hint="eastAsia" w:ascii="仿宋_GB2312" w:hAnsi="仿宋_GB2312" w:eastAsia="仿宋_GB2312" w:cs="仿宋_GB2312"/>
          <w:color w:val="auto"/>
          <w:sz w:val="32"/>
          <w:szCs w:val="32"/>
          <w:highlight w:val="none"/>
          <w:lang w:val="en-US" w:eastAsia="zh-CN"/>
        </w:rPr>
        <w:t>插拔件、</w:t>
      </w:r>
      <w:r>
        <w:rPr>
          <w:rFonts w:hint="eastAsia" w:ascii="仿宋_GB2312" w:hAnsi="仿宋_GB2312" w:eastAsia="仿宋_GB2312" w:cs="仿宋_GB2312"/>
          <w:color w:val="auto"/>
          <w:sz w:val="32"/>
          <w:szCs w:val="32"/>
          <w:highlight w:val="none"/>
        </w:rPr>
        <w:t>连接线、延长线、公母头、三通等线缆及辅材由</w:t>
      </w:r>
      <w:r>
        <w:rPr>
          <w:rFonts w:hint="eastAsia" w:ascii="仿宋_GB2312" w:hAnsi="仿宋_GB2312" w:eastAsia="仿宋_GB2312" w:cs="仿宋_GB2312"/>
          <w:color w:val="auto"/>
          <w:sz w:val="32"/>
          <w:szCs w:val="32"/>
          <w:highlight w:val="none"/>
          <w:lang w:eastAsia="zh-CN"/>
        </w:rPr>
        <w:t>中标单位</w:t>
      </w:r>
      <w:r>
        <w:rPr>
          <w:rFonts w:hint="eastAsia" w:ascii="仿宋_GB2312" w:hAnsi="仿宋_GB2312" w:eastAsia="仿宋_GB2312" w:cs="仿宋_GB2312"/>
          <w:color w:val="auto"/>
          <w:sz w:val="32"/>
          <w:szCs w:val="32"/>
          <w:highlight w:val="none"/>
        </w:rPr>
        <w:t>提供，价格含在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具体规格和数量应当满足主采购合同中相应数量灯具的安装。若由于缺失辅材而无法满足现场安装条件所产生的额外安装、更换费用由</w:t>
      </w:r>
      <w:r>
        <w:rPr>
          <w:rFonts w:hint="eastAsia" w:ascii="仿宋_GB2312" w:hAnsi="仿宋_GB2312" w:eastAsia="仿宋_GB2312" w:cs="仿宋_GB2312"/>
          <w:color w:val="auto"/>
          <w:sz w:val="32"/>
          <w:szCs w:val="32"/>
          <w:highlight w:val="none"/>
          <w:lang w:val="en-US" w:eastAsia="zh-CN"/>
        </w:rPr>
        <w:t>中标单位</w:t>
      </w:r>
      <w:r>
        <w:rPr>
          <w:rFonts w:hint="eastAsia" w:ascii="仿宋_GB2312" w:hAnsi="仿宋_GB2312" w:eastAsia="仿宋_GB2312" w:cs="仿宋_GB2312"/>
          <w:color w:val="auto"/>
          <w:sz w:val="32"/>
          <w:szCs w:val="32"/>
          <w:highlight w:val="none"/>
        </w:rPr>
        <w:t>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灯具配置外置恒压驱动电源。报价中所指的驱动电源为：其功率在灯具总功率两倍范围以内的，且300W～350W的驱动电源占比超过70%。</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灯具效果调试等事宜的全部费用</w:t>
      </w:r>
      <w:r>
        <w:rPr>
          <w:rFonts w:hint="eastAsia" w:ascii="仿宋_GB2312" w:hAnsi="仿宋_GB2312" w:eastAsia="仿宋_GB2312" w:cs="仿宋_GB2312"/>
          <w:color w:val="auto"/>
          <w:sz w:val="32"/>
          <w:szCs w:val="32"/>
          <w:highlight w:val="none"/>
        </w:rPr>
        <w:t>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由于</w:t>
      </w:r>
      <w:r>
        <w:rPr>
          <w:rFonts w:hint="eastAsia" w:ascii="仿宋_GB2312" w:hAnsi="仿宋_GB2312" w:eastAsia="仿宋_GB2312" w:cs="仿宋_GB2312"/>
          <w:color w:val="auto"/>
          <w:sz w:val="32"/>
          <w:szCs w:val="32"/>
          <w:highlight w:val="none"/>
          <w:lang w:val="en-US" w:eastAsia="zh-CN"/>
        </w:rPr>
        <w:t>中标单位</w:t>
      </w:r>
      <w:r>
        <w:rPr>
          <w:rFonts w:hint="eastAsia" w:ascii="仿宋_GB2312" w:hAnsi="仿宋_GB2312" w:eastAsia="仿宋_GB2312" w:cs="仿宋_GB2312"/>
          <w:color w:val="auto"/>
          <w:sz w:val="32"/>
          <w:szCs w:val="32"/>
          <w:highlight w:val="none"/>
        </w:rPr>
        <w:t>的原因造成灯具</w:t>
      </w:r>
      <w:r>
        <w:rPr>
          <w:rFonts w:hint="eastAsia" w:ascii="仿宋_GB2312" w:hAnsi="仿宋_GB2312" w:eastAsia="仿宋_GB2312" w:cs="仿宋_GB2312"/>
          <w:color w:val="auto"/>
          <w:sz w:val="32"/>
          <w:szCs w:val="32"/>
          <w:highlight w:val="none"/>
          <w:lang w:eastAsia="zh-CN"/>
        </w:rPr>
        <w:t>及配件的质量、</w:t>
      </w:r>
      <w:r>
        <w:rPr>
          <w:rFonts w:hint="eastAsia" w:ascii="仿宋_GB2312" w:hAnsi="仿宋_GB2312" w:eastAsia="仿宋_GB2312" w:cs="仿宋_GB2312"/>
          <w:color w:val="auto"/>
          <w:sz w:val="32"/>
          <w:szCs w:val="32"/>
          <w:highlight w:val="none"/>
        </w:rPr>
        <w:t>效果不符合要求的，所产生的返工更换等全部费用含在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造成误工延期的，承担相应误工费用。</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报价包含运输至采购单位仓库</w:t>
      </w:r>
      <w:r>
        <w:rPr>
          <w:rFonts w:hint="eastAsia" w:ascii="仿宋_GB2312" w:hAnsi="仿宋_GB2312" w:eastAsia="仿宋_GB2312" w:cs="仿宋_GB2312"/>
          <w:color w:val="auto"/>
          <w:sz w:val="32"/>
          <w:szCs w:val="32"/>
          <w:highlight w:val="none"/>
          <w:lang w:val="en-US" w:eastAsia="zh-CN"/>
        </w:rPr>
        <w:t>或采购单位指定地点</w:t>
      </w:r>
      <w:r>
        <w:rPr>
          <w:rFonts w:hint="eastAsia" w:ascii="仿宋_GB2312" w:hAnsi="仿宋_GB2312" w:eastAsia="仿宋_GB2312" w:cs="仿宋_GB2312"/>
          <w:color w:val="auto"/>
          <w:sz w:val="32"/>
          <w:szCs w:val="32"/>
          <w:highlight w:val="none"/>
        </w:rPr>
        <w:t>入库检验的相关费用</w:t>
      </w:r>
      <w:r>
        <w:rPr>
          <w:rFonts w:hint="eastAsia" w:ascii="仿宋_GB2312" w:hAnsi="仿宋_GB2312" w:eastAsia="仿宋_GB2312" w:cs="仿宋_GB2312"/>
          <w:color w:val="auto"/>
          <w:sz w:val="32"/>
          <w:szCs w:val="32"/>
          <w:highlight w:val="none"/>
          <w:lang w:eastAsia="zh-CN"/>
        </w:rPr>
        <w:t>（包含</w:t>
      </w:r>
      <w:r>
        <w:rPr>
          <w:rFonts w:hint="eastAsia" w:ascii="仿宋_GB2312" w:hAnsi="仿宋_GB2312" w:eastAsia="仿宋_GB2312" w:cs="仿宋_GB2312"/>
          <w:color w:val="auto"/>
          <w:sz w:val="32"/>
          <w:szCs w:val="32"/>
          <w:highlight w:val="none"/>
          <w:lang w:val="en-US" w:eastAsia="zh-CN"/>
        </w:rPr>
        <w:t>一次</w:t>
      </w:r>
      <w:r>
        <w:rPr>
          <w:rFonts w:hint="eastAsia" w:ascii="仿宋_GB2312" w:hAnsi="仿宋_GB2312" w:eastAsia="仿宋_GB2312" w:cs="仿宋_GB2312"/>
          <w:color w:val="auto"/>
          <w:sz w:val="32"/>
          <w:szCs w:val="32"/>
          <w:highlight w:val="none"/>
          <w:lang w:eastAsia="zh-CN"/>
        </w:rPr>
        <w:t>装卸费用）</w:t>
      </w:r>
      <w:r>
        <w:rPr>
          <w:rFonts w:hint="eastAsia" w:ascii="仿宋_GB2312" w:hAnsi="仿宋_GB2312" w:eastAsia="仿宋_GB2312" w:cs="仿宋_GB2312"/>
          <w:color w:val="auto"/>
          <w:sz w:val="32"/>
          <w:szCs w:val="32"/>
          <w:highlight w:val="none"/>
        </w:rPr>
        <w:t>。在运输、装卸等环节，必须做好成品保护，确保货物完好无损。所有措施费用含在投标报价中。</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lang w:eastAsia="zh-CN"/>
        </w:rPr>
        <w:t>深化设计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中标单位应</w:t>
      </w:r>
      <w:r>
        <w:rPr>
          <w:rFonts w:hint="eastAsia" w:ascii="仿宋_GB2312" w:hAnsi="仿宋_GB2312" w:eastAsia="仿宋_GB2312" w:cs="仿宋_GB2312"/>
          <w:color w:val="auto"/>
          <w:sz w:val="32"/>
          <w:szCs w:val="32"/>
          <w:highlight w:val="none"/>
          <w:lang w:eastAsia="zh-CN"/>
        </w:rPr>
        <w:t>根据</w:t>
      </w:r>
      <w:r>
        <w:rPr>
          <w:rFonts w:hint="eastAsia" w:ascii="仿宋_GB2312" w:hAnsi="仿宋_GB2312" w:eastAsia="仿宋_GB2312" w:cs="仿宋_GB2312"/>
          <w:color w:val="auto"/>
          <w:sz w:val="32"/>
          <w:szCs w:val="32"/>
          <w:highlight w:val="none"/>
        </w:rPr>
        <w:t>采购单位提供</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相关资料深化设计，根据照明效果和施工图，深化</w:t>
      </w:r>
      <w:r>
        <w:rPr>
          <w:rFonts w:hint="eastAsia" w:ascii="仿宋_GB2312" w:hAnsi="仿宋_GB2312" w:eastAsia="仿宋_GB2312" w:cs="仿宋_GB2312"/>
          <w:color w:val="auto"/>
          <w:sz w:val="32"/>
          <w:szCs w:val="32"/>
          <w:highlight w:val="none"/>
          <w:lang w:val="en-US" w:eastAsia="zh-CN"/>
        </w:rPr>
        <w:t>灯具</w:t>
      </w:r>
      <w:r>
        <w:rPr>
          <w:rFonts w:hint="eastAsia" w:ascii="仿宋_GB2312" w:hAnsi="仿宋_GB2312" w:eastAsia="仿宋_GB2312" w:cs="仿宋_GB2312"/>
          <w:color w:val="auto"/>
          <w:sz w:val="32"/>
          <w:szCs w:val="32"/>
          <w:highlight w:val="none"/>
        </w:rPr>
        <w:t>安装方式</w:t>
      </w:r>
      <w:r>
        <w:rPr>
          <w:rFonts w:hint="eastAsia" w:ascii="仿宋_GB2312" w:hAnsi="仿宋_GB2312" w:eastAsia="仿宋_GB2312" w:cs="仿宋_GB2312"/>
          <w:color w:val="auto"/>
          <w:sz w:val="32"/>
          <w:szCs w:val="32"/>
          <w:highlight w:val="none"/>
          <w:lang w:val="en-US" w:eastAsia="zh-CN"/>
        </w:rPr>
        <w:t>和驱动电源型号及数量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并通过采购单位</w:t>
      </w:r>
      <w:r>
        <w:rPr>
          <w:rFonts w:hint="eastAsia" w:ascii="仿宋_GB2312" w:hAnsi="仿宋_GB2312" w:eastAsia="仿宋_GB2312" w:cs="仿宋_GB2312"/>
          <w:color w:val="auto"/>
          <w:sz w:val="32"/>
          <w:szCs w:val="32"/>
          <w:highlight w:val="none"/>
          <w:lang w:val="en-US" w:eastAsia="zh-CN"/>
        </w:rPr>
        <w:t>最终</w:t>
      </w:r>
      <w:r>
        <w:rPr>
          <w:rFonts w:hint="eastAsia" w:ascii="仿宋_GB2312" w:hAnsi="仿宋_GB2312" w:eastAsia="仿宋_GB2312" w:cs="仿宋_GB2312"/>
          <w:color w:val="auto"/>
          <w:sz w:val="32"/>
          <w:szCs w:val="32"/>
          <w:highlight w:val="none"/>
        </w:rPr>
        <w:t>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eastAsia="zh-CN"/>
        </w:rPr>
        <w:t>供货要求</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中标单位自收到订单2日内提供详细的供货计划表，未按计划表供应相关材料所导致的人员、机械窝工、工期延误等经济损失由中标单位承担。中标单位自订单收到起</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天</w:t>
      </w:r>
      <w:r>
        <w:rPr>
          <w:rFonts w:hint="eastAsia" w:ascii="仿宋_GB2312" w:hAnsi="仿宋_GB2312" w:eastAsia="仿宋_GB2312" w:cs="仿宋_GB2312"/>
          <w:color w:val="auto"/>
          <w:sz w:val="32"/>
          <w:szCs w:val="32"/>
          <w:highlight w:val="none"/>
          <w:lang w:val="en-US" w:eastAsia="zh-CN"/>
        </w:rPr>
        <w:t>内</w:t>
      </w:r>
      <w:r>
        <w:rPr>
          <w:rFonts w:hint="eastAsia" w:ascii="仿宋_GB2312" w:hAnsi="仿宋_GB2312" w:eastAsia="仿宋_GB2312" w:cs="仿宋_GB2312"/>
          <w:color w:val="auto"/>
          <w:sz w:val="32"/>
          <w:szCs w:val="32"/>
          <w:highlight w:val="none"/>
        </w:rPr>
        <w:t>完成供货，供货地点为采购单位指定地点，</w:t>
      </w:r>
      <w:r>
        <w:rPr>
          <w:rFonts w:hint="eastAsia" w:ascii="仿宋_GB2312" w:hAnsi="仿宋_GB2312" w:eastAsia="仿宋_GB2312" w:cs="仿宋_GB2312"/>
          <w:color w:val="auto"/>
          <w:sz w:val="32"/>
          <w:szCs w:val="32"/>
          <w:highlight w:val="none"/>
          <w:lang w:val="en-US" w:eastAsia="zh-CN"/>
        </w:rPr>
        <w:t>收货</w:t>
      </w:r>
      <w:r>
        <w:rPr>
          <w:rFonts w:hint="eastAsia" w:ascii="仿宋_GB2312" w:hAnsi="仿宋_GB2312" w:eastAsia="仿宋_GB2312" w:cs="仿宋_GB2312"/>
          <w:color w:val="auto"/>
          <w:sz w:val="32"/>
          <w:szCs w:val="32"/>
          <w:highlight w:val="none"/>
        </w:rPr>
        <w:t>日期为采购单位签收日期。</w:t>
      </w:r>
      <w:bookmarkStart w:id="27" w:name="_GoBack"/>
      <w:bookmarkEnd w:id="27"/>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灯具、配件和附件等应同时提供，未同时供货的视为未按要求供货，其中灯具、支架、防坠落装置应是已组装状态。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lang w:eastAsia="zh-CN"/>
        </w:rPr>
        <w:t>施工过程中的服务</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w:t>
      </w:r>
      <w:r>
        <w:rPr>
          <w:rFonts w:hint="eastAsia" w:ascii="仿宋_GB2312" w:hAnsi="仿宋_GB2312" w:eastAsia="仿宋_GB2312" w:cs="仿宋_GB2312"/>
          <w:color w:val="auto"/>
          <w:sz w:val="32"/>
          <w:szCs w:val="32"/>
          <w:highlight w:val="none"/>
          <w:lang w:eastAsia="zh-CN"/>
        </w:rPr>
        <w:t>需明确现场服务的技术人员名单。</w:t>
      </w:r>
      <w:r>
        <w:rPr>
          <w:rFonts w:hint="eastAsia" w:ascii="仿宋_GB2312" w:hAnsi="仿宋_GB2312" w:eastAsia="仿宋_GB2312" w:cs="仿宋_GB2312"/>
          <w:color w:val="auto"/>
          <w:sz w:val="32"/>
          <w:szCs w:val="32"/>
          <w:highlight w:val="none"/>
        </w:rPr>
        <w:t>在采购单位施工期间提供调试、配合服务工作，人员数量和调试进度应符合现场需求，</w:t>
      </w:r>
      <w:r>
        <w:rPr>
          <w:rFonts w:hint="eastAsia" w:ascii="仿宋_GB2312" w:hAnsi="仿宋_GB2312" w:eastAsia="仿宋_GB2312" w:cs="仿宋_GB2312"/>
          <w:color w:val="auto"/>
          <w:sz w:val="32"/>
          <w:szCs w:val="32"/>
          <w:highlight w:val="none"/>
          <w:lang w:eastAsia="zh-CN"/>
        </w:rPr>
        <w:t>否则由此产生的误工等费用从质保金中扣除，</w:t>
      </w:r>
      <w:r>
        <w:rPr>
          <w:rFonts w:hint="eastAsia" w:ascii="仿宋_GB2312" w:hAnsi="仿宋_GB2312" w:eastAsia="仿宋_GB2312" w:cs="仿宋_GB2312"/>
          <w:color w:val="auto"/>
          <w:sz w:val="32"/>
          <w:szCs w:val="32"/>
          <w:highlight w:val="none"/>
        </w:rPr>
        <w:t>中标单位的响应时间为24小时。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lang w:eastAsia="zh-CN"/>
        </w:rPr>
        <w:t>质保期责任</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质保期内，出现灯具损坏等质量问题的，由</w:t>
      </w:r>
      <w:r>
        <w:rPr>
          <w:rFonts w:hint="eastAsia" w:ascii="仿宋_GB2312" w:hAnsi="仿宋_GB2312" w:eastAsia="仿宋_GB2312" w:cs="仿宋_GB2312"/>
          <w:color w:val="auto"/>
          <w:sz w:val="32"/>
          <w:szCs w:val="32"/>
          <w:highlight w:val="none"/>
          <w:lang w:val="en-US" w:eastAsia="zh-CN"/>
        </w:rPr>
        <w:t>中标单位</w:t>
      </w:r>
      <w:r>
        <w:rPr>
          <w:rFonts w:hint="eastAsia" w:ascii="仿宋_GB2312" w:hAnsi="仿宋_GB2312" w:eastAsia="仿宋_GB2312" w:cs="仿宋_GB2312"/>
          <w:color w:val="auto"/>
          <w:sz w:val="32"/>
          <w:szCs w:val="32"/>
          <w:highlight w:val="none"/>
          <w:lang w:eastAsia="zh-CN"/>
        </w:rPr>
        <w:t>无条件更换并承担相关维修费用（含人工、机械、管理等费用），必须在接到</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lang w:eastAsia="zh-CN"/>
        </w:rPr>
        <w:t>通知12小时内响应、48小时内送至</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lang w:eastAsia="zh-CN"/>
        </w:rPr>
        <w:t>指定地点。</w:t>
      </w:r>
      <w:r>
        <w:rPr>
          <w:rFonts w:hint="eastAsia" w:ascii="仿宋_GB2312" w:hAnsi="仿宋_GB2312" w:eastAsia="仿宋_GB2312" w:cs="仿宋_GB2312"/>
          <w:color w:val="auto"/>
          <w:sz w:val="32"/>
          <w:szCs w:val="32"/>
          <w:highlight w:val="none"/>
          <w:lang w:val="en-US" w:eastAsia="zh-CN"/>
        </w:rPr>
        <w:t>中标单位</w:t>
      </w:r>
      <w:r>
        <w:rPr>
          <w:rFonts w:hint="eastAsia" w:ascii="仿宋_GB2312" w:hAnsi="仿宋_GB2312" w:eastAsia="仿宋_GB2312" w:cs="仿宋_GB2312"/>
          <w:color w:val="auto"/>
          <w:sz w:val="32"/>
          <w:szCs w:val="32"/>
          <w:highlight w:val="none"/>
          <w:lang w:eastAsia="zh-CN"/>
        </w:rPr>
        <w:t>未按前述期限内完成的，</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lang w:eastAsia="zh-CN"/>
        </w:rPr>
        <w:t>有权另行采购、维修，相关费用（产品采购费用、更换维修费用）由</w:t>
      </w:r>
      <w:r>
        <w:rPr>
          <w:rFonts w:hint="eastAsia" w:ascii="仿宋_GB2312" w:hAnsi="仿宋_GB2312" w:eastAsia="仿宋_GB2312" w:cs="仿宋_GB2312"/>
          <w:color w:val="auto"/>
          <w:sz w:val="32"/>
          <w:szCs w:val="32"/>
          <w:highlight w:val="none"/>
          <w:lang w:val="en-US" w:eastAsia="zh-CN"/>
        </w:rPr>
        <w:t>中标单位</w:t>
      </w:r>
      <w:r>
        <w:rPr>
          <w:rFonts w:hint="eastAsia" w:ascii="仿宋_GB2312" w:hAnsi="仿宋_GB2312" w:eastAsia="仿宋_GB2312" w:cs="仿宋_GB2312"/>
          <w:color w:val="auto"/>
          <w:sz w:val="32"/>
          <w:szCs w:val="32"/>
          <w:highlight w:val="none"/>
          <w:lang w:eastAsia="zh-CN"/>
        </w:rPr>
        <w:t>承担，并有权直接从剩余应付货款、质保金中扣除。</w:t>
      </w:r>
    </w:p>
    <w:p>
      <w:pPr>
        <w:pageBreakBefore w:val="0"/>
        <w:kinsoku/>
        <w:wordWrap/>
        <w:overflowPunct/>
        <w:topLinePunct w:val="0"/>
        <w:bidi w:val="0"/>
        <w:spacing w:line="560" w:lineRule="exact"/>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质保期2年。</w:t>
      </w:r>
    </w:p>
    <w:p>
      <w:pP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技术通则要求</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灯具应符合的技术标准</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凡是不注日期的引用文件，其最新版本（包括所有的修改单）适用于本文件。同时包括其他国家及江苏省现行标准规范、图集等；以及相关的灯具的现行的国家规范和标准。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GB7000.1灯具 第1部分：一般要求与试验</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GB7000.203灯具 第2-3部分：特殊要求 道路与街路照明灯具</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GB7000.7投光灯具安全要求</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rPr>
        <w:t>GB7000.10固定式通用灯具安全要求</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GB 4208外壳防护等级（IP代码）</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6.</w:t>
      </w:r>
      <w:r>
        <w:rPr>
          <w:rFonts w:hint="eastAsia" w:ascii="仿宋_GB2312" w:hAnsi="仿宋_GB2312" w:eastAsia="仿宋_GB2312" w:cs="仿宋_GB2312"/>
          <w:b w:val="0"/>
          <w:bCs w:val="0"/>
          <w:color w:val="auto"/>
          <w:sz w:val="32"/>
          <w:szCs w:val="32"/>
        </w:rPr>
        <w:t>GB17743电气照明和类似设备的无线电骚扰特性的限值和测量方法</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7.</w:t>
      </w:r>
      <w:r>
        <w:rPr>
          <w:rFonts w:hint="eastAsia" w:ascii="仿宋_GB2312" w:hAnsi="仿宋_GB2312" w:eastAsia="仿宋_GB2312" w:cs="仿宋_GB2312"/>
          <w:b w:val="0"/>
          <w:bCs w:val="0"/>
          <w:color w:val="auto"/>
          <w:sz w:val="32"/>
          <w:szCs w:val="32"/>
        </w:rPr>
        <w:t>GB17625.1电磁兼限值谐波电流发射限值容</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8.</w:t>
      </w:r>
      <w:r>
        <w:rPr>
          <w:rFonts w:hint="eastAsia" w:ascii="仿宋_GB2312" w:hAnsi="仿宋_GB2312" w:eastAsia="仿宋_GB2312" w:cs="仿宋_GB2312"/>
          <w:b w:val="0"/>
          <w:bCs w:val="0"/>
          <w:color w:val="auto"/>
          <w:sz w:val="32"/>
          <w:szCs w:val="32"/>
        </w:rPr>
        <w:t>GB/T18595一般照明用设备电磁兼容抗扰度要求</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9.</w:t>
      </w:r>
      <w:r>
        <w:rPr>
          <w:rFonts w:hint="eastAsia" w:ascii="仿宋_GB2312" w:hAnsi="仿宋_GB2312" w:eastAsia="仿宋_GB2312" w:cs="仿宋_GB2312"/>
          <w:b w:val="0"/>
          <w:bCs w:val="0"/>
          <w:color w:val="auto"/>
          <w:sz w:val="32"/>
          <w:szCs w:val="32"/>
        </w:rPr>
        <w:t>GB l7625.1电磁兼容限值谐波电流发射限值(设备每相输入电流≤16A)</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10.</w:t>
      </w:r>
      <w:r>
        <w:rPr>
          <w:rFonts w:hint="eastAsia" w:ascii="仿宋_GB2312" w:hAnsi="仿宋_GB2312" w:eastAsia="仿宋_GB2312" w:cs="仿宋_GB2312"/>
          <w:b w:val="0"/>
          <w:bCs w:val="0"/>
          <w:color w:val="auto"/>
          <w:sz w:val="32"/>
          <w:szCs w:val="32"/>
        </w:rPr>
        <w:t>QB/T1551灯具油漆涂层</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11.</w:t>
      </w:r>
      <w:r>
        <w:rPr>
          <w:rFonts w:hint="eastAsia" w:ascii="仿宋_GB2312" w:hAnsi="仿宋_GB2312" w:eastAsia="仿宋_GB2312" w:cs="仿宋_GB2312"/>
          <w:b w:val="0"/>
          <w:bCs w:val="0"/>
          <w:color w:val="auto"/>
          <w:sz w:val="32"/>
          <w:szCs w:val="32"/>
        </w:rPr>
        <w:t>QB/T3741灯具电镀、化学覆盖层</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12.</w:t>
      </w:r>
      <w:r>
        <w:rPr>
          <w:rFonts w:hint="eastAsia" w:ascii="仿宋_GB2312" w:hAnsi="仿宋_GB2312" w:eastAsia="仿宋_GB2312" w:cs="仿宋_GB2312"/>
          <w:b w:val="0"/>
          <w:bCs w:val="0"/>
          <w:color w:val="auto"/>
          <w:sz w:val="32"/>
          <w:szCs w:val="32"/>
        </w:rPr>
        <w:t>GB/T33721 LED灯具可靠性试验方法</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13.</w:t>
      </w:r>
      <w:r>
        <w:rPr>
          <w:rFonts w:hint="eastAsia" w:ascii="仿宋_GB2312" w:hAnsi="仿宋_GB2312" w:eastAsia="仿宋_GB2312" w:cs="仿宋_GB2312"/>
          <w:b w:val="0"/>
          <w:bCs w:val="0"/>
          <w:color w:val="auto"/>
          <w:sz w:val="32"/>
          <w:szCs w:val="32"/>
        </w:rPr>
        <w:t>CJJ45 城市道路照明设计标准</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val="en-US" w:eastAsia="zh-CN"/>
        </w:rPr>
        <w:t>14.</w:t>
      </w:r>
      <w:r>
        <w:rPr>
          <w:rFonts w:hint="eastAsia" w:ascii="仿宋_GB2312" w:hAnsi="仿宋_GB2312" w:eastAsia="仿宋_GB2312" w:cs="仿宋_GB2312"/>
          <w:b w:val="0"/>
          <w:bCs w:val="0"/>
          <w:color w:val="auto"/>
          <w:sz w:val="32"/>
          <w:szCs w:val="32"/>
        </w:rPr>
        <w:t>JGJ/T 163 城市夜景照明设计规范</w:t>
      </w:r>
      <w:r>
        <w:rPr>
          <w:rFonts w:hint="eastAsia" w:ascii="仿宋_GB2312" w:hAnsi="仿宋_GB2312" w:eastAsia="仿宋_GB2312" w:cs="仿宋_GB2312"/>
          <w:b w:val="0"/>
          <w:bCs w:val="0"/>
          <w:color w:val="auto"/>
          <w:sz w:val="32"/>
          <w:szCs w:val="32"/>
          <w:lang w:eastAsia="zh-CN"/>
        </w:rPr>
        <w:t>。</w:t>
      </w:r>
    </w:p>
    <w:p>
      <w:pPr>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br w:type="page"/>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bookmarkStart w:id="1" w:name="_Toc1793"/>
      <w:r>
        <w:rPr>
          <w:rFonts w:hint="eastAsia" w:ascii="楷体_GB2312" w:hAnsi="楷体_GB2312" w:eastAsia="楷体_GB2312" w:cs="楷体_GB2312"/>
          <w:b/>
          <w:bCs/>
          <w:color w:val="auto"/>
          <w:sz w:val="32"/>
          <w:szCs w:val="32"/>
          <w:highlight w:val="none"/>
          <w:lang w:val="en-US" w:eastAsia="zh-CN"/>
        </w:rPr>
        <w:t>灯具通则要求</w:t>
      </w:r>
      <w:bookmarkEnd w:id="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bookmarkStart w:id="2" w:name="_Toc2014"/>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lang w:eastAsia="zh-CN"/>
        </w:rPr>
        <w:t>一般要求</w:t>
      </w:r>
      <w:bookmarkEnd w:id="2"/>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技术文件详参有规定的，按详参规定执行，没有详参规定的，按照本通则执行。</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本次招标所涉及的所有灯具外观，仅供参考。</w:t>
      </w:r>
      <w:r>
        <w:rPr>
          <w:rFonts w:hint="eastAsia" w:ascii="仿宋_GB2312" w:hAnsi="仿宋_GB2312" w:eastAsia="仿宋_GB2312" w:cs="仿宋_GB2312"/>
          <w:color w:val="auto"/>
          <w:sz w:val="32"/>
          <w:szCs w:val="32"/>
          <w:lang w:eastAsia="zh-CN"/>
        </w:rPr>
        <w:t>中标单位</w:t>
      </w:r>
      <w:r>
        <w:rPr>
          <w:rFonts w:hint="eastAsia" w:ascii="仿宋_GB2312" w:hAnsi="仿宋_GB2312" w:eastAsia="仿宋_GB2312" w:cs="仿宋_GB2312"/>
          <w:color w:val="auto"/>
          <w:sz w:val="32"/>
          <w:szCs w:val="32"/>
        </w:rPr>
        <w:t>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本次投标报价包含本技术文件所要求的所有配件及附件。室外的螺杆、螺栓、垫片必须使用304不锈钢材质。</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rPr>
      </w:pPr>
      <w:bookmarkStart w:id="3" w:name="_Toc24646"/>
      <w:r>
        <w:rPr>
          <w:rFonts w:hint="eastAsia" w:ascii="仿宋_GB2312" w:hAnsi="仿宋_GB2312" w:eastAsia="仿宋_GB2312" w:cs="仿宋_GB2312"/>
          <w:color w:val="auto"/>
          <w:sz w:val="32"/>
          <w:szCs w:val="32"/>
        </w:rPr>
        <w:t>中标后，中标单位踏勘现场，根据灯具安装条件，深化灯具颜色安装支架灯零配件的设计，按照采购单位的要求和项目具体的实施情况及时调整。所有灯具按规定提供灯具实样一款，经采购单位目视检验最终确认后，才能按照灯具订单批量提供灯具，并提供灯具安装说明书。</w:t>
      </w:r>
      <w:bookmarkStart w:id="4" w:name="_Toc15096"/>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中标后灯具供应阶段，灯具抽样</w:t>
      </w:r>
      <w:r>
        <w:rPr>
          <w:rFonts w:hint="eastAsia" w:ascii="仿宋_GB2312" w:hAnsi="仿宋_GB2312" w:eastAsia="仿宋_GB2312" w:cs="仿宋_GB2312"/>
          <w:color w:val="auto"/>
          <w:sz w:val="32"/>
          <w:szCs w:val="32"/>
          <w:lang w:val="en-US" w:eastAsia="zh-CN"/>
        </w:rPr>
        <w:t>由采购单位</w:t>
      </w:r>
      <w:r>
        <w:rPr>
          <w:rFonts w:hint="eastAsia" w:ascii="仿宋_GB2312" w:hAnsi="仿宋_GB2312" w:eastAsia="仿宋_GB2312" w:cs="仿宋_GB2312"/>
          <w:color w:val="auto"/>
          <w:sz w:val="32"/>
          <w:szCs w:val="32"/>
        </w:rPr>
        <w:t>送国家</w:t>
      </w:r>
      <w:r>
        <w:rPr>
          <w:rFonts w:hint="eastAsia" w:ascii="仿宋_GB2312" w:hAnsi="仿宋_GB2312" w:eastAsia="仿宋_GB2312" w:cs="仿宋_GB2312"/>
          <w:color w:val="auto"/>
          <w:sz w:val="32"/>
          <w:szCs w:val="32"/>
          <w:lang w:val="en-US" w:eastAsia="zh-CN"/>
        </w:rPr>
        <w:t>级</w:t>
      </w:r>
      <w:r>
        <w:rPr>
          <w:rFonts w:hint="eastAsia" w:ascii="仿宋_GB2312" w:hAnsi="仿宋_GB2312" w:eastAsia="仿宋_GB2312" w:cs="仿宋_GB2312"/>
          <w:color w:val="auto"/>
          <w:sz w:val="32"/>
          <w:szCs w:val="32"/>
        </w:rPr>
        <w:t>权威机构检测。</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灯具的工作环境温度：</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-20℃</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60℃</w:t>
      </w:r>
      <w:r>
        <w:rPr>
          <w:rFonts w:hint="eastAsia" w:ascii="仿宋_GB2312" w:hAnsi="仿宋_GB2312" w:eastAsia="仿宋_GB2312" w:cs="仿宋_GB2312"/>
          <w:color w:val="auto"/>
          <w:kern w:val="2"/>
          <w:sz w:val="32"/>
          <w:szCs w:val="32"/>
          <w:lang w:val="en-US" w:eastAsia="zh-CN" w:bidi="ar-SA"/>
        </w:rPr>
        <w:t>。湿度：0%</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kern w:val="2"/>
          <w:sz w:val="32"/>
          <w:szCs w:val="32"/>
          <w:lang w:val="en-US" w:eastAsia="zh-CN" w:bidi="ar-SA"/>
        </w:rPr>
        <w:t>90%。在此工作温度、湿度下灯具可连续正常工作，并符合相应的国家灯具规范。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2.LED光源要求</w:t>
      </w:r>
      <w:bookmarkEnd w:id="4"/>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该类灯具的主要原材料光源封装颗粒品牌</w:t>
      </w:r>
      <w:r>
        <w:rPr>
          <w:rFonts w:hint="eastAsia" w:ascii="仿宋_GB2312" w:hAnsi="仿宋_GB2312" w:eastAsia="仿宋_GB2312" w:cs="仿宋_GB2312"/>
          <w:b w:val="0"/>
          <w:bCs w:val="0"/>
          <w:color w:val="auto"/>
          <w:sz w:val="32"/>
          <w:szCs w:val="32"/>
          <w:lang w:val="en-US" w:eastAsia="zh-CN"/>
        </w:rPr>
        <w:t>推荐</w:t>
      </w:r>
      <w:r>
        <w:rPr>
          <w:rFonts w:hint="eastAsia" w:ascii="仿宋_GB2312" w:hAnsi="仿宋_GB2312" w:eastAsia="仿宋_GB2312" w:cs="仿宋_GB2312"/>
          <w:b w:val="0"/>
          <w:bCs w:val="0"/>
          <w:color w:val="auto"/>
          <w:sz w:val="32"/>
          <w:szCs w:val="32"/>
        </w:rPr>
        <w:t>科锐（CREE）、飞利浦</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PHILIPS）、欧司朗（OSRAM）、日亚（NICHIA）。</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LED单色芯片的色差必须符合下表的要求</w:t>
      </w:r>
      <w:r>
        <w:rPr>
          <w:rFonts w:hint="eastAsia" w:ascii="仿宋_GB2312" w:hAnsi="仿宋_GB2312" w:eastAsia="仿宋_GB2312" w:cs="仿宋_GB2312"/>
          <w:color w:val="auto"/>
          <w:sz w:val="32"/>
          <w:szCs w:val="32"/>
          <w:lang w:eastAsia="zh-CN"/>
        </w:rPr>
        <w:t>：</w:t>
      </w:r>
    </w:p>
    <w:tbl>
      <w:tblPr>
        <w:tblStyle w:val="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028"/>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22" w:type="dxa"/>
            <w:shd w:val="clear" w:color="auto" w:fill="auto"/>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序号</w:t>
            </w:r>
          </w:p>
        </w:tc>
        <w:tc>
          <w:tcPr>
            <w:tcW w:w="4028" w:type="dxa"/>
            <w:shd w:val="clear" w:color="auto" w:fill="auto"/>
            <w:vAlign w:val="center"/>
          </w:tcPr>
          <w:p>
            <w:pPr>
              <w:pageBreakBefore w:val="0"/>
              <w:kinsoku/>
              <w:wordWrap/>
              <w:overflowPunct/>
              <w:topLinePunct w:val="0"/>
              <w:bidi w:val="0"/>
              <w:spacing w:line="560" w:lineRule="exac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色温/色彩（K）</w:t>
            </w:r>
          </w:p>
        </w:tc>
        <w:tc>
          <w:tcPr>
            <w:tcW w:w="3570" w:type="dxa"/>
            <w:shd w:val="clear" w:color="auto" w:fill="auto"/>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偏差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K</w:t>
            </w:r>
            <w:r>
              <w:rPr>
                <w:rFonts w:hint="eastAsia" w:ascii="仿宋_GB2312" w:hAnsi="仿宋_GB2312" w:eastAsia="仿宋_GB2312" w:cs="仿宋_GB2312"/>
                <w:color w:val="auto"/>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w:t>
            </w:r>
          </w:p>
        </w:tc>
        <w:tc>
          <w:tcPr>
            <w:tcW w:w="4028"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000K</w:t>
            </w:r>
          </w:p>
        </w:tc>
        <w:tc>
          <w:tcPr>
            <w:tcW w:w="3570"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0</w:t>
            </w:r>
          </w:p>
        </w:tc>
      </w:tr>
    </w:tbl>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白光LED灯具的色容差应符合以下规定：同型号白光LED灯具，色容差</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当照射对象为纯色物体时，灯具色容差</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5SDCM。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LED颗粒应满足拥有LM-80认证，颗粒寿命</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5万小时。</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LED颗粒的显色指数（CRI）：白光LED一般显色指数Ra</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80，且R9＞0。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5" w:name="_Toc517"/>
      <w:r>
        <w:rPr>
          <w:rFonts w:hint="eastAsia" w:ascii="仿宋_GB2312" w:hAnsi="仿宋_GB2312" w:eastAsia="仿宋_GB2312" w:cs="仿宋_GB2312"/>
          <w:b/>
          <w:bCs/>
          <w:color w:val="auto"/>
          <w:sz w:val="32"/>
          <w:szCs w:val="32"/>
          <w:lang w:val="en-US" w:eastAsia="zh-CN"/>
        </w:rPr>
        <w:t>3.LED灯具输入电压要求</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详细参数标明输入电压的，按详细参数执行。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6" w:name="_Toc13353"/>
      <w:r>
        <w:rPr>
          <w:rFonts w:hint="eastAsia" w:ascii="仿宋_GB2312" w:hAnsi="仿宋_GB2312" w:eastAsia="仿宋_GB2312" w:cs="仿宋_GB2312"/>
          <w:b/>
          <w:bCs/>
          <w:color w:val="auto"/>
          <w:sz w:val="32"/>
          <w:szCs w:val="32"/>
          <w:lang w:val="en-US" w:eastAsia="zh-CN"/>
        </w:rPr>
        <w:t>4.外观及结构要求</w:t>
      </w:r>
      <w:bookmarkEnd w:id="6"/>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外观质量：灯具的表面应光滑，以防污物堆积和便于清洗;无损伤、变形、涂层剥落，玻璃罩应无气泡、明显划痕和裂纹等缺陷。</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rPr>
        <w:t>外形尺寸：允许偏差范围标明区间的</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灯具尺寸在要求范围内为满足要求；未标明尺寸允许偏差范围的灯具尺寸上下浮动10%为满足要求。</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安装和位置尺寸：未标明尺寸允许偏差范围的按照GB-T1804的精度M级别标准执行。</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所有LED灯具引出线线径应符合GB7000.1（灯具 第1部分：一般要求与试验）的要求，引出线长度按照现场安装情况提供，确保灯与灯之间连线符合最优化。一个回路的灯具可成串提供，灯具引出线满足现场安装要求。 芯线颜色必须符合国标要求，且有明显区别。</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有针对感应雷击及静电的专用防护元件，器件性能符合IEC61000-4-4（电磁兼容-第4-4部分:试验和测量技术-电快速瞬变脉冲群抗扰度试验）的检测标准。</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明装灯具及其安装附件及嵌装灯具的颜色纹理需与背景墙面颜色一致，由</w:t>
      </w:r>
      <w:r>
        <w:rPr>
          <w:rFonts w:hint="eastAsia" w:ascii="仿宋_GB2312" w:hAnsi="仿宋_GB2312" w:eastAsia="仿宋_GB2312" w:cs="仿宋_GB2312"/>
          <w:b w:val="0"/>
          <w:bCs w:val="0"/>
          <w:color w:val="auto"/>
          <w:sz w:val="32"/>
          <w:szCs w:val="32"/>
          <w:lang w:val="en-US" w:eastAsia="zh-CN"/>
        </w:rPr>
        <w:t>采购单位</w:t>
      </w:r>
      <w:r>
        <w:rPr>
          <w:rFonts w:hint="eastAsia" w:ascii="仿宋_GB2312" w:hAnsi="仿宋_GB2312" w:eastAsia="仿宋_GB2312" w:cs="仿宋_GB2312"/>
          <w:b w:val="0"/>
          <w:bCs w:val="0"/>
          <w:color w:val="auto"/>
          <w:sz w:val="32"/>
          <w:szCs w:val="32"/>
        </w:rPr>
        <w:t>确定色卡号。</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灯具必须采用结构防水，防护等级</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IP6</w:t>
      </w: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eastAsia="仿宋_GB2312" w:cs="仿宋_GB2312"/>
          <w:b w:val="0"/>
          <w:bCs w:val="0"/>
          <w:color w:val="auto"/>
          <w:sz w:val="32"/>
          <w:szCs w:val="32"/>
        </w:rPr>
        <w:t>。灯具防尘防水等级（IP等级）指：防水接头、接线、匹配电源、灯具四部分的防尘防水等级。</w:t>
      </w:r>
      <w:r>
        <w:rPr>
          <w:rFonts w:hint="eastAsia" w:ascii="仿宋_GB2312" w:hAnsi="仿宋_GB2312" w:eastAsia="仿宋_GB2312" w:cs="仿宋_GB2312"/>
          <w:b w:val="0"/>
          <w:bCs w:val="0"/>
          <w:color w:val="auto"/>
          <w:sz w:val="32"/>
          <w:szCs w:val="32"/>
          <w:lang w:val="en-US" w:eastAsia="zh-CN"/>
        </w:rPr>
        <w:t>公母头、三通等辅材的</w:t>
      </w:r>
      <w:r>
        <w:rPr>
          <w:rFonts w:hint="eastAsia" w:ascii="仿宋_GB2312" w:hAnsi="仿宋_GB2312" w:eastAsia="仿宋_GB2312" w:cs="仿宋_GB2312"/>
          <w:b w:val="0"/>
          <w:bCs w:val="0"/>
          <w:color w:val="auto"/>
          <w:sz w:val="32"/>
          <w:szCs w:val="32"/>
        </w:rPr>
        <w:t>防护等级</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IP6</w:t>
      </w:r>
      <w:r>
        <w:rPr>
          <w:rFonts w:hint="eastAsia" w:ascii="仿宋_GB2312" w:hAnsi="仿宋_GB2312" w:eastAsia="仿宋_GB2312" w:cs="仿宋_GB2312"/>
          <w:b w:val="0"/>
          <w:bCs w:val="0"/>
          <w:color w:val="auto"/>
          <w:sz w:val="32"/>
          <w:szCs w:val="32"/>
          <w:lang w:val="en-US" w:eastAsia="zh-CN"/>
        </w:rPr>
        <w:t>6。</w:t>
      </w:r>
    </w:p>
    <w:p>
      <w:pPr>
        <w:pStyle w:val="5"/>
        <w:numPr>
          <w:ilvl w:val="0"/>
          <w:numId w:val="7"/>
        </w:numPr>
        <w:ind w:left="0" w:leftChars="0" w:firstLine="640" w:firstLineChars="200"/>
        <w:rPr>
          <w:rFonts w:hint="default" w:ascii="仿宋_GB2312" w:hAnsi="仿宋_GB2312" w:eastAsia="仿宋_GB2312" w:cs="仿宋_GB2312"/>
          <w:b w:val="0"/>
          <w:bCs w:val="0"/>
          <w:color w:val="auto"/>
          <w:kern w:val="2"/>
          <w:sz w:val="32"/>
          <w:szCs w:val="32"/>
          <w:lang w:val="en-US" w:eastAsia="zh-CN" w:bidi="ar-SA"/>
        </w:rPr>
      </w:pPr>
      <w:bookmarkStart w:id="7" w:name="_Toc20504"/>
      <w:r>
        <w:rPr>
          <w:rFonts w:hint="eastAsia" w:ascii="仿宋_GB2312" w:hAnsi="仿宋_GB2312" w:eastAsia="仿宋_GB2312" w:cs="仿宋_GB2312"/>
          <w:b w:val="0"/>
          <w:bCs w:val="0"/>
          <w:color w:val="auto"/>
          <w:kern w:val="2"/>
          <w:sz w:val="32"/>
          <w:szCs w:val="32"/>
          <w:lang w:val="en-US" w:eastAsia="zh-CN" w:bidi="ar-SA"/>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5.材料要求</w:t>
      </w:r>
      <w:bookmarkEnd w:id="7"/>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灯具结构式防水，严禁外部打胶。</w:t>
      </w:r>
      <w:r>
        <w:rPr>
          <w:rFonts w:hint="eastAsia" w:ascii="仿宋_GB2312" w:hAnsi="仿宋_GB2312" w:eastAsia="仿宋_GB2312" w:cs="仿宋_GB2312"/>
          <w:b w:val="0"/>
          <w:bCs w:val="0"/>
          <w:color w:val="auto"/>
          <w:sz w:val="32"/>
          <w:szCs w:val="32"/>
        </w:rPr>
        <w:t>灯具密封圈需采用抗老化硅橡胶圈或同等、优于上标准。应耐温、耐老化和耐道路上可能出现的腐蚀性气体，并应方便更换。灯具的插销、铰链、螺钉和其他外部构件应用304/2B不锈钢或高镁防锈3404铝合金，其安装构件应不受混凝土的化学反应腐蚀。膨胀管、膨胀螺栓（含螺栓、胀管、平垫圈、弹簧垫和六角螺母等）必须采用不锈钢304/2B材料，且不受混凝土的化学反应腐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8" w:name="_Toc19172"/>
      <w:r>
        <w:rPr>
          <w:rFonts w:hint="eastAsia" w:ascii="仿宋_GB2312" w:hAnsi="仿宋_GB2312" w:eastAsia="仿宋_GB2312" w:cs="仿宋_GB2312"/>
          <w:b/>
          <w:bCs/>
          <w:color w:val="auto"/>
          <w:sz w:val="32"/>
          <w:szCs w:val="32"/>
          <w:lang w:val="en-US" w:eastAsia="zh-CN"/>
        </w:rPr>
        <w:t>6.耐腐蚀性要求</w:t>
      </w:r>
      <w:bookmarkEnd w:id="8"/>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体材质表面应有耐腐蚀、抗破坏处理手段，处理工艺需达10年使用寿命。</w:t>
      </w:r>
      <w:r>
        <w:rPr>
          <w:rFonts w:hint="eastAsia" w:ascii="仿宋_GB2312" w:hAnsi="仿宋_GB2312" w:eastAsia="仿宋_GB2312" w:cs="仿宋_GB2312"/>
          <w:color w:val="auto"/>
          <w:sz w:val="32"/>
          <w:szCs w:val="32"/>
          <w:lang w:val="en-US" w:eastAsia="zh-CN"/>
        </w:rPr>
        <w:t>亚</w:t>
      </w:r>
      <w:r>
        <w:rPr>
          <w:rFonts w:hint="eastAsia" w:ascii="仿宋_GB2312" w:hAnsi="仿宋_GB2312" w:eastAsia="仿宋_GB2312" w:cs="仿宋_GB2312"/>
          <w:color w:val="auto"/>
          <w:sz w:val="32"/>
          <w:szCs w:val="32"/>
        </w:rPr>
        <w:t>克力材料部分保证5年不发黄。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9" w:name="_Toc2295"/>
      <w:bookmarkStart w:id="10" w:name="_Toc4937"/>
      <w:bookmarkStart w:id="11" w:name="_Toc6693"/>
      <w:bookmarkStart w:id="12" w:name="_Toc9926"/>
      <w:bookmarkStart w:id="13" w:name="_Toc20838"/>
      <w:r>
        <w:rPr>
          <w:rFonts w:hint="eastAsia" w:ascii="仿宋_GB2312" w:hAnsi="仿宋_GB2312" w:eastAsia="仿宋_GB2312" w:cs="仿宋_GB2312"/>
          <w:b/>
          <w:bCs/>
          <w:color w:val="auto"/>
          <w:sz w:val="32"/>
          <w:szCs w:val="32"/>
          <w:lang w:val="en-US" w:eastAsia="zh-CN"/>
        </w:rPr>
        <w:t>7.电磁兼容</w:t>
      </w:r>
      <w:bookmarkEnd w:id="9"/>
      <w:bookmarkEnd w:id="10"/>
      <w:bookmarkEnd w:id="11"/>
      <w:bookmarkEnd w:id="12"/>
      <w:r>
        <w:rPr>
          <w:rFonts w:hint="eastAsia" w:ascii="仿宋_GB2312" w:hAnsi="仿宋_GB2312" w:eastAsia="仿宋_GB2312" w:cs="仿宋_GB2312"/>
          <w:b/>
          <w:bCs/>
          <w:color w:val="auto"/>
          <w:sz w:val="32"/>
          <w:szCs w:val="32"/>
          <w:lang w:val="en-US" w:eastAsia="zh-CN"/>
        </w:rPr>
        <w:t>要求</w:t>
      </w:r>
      <w:bookmarkEnd w:id="13"/>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灯具的无线电骚扰特性应符合GB 17743的要求。</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灯具电磁兼容抗扰度应符合GB/T 18595 的要求。</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灯具的输入电流谐波应符合GB l7625.1的要求。</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LED电子控制装置应采用高压输出的LED电子控制装置，输出电流不超过1.5A。并应符合GB 19510.14的规定。</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LED灯具的蓝光控制应符合GB 7000.1的规定。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14" w:name="_Toc28959"/>
      <w:r>
        <w:rPr>
          <w:rFonts w:hint="eastAsia" w:ascii="仿宋_GB2312" w:hAnsi="仿宋_GB2312" w:eastAsia="仿宋_GB2312" w:cs="仿宋_GB2312"/>
          <w:b/>
          <w:bCs/>
          <w:color w:val="auto"/>
          <w:sz w:val="32"/>
          <w:szCs w:val="32"/>
          <w:lang w:val="en-US" w:eastAsia="zh-CN"/>
        </w:rPr>
        <w:t>8.灯具寿命、光衰、散热等要求</w:t>
      </w:r>
      <w:bookmarkEnd w:id="14"/>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灯的光源寿命</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5万小时。</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灯在燃点3千小时时，其光通维持率应</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96%；在燃点6千小时时，其光通维持率应</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92%。</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灯的初始光通量（灯具入库或到达安装现场的时间点）可由制造商或销售商标称，</w:t>
      </w:r>
      <w:r>
        <w:rPr>
          <w:rFonts w:hint="eastAsia" w:ascii="仿宋_GB2312" w:hAnsi="仿宋_GB2312" w:eastAsia="仿宋_GB2312" w:cs="仿宋_GB2312"/>
          <w:b w:val="0"/>
          <w:bCs w:val="0"/>
          <w:color w:val="000000" w:themeColor="text1"/>
          <w:sz w:val="32"/>
          <w:szCs w:val="32"/>
          <w14:textFill>
            <w14:solidFill>
              <w14:schemeClr w14:val="tx1"/>
            </w14:solidFill>
          </w14:textFill>
        </w:rPr>
        <w:t>但标称值的95%</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其实测值</w:t>
      </w:r>
      <w:r>
        <w:rPr>
          <w:rFonts w:hint="eastAsia" w:ascii="宋体" w:hAnsi="宋体" w:eastAsia="宋体" w:cs="宋体"/>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标称值的105%</w:t>
      </w:r>
      <w:r>
        <w:rPr>
          <w:rFonts w:hint="eastAsia" w:ascii="仿宋_GB2312" w:hAnsi="仿宋_GB2312" w:eastAsia="仿宋_GB2312" w:cs="仿宋_GB2312"/>
          <w:b w:val="0"/>
          <w:bCs w:val="0"/>
          <w:color w:val="auto"/>
          <w:sz w:val="32"/>
          <w:szCs w:val="32"/>
        </w:rPr>
        <w:t>。</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所有LED灯具外壳温度满载负荷</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小时候后，温度升高</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30℃。现场安装后抽检灯具的外壳温度。芯片引脚满载</w:t>
      </w: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小时后，温度升高</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60℃。</w:t>
      </w:r>
      <w:bookmarkEnd w:id="3"/>
      <w:bookmarkStart w:id="15" w:name="_Toc11963"/>
      <w:bookmarkStart w:id="16" w:name="_Toc10067"/>
    </w:p>
    <w:p>
      <w:pPr>
        <w:pStyle w:val="5"/>
        <w:numPr>
          <w:ilvl w:val="0"/>
          <w:numId w:val="10"/>
        </w:numPr>
        <w:ind w:left="0" w:leftChars="0" w:firstLine="640" w:firstLineChars="200"/>
        <w:rPr>
          <w:rFonts w:hint="default"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LED电路板封装不得存在明显瑕疵，从而导致灯具的绝缘、抗腐蚀、短路等问题，电路板不得使用电解电容。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1" w:firstLineChars="10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（三）灯具附属驱动电源（开关电源）技术通则</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17" w:name="_Toc30970"/>
      <w:r>
        <w:rPr>
          <w:rFonts w:hint="eastAsia" w:ascii="仿宋_GB2312" w:hAnsi="仿宋_GB2312" w:eastAsia="仿宋_GB2312" w:cs="仿宋_GB2312"/>
          <w:b/>
          <w:bCs/>
          <w:color w:val="auto"/>
          <w:sz w:val="32"/>
          <w:szCs w:val="32"/>
          <w:lang w:val="en-US" w:eastAsia="zh-CN"/>
        </w:rPr>
        <w:t>1.说明</w:t>
      </w:r>
      <w:bookmarkEnd w:id="17"/>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b w:val="0"/>
          <w:bCs w:val="0"/>
          <w:color w:val="auto"/>
          <w:sz w:val="32"/>
          <w:szCs w:val="32"/>
          <w:u w:val="none"/>
        </w:rPr>
      </w:pPr>
      <w:r>
        <w:rPr>
          <w:rFonts w:hint="eastAsia" w:ascii="仿宋_GB2312" w:hAnsi="仿宋_GB2312" w:eastAsia="仿宋_GB2312" w:cs="仿宋_GB2312"/>
          <w:b w:val="0"/>
          <w:bCs w:val="0"/>
          <w:color w:val="auto"/>
          <w:sz w:val="32"/>
          <w:szCs w:val="32"/>
          <w:u w:val="none"/>
        </w:rPr>
        <w:t>灯具必须按照采购单位要求，提供全部驱动电源。</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所有灯具附属驱动电源的深化设计，相关参数按照下表执行</w:t>
      </w:r>
      <w:r>
        <w:rPr>
          <w:rFonts w:hint="eastAsia" w:ascii="仿宋_GB2312" w:hAnsi="仿宋_GB2312" w:eastAsia="仿宋_GB2312" w:cs="仿宋_GB2312"/>
          <w:color w:val="auto"/>
          <w:sz w:val="32"/>
          <w:szCs w:val="32"/>
          <w:lang w:eastAsia="zh-CN"/>
        </w:rPr>
        <w:t>：</w:t>
      </w:r>
    </w:p>
    <w:tbl>
      <w:tblPr>
        <w:tblStyle w:val="3"/>
        <w:tblW w:w="8230"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68"/>
        <w:gridCol w:w="1369"/>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blHeader/>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序号</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内容</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深化设计</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中标单位根据现场安装条件优化使用方案，由业主最终确认</w:t>
            </w:r>
            <w:r>
              <w:rPr>
                <w:rFonts w:hint="eastAsia" w:ascii="仿宋_GB2312" w:hAnsi="仿宋_GB2312" w:eastAsia="仿宋_GB2312" w:cs="仿宋_GB2312"/>
                <w:color w:val="auto"/>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型号</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中标单位</w:t>
            </w:r>
            <w:r>
              <w:rPr>
                <w:rFonts w:hint="eastAsia" w:ascii="仿宋_GB2312" w:hAnsi="仿宋_GB2312" w:eastAsia="仿宋_GB2312" w:cs="仿宋_GB2312"/>
                <w:color w:val="auto"/>
                <w:sz w:val="32"/>
                <w:szCs w:val="32"/>
              </w:rPr>
              <w:t>深化，设计</w:t>
            </w:r>
            <w:r>
              <w:rPr>
                <w:rFonts w:hint="eastAsia" w:ascii="仿宋_GB2312" w:hAnsi="仿宋_GB2312" w:eastAsia="仿宋_GB2312" w:cs="仿宋_GB2312"/>
                <w:color w:val="auto"/>
                <w:sz w:val="32"/>
                <w:szCs w:val="32"/>
                <w:lang w:val="en-US" w:eastAsia="zh-CN"/>
              </w:rPr>
              <w:t>单位</w:t>
            </w:r>
            <w:r>
              <w:rPr>
                <w:rFonts w:hint="eastAsia" w:ascii="仿宋_GB2312" w:hAnsi="仿宋_GB2312" w:eastAsia="仿宋_GB2312" w:cs="仿宋_GB2312"/>
                <w:color w:val="auto"/>
                <w:sz w:val="32"/>
                <w:szCs w:val="32"/>
              </w:rPr>
              <w:t>确认</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并报备业主</w:t>
            </w:r>
            <w:r>
              <w:rPr>
                <w:rFonts w:hint="eastAsia" w:ascii="仿宋_GB2312" w:hAnsi="仿宋_GB2312" w:eastAsia="仿宋_GB2312" w:cs="仿宋_GB2312"/>
                <w:color w:val="auto"/>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8" w:hRule="atLeast"/>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输出属性</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采用外置驱动电源。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功率</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根据现场合理配置</w:t>
            </w:r>
            <w:r>
              <w:rPr>
                <w:rFonts w:hint="eastAsia" w:ascii="仿宋_GB2312" w:hAnsi="仿宋_GB2312" w:eastAsia="仿宋_GB2312" w:cs="仿宋_GB2312"/>
                <w:color w:val="auto"/>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功率因数</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3C认证</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必须提供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7</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效率</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4" w:hRule="atLeast"/>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防护等级</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lang w:eastAsia="zh-CN"/>
              </w:rPr>
            </w:pPr>
            <w:r>
              <w:rPr>
                <w:rFonts w:hint="eastAsia" w:ascii="宋体" w:hAnsi="宋体" w:eastAsia="宋体" w:cs="宋体"/>
                <w:color w:val="auto"/>
                <w:sz w:val="32"/>
                <w:szCs w:val="32"/>
                <w:lang w:eastAsia="zh-CN"/>
              </w:rPr>
              <w:t>≥</w:t>
            </w:r>
            <w:r>
              <w:rPr>
                <w:rFonts w:hint="eastAsia" w:ascii="仿宋_GB2312" w:hAnsi="仿宋_GB2312" w:eastAsia="仿宋_GB2312" w:cs="仿宋_GB2312"/>
                <w:color w:val="auto"/>
                <w:sz w:val="32"/>
                <w:szCs w:val="32"/>
              </w:rPr>
              <w:t>IP6</w:t>
            </w:r>
            <w:r>
              <w:rPr>
                <w:rFonts w:hint="eastAsia" w:ascii="仿宋_GB2312" w:hAnsi="仿宋_GB2312" w:eastAsia="仿宋_GB2312" w:cs="仿宋_GB2312"/>
                <w:color w:val="auto"/>
                <w:sz w:val="32"/>
                <w:szCs w:val="32"/>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4" w:hRule="atLeast"/>
        </w:trPr>
        <w:tc>
          <w:tcPr>
            <w:tcW w:w="868"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9</w:t>
            </w:r>
          </w:p>
        </w:tc>
        <w:tc>
          <w:tcPr>
            <w:tcW w:w="1369"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电磁兼容</w:t>
            </w:r>
          </w:p>
        </w:tc>
        <w:tc>
          <w:tcPr>
            <w:tcW w:w="5993" w:type="dxa"/>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合格</w:t>
            </w:r>
          </w:p>
        </w:tc>
      </w:tr>
    </w:tbl>
    <w:p>
      <w:pPr>
        <w:ind w:firstLine="643" w:firstLineChars="200"/>
        <w:rPr>
          <w:rFonts w:hint="eastAsia" w:ascii="仿宋_GB2312" w:hAnsi="仿宋_GB2312" w:eastAsia="仿宋_GB2312" w:cs="仿宋_GB2312"/>
          <w:b/>
          <w:bCs/>
          <w:color w:val="auto"/>
          <w:sz w:val="32"/>
          <w:szCs w:val="32"/>
          <w:lang w:val="en-US" w:eastAsia="zh-CN"/>
        </w:rPr>
      </w:pPr>
      <w:bookmarkStart w:id="18" w:name="_Toc7509"/>
      <w:r>
        <w:rPr>
          <w:rFonts w:hint="eastAsia" w:ascii="仿宋_GB2312" w:hAnsi="仿宋_GB2312" w:eastAsia="仿宋_GB2312" w:cs="仿宋_GB2312"/>
          <w:b/>
          <w:bCs/>
          <w:color w:val="auto"/>
          <w:sz w:val="32"/>
          <w:szCs w:val="32"/>
          <w:lang w:val="en-US" w:eastAsia="zh-CN"/>
        </w:rPr>
        <w:t>2.驱动电源技术要求</w:t>
      </w:r>
      <w:bookmarkEnd w:id="18"/>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品牌推荐</w:t>
      </w:r>
      <w:r>
        <w:rPr>
          <w:rFonts w:hint="eastAsia" w:ascii="仿宋_GB2312" w:hAnsi="仿宋_GB2312" w:eastAsia="仿宋_GB2312" w:cs="仿宋_GB2312"/>
          <w:b w:val="0"/>
          <w:bCs w:val="0"/>
          <w:color w:val="auto"/>
          <w:sz w:val="32"/>
          <w:szCs w:val="32"/>
        </w:rPr>
        <w:t>使用</w:t>
      </w:r>
      <w:r>
        <w:rPr>
          <w:rFonts w:hint="eastAsia" w:ascii="仿宋_GB2312" w:hAnsi="仿宋_GB2312" w:eastAsia="仿宋_GB2312" w:cs="仿宋_GB2312"/>
          <w:b w:val="0"/>
          <w:bCs w:val="0"/>
          <w:color w:val="auto"/>
          <w:sz w:val="32"/>
          <w:szCs w:val="32"/>
          <w:lang w:val="en-US" w:eastAsia="zh-CN"/>
        </w:rPr>
        <w:t>创联、诚联、</w:t>
      </w:r>
      <w:r>
        <w:rPr>
          <w:rFonts w:hint="eastAsia" w:ascii="仿宋_GB2312" w:hAnsi="仿宋_GB2312" w:eastAsia="仿宋_GB2312" w:cs="仿宋_GB2312"/>
          <w:b w:val="0"/>
          <w:bCs w:val="0"/>
          <w:color w:val="auto"/>
          <w:sz w:val="32"/>
          <w:szCs w:val="32"/>
        </w:rPr>
        <w:t>茂硕、英飞特、台湾明纬</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欧司朗（OSRAM）、飞利浦（PHILIPS）</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排名不分先后）</w:t>
      </w:r>
      <w:r>
        <w:rPr>
          <w:rFonts w:hint="eastAsia" w:ascii="仿宋_GB2312" w:hAnsi="仿宋_GB2312" w:eastAsia="仿宋_GB2312" w:cs="仿宋_GB2312"/>
          <w:b w:val="0"/>
          <w:bCs w:val="0"/>
          <w:color w:val="auto"/>
          <w:sz w:val="32"/>
          <w:szCs w:val="32"/>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灯具为外置恒压驱动电源集中供电。</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电源必须符合国家相关标准。小于70W的灯具必须配置恒压驱动电源。所有LED灯具必须结合现场安装条件配置适当的防水驱动电源（含内置电源）</w:t>
      </w:r>
      <w:r>
        <w:rPr>
          <w:rFonts w:hint="eastAsia" w:ascii="宋体" w:hAnsi="宋体" w:eastAsia="宋体" w:cs="宋体"/>
          <w:color w:val="auto"/>
          <w:sz w:val="32"/>
          <w:szCs w:val="32"/>
          <w:lang w:eastAsia="zh-CN"/>
        </w:rPr>
        <w:t>≥</w:t>
      </w:r>
      <w:r>
        <w:rPr>
          <w:rFonts w:hint="eastAsia" w:ascii="仿宋_GB2312" w:hAnsi="仿宋_GB2312" w:eastAsia="仿宋_GB2312" w:cs="仿宋_GB2312"/>
          <w:color w:val="auto"/>
          <w:sz w:val="32"/>
          <w:szCs w:val="32"/>
        </w:rPr>
        <w:t>IP67</w:t>
      </w:r>
      <w:r>
        <w:rPr>
          <w:rFonts w:hint="eastAsia" w:ascii="仿宋_GB2312" w:hAnsi="仿宋_GB2312" w:eastAsia="仿宋_GB2312" w:cs="仿宋_GB2312"/>
          <w:b w:val="0"/>
          <w:bCs w:val="0"/>
          <w:color w:val="auto"/>
          <w:sz w:val="32"/>
          <w:szCs w:val="32"/>
        </w:rPr>
        <w:t>，电源功率及数量由</w:t>
      </w:r>
      <w:r>
        <w:rPr>
          <w:rFonts w:hint="eastAsia" w:ascii="仿宋_GB2312" w:hAnsi="仿宋_GB2312" w:eastAsia="仿宋_GB2312" w:cs="仿宋_GB2312"/>
          <w:b w:val="0"/>
          <w:bCs w:val="0"/>
          <w:color w:val="auto"/>
          <w:sz w:val="32"/>
          <w:szCs w:val="32"/>
          <w:lang w:val="en-US" w:eastAsia="zh-CN"/>
        </w:rPr>
        <w:t>采购单位</w:t>
      </w:r>
      <w:r>
        <w:rPr>
          <w:rFonts w:hint="eastAsia" w:ascii="仿宋_GB2312" w:hAnsi="仿宋_GB2312" w:eastAsia="仿宋_GB2312" w:cs="仿宋_GB2312"/>
          <w:b w:val="0"/>
          <w:bCs w:val="0"/>
          <w:color w:val="auto"/>
          <w:sz w:val="32"/>
          <w:szCs w:val="32"/>
        </w:rPr>
        <w:t>根据现场安装条件确定，电源的价格含在灯具总价中。电源数量不作为影响灯具价格的因素。根据具体灯具要求配置内置或外置。该电源必须为灯具标配，不得随意更换。</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外置驱动电源、内置外露驱动电源应考虑一体式防水和散热。</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单颗芯片功率不小于1W的大功率LED灯具电源要有过载过压短路保护，自动温控保护。</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外置</w:t>
      </w:r>
      <w:r>
        <w:rPr>
          <w:rFonts w:hint="eastAsia" w:ascii="仿宋_GB2312" w:hAnsi="仿宋_GB2312" w:eastAsia="仿宋_GB2312" w:cs="仿宋_GB2312"/>
          <w:b w:val="0"/>
          <w:bCs w:val="0"/>
          <w:color w:val="auto"/>
          <w:sz w:val="32"/>
          <w:szCs w:val="32"/>
          <w:lang w:val="en-US" w:eastAsia="zh-CN"/>
        </w:rPr>
        <w:t>驱动</w:t>
      </w:r>
      <w:r>
        <w:rPr>
          <w:rFonts w:hint="eastAsia" w:ascii="仿宋_GB2312" w:hAnsi="仿宋_GB2312" w:eastAsia="仿宋_GB2312" w:cs="仿宋_GB2312"/>
          <w:b w:val="0"/>
          <w:bCs w:val="0"/>
          <w:color w:val="auto"/>
          <w:sz w:val="32"/>
          <w:szCs w:val="32"/>
        </w:rPr>
        <w:t>电源集中供电时，所提供的电源必须满足现场实际安装需要，每个电源的功率根据现场条件，由设计及</w:t>
      </w:r>
      <w:r>
        <w:rPr>
          <w:rFonts w:hint="eastAsia" w:ascii="仿宋_GB2312" w:hAnsi="仿宋_GB2312" w:eastAsia="仿宋_GB2312" w:cs="仿宋_GB2312"/>
          <w:b w:val="0"/>
          <w:bCs w:val="0"/>
          <w:color w:val="auto"/>
          <w:sz w:val="32"/>
          <w:szCs w:val="32"/>
          <w:lang w:val="en-US" w:eastAsia="zh-CN"/>
        </w:rPr>
        <w:t>采购单位</w:t>
      </w:r>
      <w:r>
        <w:rPr>
          <w:rFonts w:hint="eastAsia" w:ascii="仿宋_GB2312" w:hAnsi="仿宋_GB2312" w:eastAsia="仿宋_GB2312" w:cs="仿宋_GB2312"/>
          <w:b w:val="0"/>
          <w:bCs w:val="0"/>
          <w:color w:val="auto"/>
          <w:sz w:val="32"/>
          <w:szCs w:val="32"/>
        </w:rPr>
        <w:t>确定。</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外置驱动电源：输入交流电压220V，输出直流电压</w:t>
      </w:r>
      <w:r>
        <w:rPr>
          <w:rFonts w:hint="eastAsia" w:ascii="仿宋_GB2312" w:hAnsi="仿宋_GB2312" w:eastAsia="仿宋_GB2312" w:cs="仿宋_GB2312"/>
          <w:b w:val="0"/>
          <w:bCs w:val="0"/>
          <w:color w:val="auto"/>
          <w:sz w:val="32"/>
          <w:szCs w:val="32"/>
          <w:lang w:val="en-US" w:eastAsia="zh-CN"/>
        </w:rPr>
        <w:t>12</w:t>
      </w:r>
      <w:r>
        <w:rPr>
          <w:rFonts w:hint="eastAsia" w:ascii="仿宋_GB2312" w:hAnsi="仿宋_GB2312" w:eastAsia="仿宋_GB2312" w:cs="仿宋_GB2312"/>
          <w:b w:val="0"/>
          <w:bCs w:val="0"/>
          <w:color w:val="auto"/>
          <w:sz w:val="32"/>
          <w:szCs w:val="32"/>
        </w:rPr>
        <w:t>V；输入输出引出线长不低于0.3米</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防护等级IP67</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防雷等级线对线4KV、线对地6KV</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无风扇设计，自然风冷。驱动电源效率不低于90%，有短路、过电流、过电压、过温度保护。功率因素不小于</w:t>
      </w:r>
      <w:r>
        <w:rPr>
          <w:rFonts w:hint="eastAsia" w:ascii="仿宋_GB2312" w:hAnsi="仿宋_GB2312" w:eastAsia="仿宋_GB2312" w:cs="仿宋_GB2312"/>
          <w:b w:val="0"/>
          <w:bCs w:val="0"/>
          <w:color w:val="auto"/>
          <w:sz w:val="32"/>
          <w:szCs w:val="32"/>
          <w:lang w:val="en-US" w:eastAsia="zh-CN"/>
        </w:rPr>
        <w:t>0.9</w:t>
      </w:r>
      <w:r>
        <w:rPr>
          <w:rFonts w:hint="eastAsia" w:ascii="仿宋_GB2312" w:hAnsi="仿宋_GB2312" w:eastAsia="仿宋_GB2312" w:cs="仿宋_GB2312"/>
          <w:b w:val="0"/>
          <w:bCs w:val="0"/>
          <w:color w:val="auto"/>
          <w:sz w:val="32"/>
          <w:szCs w:val="32"/>
        </w:rPr>
        <w:t>，安规和电磁兼容符合相关国家、国际标准。</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外置驱动电源在电源箱内设置数量3</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6个，在干燥、潮湿、淋雨环境下工作温度为-20℃</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+60℃，</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湿度</w:t>
      </w:r>
      <w:r>
        <w:rPr>
          <w:rFonts w:hint="eastAsia" w:ascii="仿宋_GB2312" w:hAnsi="仿宋_GB2312" w:eastAsia="仿宋_GB2312" w:cs="仿宋_GB2312"/>
          <w:b w:val="0"/>
          <w:bCs w:val="0"/>
          <w:color w:val="000000" w:themeColor="text1"/>
          <w:sz w:val="32"/>
          <w:szCs w:val="32"/>
          <w14:textFill>
            <w14:solidFill>
              <w14:schemeClr w14:val="tx1"/>
            </w14:solidFill>
          </w14:textFill>
        </w:rPr>
        <w:t>为</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90%，质保期</w:t>
      </w:r>
      <w:r>
        <w:rPr>
          <w:rFonts w:hint="eastAsia" w:ascii="宋体" w:hAnsi="宋体" w:eastAsia="宋体" w:cs="宋体"/>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5年</w:t>
      </w:r>
      <w:r>
        <w:rPr>
          <w:rFonts w:hint="eastAsia" w:ascii="仿宋_GB2312" w:hAnsi="仿宋_GB2312" w:eastAsia="仿宋_GB2312" w:cs="仿宋_GB2312"/>
          <w:b w:val="0"/>
          <w:bCs w:val="0"/>
          <w:color w:val="auto"/>
          <w:sz w:val="32"/>
          <w:szCs w:val="32"/>
        </w:rPr>
        <w:t>。</w:t>
      </w:r>
    </w:p>
    <w:bookmarkEnd w:id="16"/>
    <w:p>
      <w:pPr>
        <w:jc w:val="both"/>
        <w:rPr>
          <w:rFonts w:hint="eastAsia" w:ascii="楷体_GB2312" w:hAnsi="楷体_GB2312" w:eastAsia="楷体_GB2312" w:cs="楷体_GB2312"/>
          <w:b/>
          <w:bCs/>
          <w:color w:val="auto"/>
          <w:sz w:val="32"/>
          <w:szCs w:val="32"/>
          <w:highlight w:val="none"/>
          <w:lang w:val="en-US" w:eastAsia="zh-CN"/>
        </w:rPr>
      </w:pPr>
      <w:bookmarkStart w:id="19" w:name="_Toc13459"/>
      <w:r>
        <w:rPr>
          <w:rFonts w:hint="eastAsia" w:ascii="楷体_GB2312" w:hAnsi="楷体_GB2312" w:eastAsia="楷体_GB2312" w:cs="楷体_GB2312"/>
          <w:b/>
          <w:bCs/>
          <w:color w:val="auto"/>
          <w:sz w:val="32"/>
          <w:szCs w:val="32"/>
          <w:highlight w:val="none"/>
          <w:lang w:val="en-US" w:eastAsia="zh-CN"/>
        </w:rPr>
        <w:t>（四）景观灯具通用检测要求</w:t>
      </w:r>
      <w:bookmarkEnd w:id="19"/>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20" w:name="_Toc30365"/>
      <w:r>
        <w:rPr>
          <w:rFonts w:hint="eastAsia" w:ascii="仿宋_GB2312" w:hAnsi="仿宋_GB2312" w:eastAsia="仿宋_GB2312" w:cs="仿宋_GB2312"/>
          <w:b/>
          <w:bCs/>
          <w:color w:val="auto"/>
          <w:sz w:val="32"/>
          <w:szCs w:val="32"/>
          <w:lang w:val="en-US" w:eastAsia="zh-CN"/>
        </w:rPr>
        <w:t>1.说明</w:t>
      </w:r>
      <w:bookmarkEnd w:id="2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bookmarkStart w:id="21" w:name="_Toc6588"/>
      <w:r>
        <w:rPr>
          <w:rFonts w:hint="eastAsia" w:ascii="仿宋_GB2312" w:hAnsi="仿宋_GB2312" w:eastAsia="仿宋_GB2312" w:cs="仿宋_GB2312"/>
          <w:b/>
          <w:bCs/>
          <w:color w:val="auto"/>
          <w:sz w:val="32"/>
          <w:szCs w:val="32"/>
        </w:rPr>
        <w:t>所有检测机构均必须为“国家级权威检测机构”。</w:t>
      </w:r>
    </w:p>
    <w:p>
      <w:pPr>
        <w:keepNext w:val="0"/>
        <w:keepLines w:val="0"/>
        <w:pageBreakBefore w:val="0"/>
        <w:widowControl w:val="0"/>
        <w:numPr>
          <w:ilvl w:val="0"/>
          <w:numId w:val="12"/>
        </w:numPr>
        <w:tabs>
          <w:tab w:val="left" w:pos="537"/>
          <w:tab w:val="clear" w:pos="312"/>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灯具不同阶段检测项目</w:t>
      </w:r>
    </w:p>
    <w:p>
      <w:pPr>
        <w:keepNext w:val="0"/>
        <w:keepLines w:val="0"/>
        <w:pageBreakBefore w:val="0"/>
        <w:widowControl w:val="0"/>
        <w:numPr>
          <w:ilvl w:val="0"/>
          <w:numId w:val="0"/>
        </w:numPr>
        <w:tabs>
          <w:tab w:val="left" w:pos="537"/>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z w:val="32"/>
          <w:szCs w:val="32"/>
          <w:lang w:val="en-US" w:eastAsia="zh-CN"/>
        </w:rPr>
      </w:pPr>
    </w:p>
    <w:p>
      <w:pPr>
        <w:keepNext w:val="0"/>
        <w:keepLines w:val="0"/>
        <w:pageBreakBefore w:val="0"/>
        <w:widowControl w:val="0"/>
        <w:numPr>
          <w:ilvl w:val="0"/>
          <w:numId w:val="0"/>
        </w:numPr>
        <w:tabs>
          <w:tab w:val="left" w:pos="537"/>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z w:val="32"/>
          <w:szCs w:val="32"/>
          <w:lang w:val="en-US" w:eastAsia="zh-CN"/>
        </w:rPr>
      </w:pPr>
    </w:p>
    <w:tbl>
      <w:tblPr>
        <w:tblStyle w:val="3"/>
        <w:tblW w:w="9826" w:type="dxa"/>
        <w:jc w:val="center"/>
        <w:tblLayout w:type="fixed"/>
        <w:tblCellMar>
          <w:top w:w="0" w:type="dxa"/>
          <w:left w:w="0" w:type="dxa"/>
          <w:bottom w:w="0" w:type="dxa"/>
          <w:right w:w="0" w:type="dxa"/>
        </w:tblCellMar>
      </w:tblPr>
      <w:tblGrid>
        <w:gridCol w:w="807"/>
        <w:gridCol w:w="5995"/>
        <w:gridCol w:w="1512"/>
        <w:gridCol w:w="1512"/>
      </w:tblGrid>
      <w:tr>
        <w:tblPrEx>
          <w:tblCellMar>
            <w:top w:w="0" w:type="dxa"/>
            <w:left w:w="0" w:type="dxa"/>
            <w:bottom w:w="0" w:type="dxa"/>
            <w:right w:w="0" w:type="dxa"/>
          </w:tblCellMar>
        </w:tblPrEx>
        <w:trPr>
          <w:trHeight w:val="1669" w:hRule="atLeast"/>
          <w:tblHeader/>
          <w:jc w:val="center"/>
        </w:trPr>
        <w:tc>
          <w:tcPr>
            <w:tcW w:w="807" w:type="dxa"/>
            <w:tcBorders>
              <w:top w:val="single" w:color="000000" w:sz="4" w:space="0"/>
              <w:left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序号</w:t>
            </w:r>
          </w:p>
        </w:tc>
        <w:tc>
          <w:tcPr>
            <w:tcW w:w="5995"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检测项目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质保期间</w:t>
            </w:r>
          </w:p>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抽检项目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投标前需检测项目</w:t>
            </w:r>
          </w:p>
        </w:tc>
      </w:tr>
      <w:tr>
        <w:tblPrEx>
          <w:tblCellMar>
            <w:top w:w="0" w:type="dxa"/>
            <w:left w:w="0" w:type="dxa"/>
            <w:bottom w:w="0" w:type="dxa"/>
            <w:right w:w="0" w:type="dxa"/>
          </w:tblCellMar>
        </w:tblPrEx>
        <w:trPr>
          <w:trHeight w:val="90"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安规项目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0"/>
                <w:sz w:val="32"/>
                <w:szCs w:val="32"/>
              </w:rPr>
              <w:t>外部接线和内部接线</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防尘、防固体异物和防水：</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IP6</w:t>
            </w:r>
            <w:r>
              <w:rPr>
                <w:rFonts w:hint="eastAsia" w:ascii="仿宋_GB2312" w:hAnsi="仿宋_GB2312" w:eastAsia="仿宋_GB2312" w:cs="仿宋_GB2312"/>
                <w:color w:val="auto"/>
                <w:kern w:val="0"/>
                <w:sz w:val="32"/>
                <w:szCs w:val="32"/>
                <w:lang w:val="en-US" w:eastAsia="zh-CN"/>
              </w:rPr>
              <w:t>5</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468"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潮湿后的绝缘电阻和电气强度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468"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二、光学项目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色度参数：相关色温</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u w:val="none"/>
                <w:lang w:eastAsia="zh-CN"/>
              </w:rPr>
            </w:pPr>
            <w:r>
              <w:rPr>
                <w:rFonts w:hint="eastAsia" w:ascii="仿宋_GB2312" w:hAnsi="仿宋_GB2312" w:eastAsia="仿宋_GB2312" w:cs="仿宋_GB2312"/>
                <w:color w:val="auto"/>
                <w:kern w:val="0"/>
                <w:sz w:val="32"/>
                <w:szCs w:val="32"/>
              </w:rPr>
              <w:t>电参数： 电压、电流、功率</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494"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color w:val="auto"/>
                <w:kern w:val="0"/>
                <w:sz w:val="32"/>
                <w:szCs w:val="32"/>
              </w:rPr>
              <w:t>光度参数：整灯光效</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p>
        </w:tc>
      </w:tr>
      <w:tr>
        <w:tblPrEx>
          <w:tblCellMar>
            <w:top w:w="0" w:type="dxa"/>
            <w:left w:w="0" w:type="dxa"/>
            <w:bottom w:w="0" w:type="dxa"/>
            <w:right w:w="0" w:type="dxa"/>
          </w:tblCellMar>
        </w:tblPrEx>
        <w:trPr>
          <w:trHeight w:val="494"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三、效果项目</w:t>
            </w:r>
          </w:p>
        </w:tc>
      </w:tr>
      <w:tr>
        <w:tblPrEx>
          <w:tblCellMar>
            <w:top w:w="0" w:type="dxa"/>
            <w:left w:w="0" w:type="dxa"/>
            <w:bottom w:w="0" w:type="dxa"/>
            <w:right w:w="0" w:type="dxa"/>
          </w:tblCellMar>
        </w:tblPrEx>
        <w:trPr>
          <w:trHeight w:val="267"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平均亮度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r>
      <w:tr>
        <w:tblPrEx>
          <w:tblCellMar>
            <w:top w:w="0" w:type="dxa"/>
            <w:left w:w="0" w:type="dxa"/>
            <w:bottom w:w="0" w:type="dxa"/>
            <w:right w:w="0" w:type="dxa"/>
          </w:tblCellMar>
        </w:tblPrEx>
        <w:trPr>
          <w:trHeight w:val="267"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最小亮度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r>
      <w:tr>
        <w:tblPrEx>
          <w:tblCellMar>
            <w:top w:w="0" w:type="dxa"/>
            <w:left w:w="0" w:type="dxa"/>
            <w:bottom w:w="0" w:type="dxa"/>
            <w:right w:w="0" w:type="dxa"/>
          </w:tblCellMar>
        </w:tblPrEx>
        <w:trPr>
          <w:trHeight w:val="267"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均匀度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rPr>
      </w:pPr>
    </w:p>
    <w:bookmarkEnd w:id="21"/>
    <w:p>
      <w:pPr>
        <w:numPr>
          <w:ilvl w:val="0"/>
          <w:numId w:val="0"/>
        </w:numPr>
        <w:rPr>
          <w:rFonts w:hint="eastAsia" w:ascii="仿宋_GB2312" w:hAnsi="仿宋_GB2312" w:eastAsia="仿宋_GB2312" w:cs="仿宋_GB2312"/>
          <w:b/>
          <w:bCs/>
          <w:color w:val="auto"/>
          <w:sz w:val="32"/>
          <w:szCs w:val="32"/>
          <w:lang w:val="en-US" w:eastAsia="zh-CN"/>
        </w:rPr>
      </w:pPr>
      <w:bookmarkStart w:id="22" w:name="_Toc12436"/>
      <w:r>
        <w:rPr>
          <w:rFonts w:hint="eastAsia" w:ascii="仿宋_GB2312" w:hAnsi="仿宋_GB2312" w:eastAsia="仿宋_GB2312" w:cs="仿宋_GB2312"/>
          <w:b/>
          <w:bCs/>
          <w:color w:val="auto"/>
          <w:sz w:val="32"/>
          <w:szCs w:val="32"/>
          <w:lang w:val="en-US" w:eastAsia="zh-CN"/>
        </w:rPr>
        <w:t>3.</w:t>
      </w:r>
      <w:bookmarkEnd w:id="22"/>
      <w:r>
        <w:rPr>
          <w:rFonts w:hint="eastAsia" w:ascii="仿宋_GB2312" w:hAnsi="仿宋_GB2312" w:eastAsia="仿宋_GB2312" w:cs="仿宋_GB2312"/>
          <w:b/>
          <w:bCs/>
          <w:color w:val="auto"/>
          <w:sz w:val="32"/>
          <w:szCs w:val="32"/>
          <w:lang w:val="en-US" w:eastAsia="zh-CN"/>
        </w:rPr>
        <w:t>质保期期间灯具其他抽检项目</w:t>
      </w:r>
    </w:p>
    <w:tbl>
      <w:tblPr>
        <w:tblStyle w:val="3"/>
        <w:tblW w:w="8298" w:type="dxa"/>
        <w:jc w:val="center"/>
        <w:tblLayout w:type="fixed"/>
        <w:tblCellMar>
          <w:top w:w="15" w:type="dxa"/>
          <w:left w:w="15" w:type="dxa"/>
          <w:bottom w:w="15" w:type="dxa"/>
          <w:right w:w="15" w:type="dxa"/>
        </w:tblCellMar>
      </w:tblPr>
      <w:tblGrid>
        <w:gridCol w:w="488"/>
        <w:gridCol w:w="1861"/>
        <w:gridCol w:w="5949"/>
      </w:tblGrid>
      <w:tr>
        <w:tblPrEx>
          <w:tblCellMar>
            <w:top w:w="15" w:type="dxa"/>
            <w:left w:w="15" w:type="dxa"/>
            <w:bottom w:w="15" w:type="dxa"/>
            <w:right w:w="15" w:type="dxa"/>
          </w:tblCellMar>
        </w:tblPrEx>
        <w:trPr>
          <w:trHeight w:val="681" w:hRule="atLeast"/>
          <w:tblHeader/>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sz w:val="32"/>
                <w:szCs w:val="32"/>
              </w:rPr>
              <w:t>序号</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sz w:val="32"/>
                <w:szCs w:val="32"/>
              </w:rPr>
              <w:t>检测对象</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
                <w:color w:val="auto"/>
                <w:sz w:val="32"/>
                <w:szCs w:val="32"/>
              </w:rPr>
            </w:pPr>
            <w:r>
              <w:rPr>
                <w:rFonts w:hint="eastAsia" w:ascii="仿宋_GB2312" w:hAnsi="仿宋_GB2312" w:eastAsia="仿宋_GB2312" w:cs="仿宋_GB2312"/>
                <w:b/>
                <w:bCs/>
                <w:color w:val="auto"/>
                <w:sz w:val="32"/>
                <w:szCs w:val="32"/>
              </w:rPr>
              <w:t>检测项目</w:t>
            </w:r>
          </w:p>
        </w:tc>
      </w:tr>
      <w:tr>
        <w:tblPrEx>
          <w:tblCellMar>
            <w:top w:w="15" w:type="dxa"/>
            <w:left w:w="15" w:type="dxa"/>
            <w:bottom w:w="15" w:type="dxa"/>
            <w:right w:w="15" w:type="dxa"/>
          </w:tblCellMar>
        </w:tblPrEx>
        <w:trPr>
          <w:trHeight w:val="539" w:hRule="atLeast"/>
          <w:jc w:val="center"/>
        </w:trPr>
        <w:tc>
          <w:tcPr>
            <w:tcW w:w="48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1</w:t>
            </w:r>
          </w:p>
        </w:tc>
        <w:tc>
          <w:tcPr>
            <w:tcW w:w="1861"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外壳、外露安装支架、螺丝螺帽等附件</w:t>
            </w: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必须采用高压铸铝合金、拉伸铝合金、以及304不锈钢等材质</w:t>
            </w:r>
            <w:r>
              <w:rPr>
                <w:rFonts w:hint="eastAsia" w:ascii="仿宋_GB2312" w:hAnsi="仿宋_GB2312" w:eastAsia="仿宋_GB2312" w:cs="仿宋_GB2312"/>
                <w:color w:val="auto"/>
                <w:kern w:val="0"/>
                <w:sz w:val="32"/>
                <w:szCs w:val="32"/>
                <w:lang w:eastAsia="zh-CN"/>
              </w:rPr>
              <w:t>。</w:t>
            </w:r>
          </w:p>
        </w:tc>
      </w:tr>
      <w:tr>
        <w:tblPrEx>
          <w:tblCellMar>
            <w:top w:w="15" w:type="dxa"/>
            <w:left w:w="15" w:type="dxa"/>
            <w:bottom w:w="15" w:type="dxa"/>
            <w:right w:w="15" w:type="dxa"/>
          </w:tblCellMar>
        </w:tblPrEx>
        <w:trPr>
          <w:trHeight w:val="445"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lang w:val="en-US" w:eastAsia="zh-CN"/>
              </w:rPr>
              <w:t>2</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电气安全</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外部接线和内部接线</w:t>
            </w:r>
            <w:r>
              <w:rPr>
                <w:rFonts w:hint="eastAsia" w:ascii="仿宋_GB2312" w:hAnsi="仿宋_GB2312" w:eastAsia="仿宋_GB2312" w:cs="仿宋_GB2312"/>
                <w:color w:val="auto"/>
                <w:kern w:val="0"/>
                <w:sz w:val="32"/>
                <w:szCs w:val="32"/>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rPr>
            </w:pP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潮湿后的绝缘电阻和电气强度</w:t>
            </w:r>
            <w:r>
              <w:rPr>
                <w:rFonts w:hint="eastAsia" w:ascii="仿宋_GB2312" w:hAnsi="仿宋_GB2312" w:eastAsia="仿宋_GB2312" w:cs="仿宋_GB2312"/>
                <w:color w:val="auto"/>
                <w:kern w:val="0"/>
                <w:sz w:val="32"/>
                <w:szCs w:val="32"/>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rPr>
              <w:t>其他：防雷击、防静电能力、电磁干扰、灯具外壳温升</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芯片引脚温升</w:t>
            </w:r>
            <w:r>
              <w:rPr>
                <w:rFonts w:hint="eastAsia" w:ascii="仿宋_GB2312" w:hAnsi="仿宋_GB2312" w:eastAsia="仿宋_GB2312" w:cs="仿宋_GB2312"/>
                <w:color w:val="auto"/>
                <w:kern w:val="0"/>
                <w:sz w:val="32"/>
                <w:szCs w:val="32"/>
              </w:rPr>
              <w:t>等</w:t>
            </w:r>
            <w:r>
              <w:rPr>
                <w:rFonts w:hint="eastAsia" w:ascii="仿宋_GB2312" w:hAnsi="仿宋_GB2312" w:eastAsia="仿宋_GB2312" w:cs="仿宋_GB2312"/>
                <w:color w:val="auto"/>
                <w:kern w:val="0"/>
                <w:sz w:val="32"/>
                <w:szCs w:val="32"/>
                <w:lang w:eastAsia="zh-CN"/>
              </w:rPr>
              <w:t>。</w:t>
            </w:r>
          </w:p>
        </w:tc>
      </w:tr>
      <w:tr>
        <w:tblPrEx>
          <w:tblCellMar>
            <w:top w:w="15" w:type="dxa"/>
            <w:left w:w="15" w:type="dxa"/>
            <w:bottom w:w="15" w:type="dxa"/>
            <w:right w:w="15" w:type="dxa"/>
          </w:tblCellMar>
        </w:tblPrEx>
        <w:trPr>
          <w:trHeight w:val="362" w:hRule="atLeast"/>
          <w:jc w:val="center"/>
        </w:trPr>
        <w:tc>
          <w:tcPr>
            <w:tcW w:w="48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lang w:val="en-US" w:eastAsia="zh-CN"/>
              </w:rPr>
              <w:t>3</w:t>
            </w:r>
          </w:p>
        </w:tc>
        <w:tc>
          <w:tcPr>
            <w:tcW w:w="1861"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防护等级</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rPr>
              <w:t>一般灯具防护等级</w:t>
            </w:r>
            <w:r>
              <w:rPr>
                <w:rFonts w:hint="eastAsia" w:ascii="宋体" w:hAnsi="宋体" w:eastAsia="宋体" w:cs="宋体"/>
                <w:color w:val="auto"/>
                <w:kern w:val="0"/>
                <w:sz w:val="32"/>
                <w:szCs w:val="32"/>
                <w:lang w:eastAsia="zh-CN"/>
              </w:rPr>
              <w:t>≥</w:t>
            </w:r>
            <w:r>
              <w:rPr>
                <w:rFonts w:hint="eastAsia" w:ascii="仿宋_GB2312" w:hAnsi="仿宋_GB2312" w:eastAsia="仿宋_GB2312" w:cs="仿宋_GB2312"/>
                <w:color w:val="auto"/>
                <w:kern w:val="0"/>
                <w:sz w:val="32"/>
                <w:szCs w:val="32"/>
              </w:rPr>
              <w:t>IP6</w:t>
            </w:r>
            <w:r>
              <w:rPr>
                <w:rFonts w:hint="eastAsia" w:ascii="仿宋_GB2312" w:hAnsi="仿宋_GB2312" w:eastAsia="仿宋_GB2312" w:cs="仿宋_GB2312"/>
                <w:color w:val="auto"/>
                <w:kern w:val="0"/>
                <w:sz w:val="32"/>
                <w:szCs w:val="32"/>
                <w:lang w:val="en-US" w:eastAsia="zh-CN"/>
              </w:rPr>
              <w:t>5。</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lang w:val="en-US" w:eastAsia="zh-CN"/>
              </w:rPr>
              <w:t>4</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灯具寿命及光衰</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颗粒寿命</w:t>
            </w:r>
            <w:r>
              <w:rPr>
                <w:rFonts w:hint="eastAsia" w:ascii="宋体" w:hAnsi="宋体" w:eastAsia="宋体" w:cs="宋体"/>
                <w:color w:val="auto"/>
                <w:kern w:val="0"/>
                <w:sz w:val="32"/>
                <w:szCs w:val="32"/>
                <w:lang w:eastAsia="zh-CN"/>
              </w:rPr>
              <w:t>≥</w:t>
            </w:r>
            <w:r>
              <w:rPr>
                <w:rFonts w:hint="eastAsia" w:ascii="仿宋_GB2312" w:hAnsi="仿宋_GB2312" w:eastAsia="仿宋_GB2312" w:cs="仿宋_GB2312"/>
                <w:color w:val="auto"/>
                <w:kern w:val="0"/>
                <w:sz w:val="32"/>
                <w:szCs w:val="32"/>
              </w:rPr>
              <w:t>5万小时</w:t>
            </w:r>
            <w:r>
              <w:rPr>
                <w:rFonts w:hint="eastAsia" w:ascii="仿宋_GB2312" w:hAnsi="仿宋_GB2312" w:eastAsia="仿宋_GB2312" w:cs="仿宋_GB2312"/>
                <w:color w:val="auto"/>
                <w:kern w:val="0"/>
                <w:sz w:val="32"/>
                <w:szCs w:val="32"/>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rPr>
              <w:t>灯具光衰符合国标要求</w:t>
            </w:r>
            <w:r>
              <w:rPr>
                <w:rFonts w:hint="eastAsia" w:ascii="仿宋_GB2312" w:hAnsi="仿宋_GB2312" w:eastAsia="仿宋_GB2312" w:cs="仿宋_GB2312"/>
                <w:color w:val="auto"/>
                <w:kern w:val="0"/>
                <w:sz w:val="32"/>
                <w:szCs w:val="32"/>
                <w:lang w:eastAsia="zh-CN"/>
              </w:rPr>
              <w:t>。</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lang w:val="en-US" w:eastAsia="zh-CN"/>
              </w:rPr>
              <w:t>5</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kern w:val="0"/>
                <w:sz w:val="32"/>
                <w:szCs w:val="32"/>
              </w:rPr>
              <w:t>驱动电源</w:t>
            </w:r>
          </w:p>
        </w:tc>
        <w:tc>
          <w:tcPr>
            <w:tcW w:w="59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eastAsia="zh-CN"/>
              </w:rPr>
              <w:t>品牌推荐</w:t>
            </w:r>
            <w:r>
              <w:rPr>
                <w:rFonts w:hint="eastAsia" w:ascii="仿宋_GB2312" w:hAnsi="仿宋_GB2312" w:eastAsia="仿宋_GB2312" w:cs="仿宋_GB2312"/>
                <w:color w:val="auto"/>
                <w:kern w:val="0"/>
                <w:sz w:val="32"/>
                <w:szCs w:val="32"/>
              </w:rPr>
              <w:t>使用</w:t>
            </w:r>
            <w:r>
              <w:rPr>
                <w:rFonts w:hint="eastAsia" w:ascii="仿宋_GB2312" w:hAnsi="仿宋_GB2312" w:eastAsia="仿宋_GB2312" w:cs="仿宋_GB2312"/>
                <w:color w:val="auto"/>
                <w:kern w:val="0"/>
                <w:sz w:val="32"/>
                <w:szCs w:val="32"/>
                <w:lang w:val="en-US" w:eastAsia="zh-CN"/>
              </w:rPr>
              <w:t>创联、诚联、</w:t>
            </w:r>
            <w:r>
              <w:rPr>
                <w:rFonts w:hint="eastAsia" w:ascii="仿宋_GB2312" w:hAnsi="仿宋_GB2312" w:eastAsia="仿宋_GB2312" w:cs="仿宋_GB2312"/>
                <w:color w:val="auto"/>
                <w:kern w:val="0"/>
                <w:sz w:val="32"/>
                <w:szCs w:val="32"/>
              </w:rPr>
              <w:t>茂硕、英飞特、</w:t>
            </w:r>
            <w:r>
              <w:rPr>
                <w:rFonts w:hint="eastAsia" w:ascii="仿宋_GB2312" w:hAnsi="仿宋_GB2312" w:eastAsia="仿宋_GB2312" w:cs="仿宋_GB2312"/>
                <w:color w:val="auto"/>
                <w:kern w:val="0"/>
                <w:sz w:val="32"/>
                <w:szCs w:val="32"/>
                <w:lang w:eastAsia="zh-CN"/>
              </w:rPr>
              <w:t>台湾明纬</w:t>
            </w:r>
            <w:r>
              <w:rPr>
                <w:rFonts w:hint="eastAsia" w:ascii="仿宋_GB2312" w:hAnsi="仿宋_GB2312" w:eastAsia="仿宋_GB2312" w:cs="仿宋_GB2312"/>
                <w:color w:val="auto"/>
                <w:kern w:val="0"/>
                <w:sz w:val="32"/>
                <w:szCs w:val="32"/>
              </w:rPr>
              <w:t>、欧司朗（OSRAM）、飞利浦（PHILIPS）</w:t>
            </w:r>
            <w:r>
              <w:rPr>
                <w:rFonts w:hint="eastAsia" w:ascii="仿宋_GB2312" w:hAnsi="仿宋_GB2312" w:eastAsia="仿宋_GB2312" w:cs="仿宋_GB2312"/>
                <w:color w:val="auto"/>
                <w:kern w:val="0"/>
                <w:sz w:val="32"/>
                <w:szCs w:val="32"/>
                <w:lang w:val="en-US" w:eastAsia="zh-CN"/>
              </w:rPr>
              <w:t>（排名不分先后)。</w:t>
            </w:r>
          </w:p>
        </w:tc>
      </w:tr>
      <w:tr>
        <w:tblPrEx>
          <w:tblCellMar>
            <w:top w:w="15" w:type="dxa"/>
            <w:left w:w="15" w:type="dxa"/>
            <w:bottom w:w="15" w:type="dxa"/>
            <w:right w:w="15" w:type="dxa"/>
          </w:tblCellMar>
        </w:tblPrEx>
        <w:trPr>
          <w:trHeight w:val="352"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rPr>
            </w:pPr>
          </w:p>
        </w:tc>
        <w:tc>
          <w:tcPr>
            <w:tcW w:w="594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left"/>
              <w:rPr>
                <w:rFonts w:hint="eastAsia" w:ascii="仿宋_GB2312" w:hAnsi="仿宋_GB2312" w:eastAsia="仿宋_GB2312" w:cs="仿宋_GB2312"/>
                <w:color w:val="auto"/>
                <w:sz w:val="32"/>
                <w:szCs w:val="32"/>
              </w:rPr>
            </w:pPr>
          </w:p>
        </w:tc>
      </w:tr>
    </w:tbl>
    <w:p>
      <w:pPr>
        <w:pStyle w:val="5"/>
        <w:rPr>
          <w:rFonts w:hint="eastAsia"/>
          <w:lang w:val="en-US" w:eastAsia="zh-CN"/>
        </w:rPr>
      </w:pPr>
      <w:bookmarkStart w:id="23" w:name="_Toc23670"/>
    </w:p>
    <w:bookmarkEnd w:id="23"/>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auto"/>
          <w:sz w:val="32"/>
          <w:szCs w:val="32"/>
          <w:highlight w:val="none"/>
          <w:lang w:val="en-US" w:eastAsia="zh-CN"/>
        </w:rPr>
      </w:pPr>
      <w:bookmarkStart w:id="24" w:name="_Toc694"/>
      <w:r>
        <w:rPr>
          <w:rFonts w:hint="eastAsia" w:ascii="楷体_GB2312" w:hAnsi="楷体_GB2312" w:eastAsia="楷体_GB2312" w:cs="楷体_GB2312"/>
          <w:b/>
          <w:bCs/>
          <w:color w:val="auto"/>
          <w:sz w:val="32"/>
          <w:szCs w:val="32"/>
          <w:highlight w:val="none"/>
          <w:lang w:val="en-US" w:eastAsia="zh-CN"/>
        </w:rPr>
        <w:t>（五）所有设施运输要求</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25" w:name="_Toc28100"/>
      <w:r>
        <w:rPr>
          <w:rFonts w:hint="eastAsia" w:ascii="仿宋_GB2312" w:hAnsi="仿宋_GB2312" w:eastAsia="仿宋_GB2312" w:cs="仿宋_GB2312"/>
          <w:b/>
          <w:bCs/>
          <w:color w:val="auto"/>
          <w:sz w:val="32"/>
          <w:szCs w:val="32"/>
          <w:lang w:val="en-US" w:eastAsia="zh-CN"/>
        </w:rPr>
        <w:t>1.说明</w:t>
      </w:r>
      <w:bookmarkEnd w:id="25"/>
    </w:p>
    <w:p>
      <w:pPr>
        <w:pStyle w:val="7"/>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技术文件详参有规定的，按详参规定执行，没有详参规定的，按照本通则执行。</w:t>
      </w:r>
    </w:p>
    <w:p>
      <w:pPr>
        <w:pStyle w:val="7"/>
        <w:pageBreakBefore w:val="0"/>
        <w:widowControl w:val="0"/>
        <w:kinsoku/>
        <w:wordWrap/>
        <w:overflowPunct/>
        <w:topLinePunct w:val="0"/>
        <w:autoSpaceDE/>
        <w:autoSpaceDN/>
        <w:bidi w:val="0"/>
        <w:adjustRightInd/>
        <w:snapToGrid w:val="0"/>
        <w:spacing w:line="560" w:lineRule="exact"/>
        <w:ind w:firstLine="48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lang w:val="en-US" w:eastAsia="zh-CN"/>
        </w:rPr>
      </w:pPr>
      <w:bookmarkStart w:id="26" w:name="_Toc5657"/>
      <w:r>
        <w:rPr>
          <w:rFonts w:hint="eastAsia" w:ascii="仿宋_GB2312" w:hAnsi="仿宋_GB2312" w:eastAsia="仿宋_GB2312" w:cs="仿宋_GB2312"/>
          <w:b/>
          <w:bCs/>
          <w:color w:val="auto"/>
          <w:sz w:val="32"/>
          <w:szCs w:val="32"/>
          <w:lang w:val="en-US" w:eastAsia="zh-CN"/>
        </w:rPr>
        <w:t>2.运输用基本设备及常用材料</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行车；(2)叉车；(3)各种规格的胶合板垫木；(4)带塑料保护套的钢丝绳、紧固拉钩套件、花兰螺丝、捆绑器、钢钉；(5)晴纶卷、橡胶板、稻草绳；(6)钢制打包带；(7)发泡塑料（喷塑杆专用）；(8)尼龙绳（用于替代目前喷塑杆包装中使用的草绳）；(9)胶合板配件箱；(10)木料切割机；(11)镀锌螺丝及螺母（用于小部件固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2"/>
          <w:sz w:val="32"/>
          <w:szCs w:val="32"/>
          <w:lang w:val="en-US" w:eastAsia="zh-CN" w:bidi="ar-SA"/>
        </w:rPr>
        <w:t>在运输、装卸等环节，必须做好成品保护，确保货物完好无损。所有措施费用含在投标报价中。</w:t>
      </w:r>
    </w:p>
    <w:p>
      <w:pP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灯具详细参数</w:t>
      </w:r>
    </w:p>
    <w:p>
      <w:pP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（一）1W LED 嵌入式点光源4000K</w:t>
      </w:r>
      <w:r>
        <w:rPr>
          <w:rFonts w:hint="eastAsia" w:ascii="仿宋_GB2312" w:hAnsi="仿宋_GB2312" w:eastAsia="仿宋_GB2312" w:cs="仿宋_GB2312"/>
          <w:color w:val="auto"/>
          <w:kern w:val="0"/>
          <w:sz w:val="32"/>
          <w:szCs w:val="32"/>
          <w:lang w:val="en-US" w:eastAsia="zh-CN"/>
        </w:rPr>
        <w:t>±100K</w:t>
      </w:r>
    </w:p>
    <w:tbl>
      <w:tblPr>
        <w:tblStyle w:val="3"/>
        <w:tblW w:w="8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1"/>
        <w:gridCol w:w="945"/>
        <w:gridCol w:w="210"/>
        <w:gridCol w:w="1644"/>
        <w:gridCol w:w="1527"/>
        <w:gridCol w:w="1115"/>
        <w:gridCol w:w="2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36" w:hRule="atLeast"/>
        </w:trPr>
        <w:tc>
          <w:tcPr>
            <w:tcW w:w="108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w:t>
            </w:r>
          </w:p>
        </w:tc>
        <w:tc>
          <w:tcPr>
            <w:tcW w:w="2799"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外形</w:t>
            </w:r>
            <w:r>
              <w:rPr>
                <w:rFonts w:hint="eastAsia" w:ascii="仿宋_GB2312" w:hAnsi="仿宋_GB2312" w:eastAsia="仿宋_GB2312" w:cs="仿宋_GB2312"/>
                <w:b w:val="0"/>
                <w:bCs/>
                <w:color w:val="auto"/>
                <w:kern w:val="0"/>
                <w:sz w:val="24"/>
                <w:szCs w:val="24"/>
                <w:lang w:val="en-US" w:eastAsia="zh-CN"/>
              </w:rPr>
              <w:br w:type="textWrapping"/>
            </w:r>
            <w:r>
              <w:rPr>
                <w:rFonts w:hint="eastAsia" w:ascii="仿宋_GB2312" w:hAnsi="仿宋_GB2312" w:eastAsia="仿宋_GB2312" w:cs="仿宋_GB2312"/>
                <w:b w:val="0"/>
                <w:bCs/>
                <w:color w:val="auto"/>
                <w:kern w:val="0"/>
                <w:sz w:val="24"/>
                <w:szCs w:val="24"/>
                <w:lang w:val="en-US" w:eastAsia="zh-CN"/>
              </w:rPr>
              <w:t>（仅供参考）</w:t>
            </w:r>
          </w:p>
        </w:tc>
        <w:tc>
          <w:tcPr>
            <w:tcW w:w="48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59264" behindDoc="1" locked="0" layoutInCell="1" allowOverlap="1">
                  <wp:simplePos x="0" y="0"/>
                  <wp:positionH relativeFrom="column">
                    <wp:posOffset>309880</wp:posOffset>
                  </wp:positionH>
                  <wp:positionV relativeFrom="paragraph">
                    <wp:posOffset>-617220</wp:posOffset>
                  </wp:positionV>
                  <wp:extent cx="2451100" cy="2146300"/>
                  <wp:effectExtent l="0" t="0" r="0" b="0"/>
                  <wp:wrapTight wrapText="bothSides">
                    <wp:wrapPolygon>
                      <wp:start x="0" y="0"/>
                      <wp:lineTo x="0" y="21472"/>
                      <wp:lineTo x="21488" y="21472"/>
                      <wp:lineTo x="2148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451100" cy="2146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4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尺寸</w:t>
            </w: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直径（φ1）</w:t>
            </w:r>
          </w:p>
        </w:tc>
        <w:tc>
          <w:tcPr>
            <w:tcW w:w="152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18mm</w:t>
            </w:r>
          </w:p>
        </w:tc>
        <w:tc>
          <w:tcPr>
            <w:tcW w:w="11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2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4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高度（H）</w:t>
            </w:r>
          </w:p>
        </w:tc>
        <w:tc>
          <w:tcPr>
            <w:tcW w:w="152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25mm</w:t>
            </w:r>
          </w:p>
        </w:tc>
        <w:tc>
          <w:tcPr>
            <w:tcW w:w="11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2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4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底部直径（φ2）</w:t>
            </w:r>
          </w:p>
        </w:tc>
        <w:tc>
          <w:tcPr>
            <w:tcW w:w="152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22mm</w:t>
            </w:r>
          </w:p>
        </w:tc>
        <w:tc>
          <w:tcPr>
            <w:tcW w:w="11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2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4"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4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材质</w:t>
            </w: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灯具外壳</w:t>
            </w:r>
          </w:p>
        </w:tc>
        <w:tc>
          <w:tcPr>
            <w:tcW w:w="48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铝合金灯体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4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出光面</w:t>
            </w:r>
          </w:p>
        </w:tc>
        <w:tc>
          <w:tcPr>
            <w:tcW w:w="48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亚克力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799"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外壳颜色</w:t>
            </w:r>
          </w:p>
        </w:tc>
        <w:tc>
          <w:tcPr>
            <w:tcW w:w="48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与安装位置的周边环境颜色一致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光学</w:t>
            </w:r>
          </w:p>
        </w:tc>
        <w:tc>
          <w:tcPr>
            <w:tcW w:w="11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半峰发散角</w:t>
            </w:r>
          </w:p>
        </w:tc>
        <w:tc>
          <w:tcPr>
            <w:tcW w:w="164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 xml:space="preserve">       -</w:t>
            </w:r>
          </w:p>
        </w:tc>
        <w:tc>
          <w:tcPr>
            <w:tcW w:w="264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配光要求</w:t>
            </w:r>
          </w:p>
        </w:tc>
        <w:tc>
          <w:tcPr>
            <w:tcW w:w="22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面发光，磨砂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光效</w:t>
            </w:r>
          </w:p>
        </w:tc>
        <w:tc>
          <w:tcPr>
            <w:tcW w:w="7665" w:type="dxa"/>
            <w:gridSpan w:val="6"/>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灯具光效≥65lm/W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电压</w:t>
            </w:r>
          </w:p>
        </w:tc>
        <w:tc>
          <w:tcPr>
            <w:tcW w:w="7665" w:type="dxa"/>
            <w:gridSpan w:val="6"/>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DC12V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shd w:val="clear" w:color="auto" w:fill="auto"/>
            <w:vAlign w:val="center"/>
          </w:tcPr>
          <w:p>
            <w:pPr>
              <w:widowControl/>
              <w:jc w:val="center"/>
              <w:textAlignment w:val="center"/>
              <w:rPr>
                <w:rFonts w:hint="eastAsia" w:ascii="仿宋_GB2312" w:hAnsi="仿宋_GB2312" w:eastAsia="仿宋_GB2312" w:cs="仿宋_GB2312"/>
                <w:b/>
                <w:kern w:val="0"/>
                <w:sz w:val="21"/>
                <w:szCs w:val="21"/>
                <w:lang w:val="en-US" w:eastAsia="zh-CN"/>
              </w:rPr>
            </w:pPr>
            <w:r>
              <w:rPr>
                <w:rFonts w:hint="eastAsia" w:ascii="仿宋_GB2312" w:hAnsi="仿宋_GB2312" w:eastAsia="仿宋_GB2312" w:cs="仿宋_GB2312"/>
                <w:b/>
                <w:kern w:val="0"/>
                <w:sz w:val="21"/>
                <w:szCs w:val="21"/>
                <w:lang w:val="en-US" w:eastAsia="zh-CN"/>
              </w:rPr>
              <w:t>参考</w:t>
            </w:r>
          </w:p>
          <w:p>
            <w:pPr>
              <w:widowControl/>
              <w:jc w:val="center"/>
              <w:textAlignment w:val="center"/>
              <w:rPr>
                <w:rFonts w:hint="default" w:ascii="仿宋_GB2312" w:hAnsi="仿宋_GB2312" w:eastAsia="仿宋_GB2312" w:cs="仿宋_GB2312"/>
                <w:b/>
                <w:kern w:val="0"/>
                <w:sz w:val="21"/>
                <w:szCs w:val="21"/>
                <w:lang w:val="en-US" w:eastAsia="zh-CN"/>
              </w:rPr>
            </w:pPr>
            <w:r>
              <w:rPr>
                <w:rFonts w:hint="eastAsia" w:ascii="仿宋_GB2312" w:hAnsi="仿宋_GB2312" w:eastAsia="仿宋_GB2312" w:cs="仿宋_GB2312"/>
                <w:b/>
                <w:kern w:val="0"/>
                <w:sz w:val="21"/>
                <w:szCs w:val="21"/>
                <w:lang w:val="en-US" w:eastAsia="zh-CN"/>
              </w:rPr>
              <w:t>效果图</w:t>
            </w:r>
          </w:p>
        </w:tc>
        <w:tc>
          <w:tcPr>
            <w:tcW w:w="7665" w:type="dxa"/>
            <w:gridSpan w:val="6"/>
            <w:shd w:val="clear" w:color="auto" w:fill="auto"/>
            <w:vAlign w:val="center"/>
          </w:tcPr>
          <w:p>
            <w:pPr>
              <w:widowControl/>
              <w:jc w:val="center"/>
              <w:textAlignment w:val="center"/>
              <w:rPr>
                <w:rFonts w:hint="eastAsia" w:ascii="仿宋_GB2312" w:hAnsi="仿宋_GB2312" w:eastAsia="仿宋_GB2312" w:cs="仿宋_GB2312"/>
                <w:kern w:val="0"/>
                <w:sz w:val="21"/>
                <w:szCs w:val="21"/>
              </w:rPr>
            </w:pPr>
            <w:r>
              <w:drawing>
                <wp:inline distT="0" distB="0" distL="114300" distR="114300">
                  <wp:extent cx="4837430" cy="3145790"/>
                  <wp:effectExtent l="0" t="0" r="127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837430" cy="3145790"/>
                          </a:xfrm>
                          <a:prstGeom prst="rect">
                            <a:avLst/>
                          </a:prstGeom>
                          <a:noFill/>
                          <a:ln>
                            <a:noFill/>
                          </a:ln>
                        </pic:spPr>
                      </pic:pic>
                    </a:graphicData>
                  </a:graphic>
                </wp:inline>
              </w:drawing>
            </w:r>
          </w:p>
        </w:tc>
      </w:tr>
    </w:tbl>
    <w:p>
      <w:pP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（二）0.3W LED 嵌入式点光源4000K</w:t>
      </w:r>
      <w:r>
        <w:rPr>
          <w:rFonts w:hint="eastAsia" w:ascii="仿宋_GB2312" w:hAnsi="仿宋_GB2312" w:eastAsia="仿宋_GB2312" w:cs="仿宋_GB2312"/>
          <w:color w:val="auto"/>
          <w:kern w:val="0"/>
          <w:sz w:val="32"/>
          <w:szCs w:val="32"/>
          <w:lang w:val="en-US" w:eastAsia="zh-CN"/>
        </w:rPr>
        <w:t>±100K</w:t>
      </w:r>
    </w:p>
    <w:tbl>
      <w:tblPr>
        <w:tblStyle w:val="3"/>
        <w:tblW w:w="8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81"/>
        <w:gridCol w:w="945"/>
        <w:gridCol w:w="210"/>
        <w:gridCol w:w="1644"/>
        <w:gridCol w:w="1527"/>
        <w:gridCol w:w="1115"/>
        <w:gridCol w:w="2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36" w:hRule="atLeast"/>
        </w:trPr>
        <w:tc>
          <w:tcPr>
            <w:tcW w:w="108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w:t>
            </w:r>
          </w:p>
        </w:tc>
        <w:tc>
          <w:tcPr>
            <w:tcW w:w="2799"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外形</w:t>
            </w:r>
            <w:r>
              <w:rPr>
                <w:rFonts w:hint="eastAsia" w:ascii="仿宋_GB2312" w:hAnsi="仿宋_GB2312" w:eastAsia="仿宋_GB2312" w:cs="仿宋_GB2312"/>
                <w:b w:val="0"/>
                <w:bCs/>
                <w:color w:val="auto"/>
                <w:kern w:val="0"/>
                <w:sz w:val="24"/>
                <w:szCs w:val="24"/>
                <w:lang w:val="en-US" w:eastAsia="zh-CN"/>
              </w:rPr>
              <w:br w:type="textWrapping"/>
            </w:r>
            <w:r>
              <w:rPr>
                <w:rFonts w:hint="eastAsia" w:ascii="仿宋_GB2312" w:hAnsi="仿宋_GB2312" w:eastAsia="仿宋_GB2312" w:cs="仿宋_GB2312"/>
                <w:b w:val="0"/>
                <w:bCs/>
                <w:color w:val="auto"/>
                <w:kern w:val="0"/>
                <w:sz w:val="24"/>
                <w:szCs w:val="24"/>
                <w:lang w:val="en-US" w:eastAsia="zh-CN"/>
              </w:rPr>
              <w:t>（仅供参考）</w:t>
            </w:r>
          </w:p>
        </w:tc>
        <w:tc>
          <w:tcPr>
            <w:tcW w:w="48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60288" behindDoc="1" locked="0" layoutInCell="1" allowOverlap="1">
                  <wp:simplePos x="0" y="0"/>
                  <wp:positionH relativeFrom="column">
                    <wp:posOffset>309880</wp:posOffset>
                  </wp:positionH>
                  <wp:positionV relativeFrom="paragraph">
                    <wp:posOffset>-617220</wp:posOffset>
                  </wp:positionV>
                  <wp:extent cx="2451100" cy="2146300"/>
                  <wp:effectExtent l="0" t="0" r="0" b="0"/>
                  <wp:wrapTight wrapText="bothSides">
                    <wp:wrapPolygon>
                      <wp:start x="0" y="0"/>
                      <wp:lineTo x="0" y="21472"/>
                      <wp:lineTo x="21488" y="21472"/>
                      <wp:lineTo x="21488"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2451100" cy="2146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4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尺寸</w:t>
            </w: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直径（φ1）</w:t>
            </w:r>
          </w:p>
        </w:tc>
        <w:tc>
          <w:tcPr>
            <w:tcW w:w="152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18mm</w:t>
            </w:r>
          </w:p>
        </w:tc>
        <w:tc>
          <w:tcPr>
            <w:tcW w:w="11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2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4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高度（H）</w:t>
            </w:r>
          </w:p>
        </w:tc>
        <w:tc>
          <w:tcPr>
            <w:tcW w:w="152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25mm</w:t>
            </w:r>
          </w:p>
        </w:tc>
        <w:tc>
          <w:tcPr>
            <w:tcW w:w="11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2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 xml:space="preserve"> </w:t>
            </w:r>
          </w:p>
        </w:tc>
        <w:tc>
          <w:tcPr>
            <w:tcW w:w="94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底部直径（φ2）</w:t>
            </w:r>
          </w:p>
        </w:tc>
        <w:tc>
          <w:tcPr>
            <w:tcW w:w="152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22mm</w:t>
            </w:r>
          </w:p>
        </w:tc>
        <w:tc>
          <w:tcPr>
            <w:tcW w:w="111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允许偏差</w:t>
            </w:r>
          </w:p>
        </w:tc>
        <w:tc>
          <w:tcPr>
            <w:tcW w:w="22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越小越好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4"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4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材质</w:t>
            </w: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灯具外壳</w:t>
            </w:r>
          </w:p>
        </w:tc>
        <w:tc>
          <w:tcPr>
            <w:tcW w:w="48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铝合金灯体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94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185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出光面</w:t>
            </w:r>
          </w:p>
        </w:tc>
        <w:tc>
          <w:tcPr>
            <w:tcW w:w="48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亚克力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p>
        </w:tc>
        <w:tc>
          <w:tcPr>
            <w:tcW w:w="2799"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外壳颜色</w:t>
            </w:r>
          </w:p>
        </w:tc>
        <w:tc>
          <w:tcPr>
            <w:tcW w:w="4866" w:type="dxa"/>
            <w:gridSpan w:val="3"/>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与安装位置的周边环境颜色一致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0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光学</w:t>
            </w:r>
          </w:p>
        </w:tc>
        <w:tc>
          <w:tcPr>
            <w:tcW w:w="11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半峰发散角</w:t>
            </w:r>
          </w:p>
        </w:tc>
        <w:tc>
          <w:tcPr>
            <w:tcW w:w="164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 xml:space="preserve">       -</w:t>
            </w:r>
          </w:p>
        </w:tc>
        <w:tc>
          <w:tcPr>
            <w:tcW w:w="2642"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配光要求</w:t>
            </w:r>
          </w:p>
        </w:tc>
        <w:tc>
          <w:tcPr>
            <w:tcW w:w="22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面发光，磨砂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光效</w:t>
            </w:r>
          </w:p>
        </w:tc>
        <w:tc>
          <w:tcPr>
            <w:tcW w:w="7665" w:type="dxa"/>
            <w:gridSpan w:val="6"/>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灯具光效≥65lm/W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电压</w:t>
            </w:r>
          </w:p>
        </w:tc>
        <w:tc>
          <w:tcPr>
            <w:tcW w:w="7665" w:type="dxa"/>
            <w:gridSpan w:val="6"/>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DC12V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10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参考</w:t>
            </w:r>
          </w:p>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t>效果图</w:t>
            </w:r>
          </w:p>
        </w:tc>
        <w:tc>
          <w:tcPr>
            <w:tcW w:w="7665" w:type="dxa"/>
            <w:gridSpan w:val="6"/>
            <w:shd w:val="clear" w:color="auto" w:fill="auto"/>
            <w:vAlign w:val="center"/>
          </w:tcPr>
          <w:p>
            <w:pPr>
              <w:keepNext w:val="0"/>
              <w:keepLines w:val="0"/>
              <w:pageBreakBefore w:val="0"/>
              <w:widowControl/>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b w:val="0"/>
                <w:bCs/>
                <w:color w:val="auto"/>
                <w:kern w:val="0"/>
                <w:sz w:val="24"/>
                <w:szCs w:val="24"/>
                <w:lang w:val="en-US" w:eastAsia="zh-CN"/>
              </w:rPr>
            </w:pPr>
            <w:r>
              <w:rPr>
                <w:rFonts w:hint="eastAsia" w:ascii="仿宋_GB2312" w:hAnsi="仿宋_GB2312" w:eastAsia="仿宋_GB2312" w:cs="仿宋_GB2312"/>
                <w:b w:val="0"/>
                <w:bCs/>
                <w:color w:val="auto"/>
                <w:kern w:val="0"/>
                <w:sz w:val="24"/>
                <w:szCs w:val="24"/>
                <w:lang w:val="en-US" w:eastAsia="zh-CN"/>
              </w:rPr>
              <w:drawing>
                <wp:anchor distT="0" distB="0" distL="114300" distR="114300" simplePos="0" relativeHeight="251661312" behindDoc="1" locked="0" layoutInCell="1" allowOverlap="1">
                  <wp:simplePos x="0" y="0"/>
                  <wp:positionH relativeFrom="column">
                    <wp:posOffset>4445</wp:posOffset>
                  </wp:positionH>
                  <wp:positionV relativeFrom="paragraph">
                    <wp:posOffset>-1358900</wp:posOffset>
                  </wp:positionV>
                  <wp:extent cx="4837430" cy="3145790"/>
                  <wp:effectExtent l="0" t="0" r="1270" b="3810"/>
                  <wp:wrapTight wrapText="bothSides">
                    <wp:wrapPolygon>
                      <wp:start x="0" y="0"/>
                      <wp:lineTo x="0" y="21452"/>
                      <wp:lineTo x="21521" y="21452"/>
                      <wp:lineTo x="21521"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837430" cy="3145790"/>
                          </a:xfrm>
                          <a:prstGeom prst="rect">
                            <a:avLst/>
                          </a:prstGeom>
                          <a:noFill/>
                          <a:ln>
                            <a:noFill/>
                          </a:ln>
                        </pic:spPr>
                      </pic:pic>
                    </a:graphicData>
                  </a:graphic>
                </wp:anchor>
              </w:drawing>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EBC12"/>
    <w:multiLevelType w:val="singleLevel"/>
    <w:tmpl w:val="932EBC12"/>
    <w:lvl w:ilvl="0" w:tentative="0">
      <w:start w:val="1"/>
      <w:numFmt w:val="decimal"/>
      <w:lvlText w:val="(%1)"/>
      <w:lvlJc w:val="left"/>
      <w:pPr>
        <w:ind w:left="425" w:hanging="425"/>
      </w:pPr>
      <w:rPr>
        <w:rFonts w:hint="default"/>
      </w:rPr>
    </w:lvl>
  </w:abstractNum>
  <w:abstractNum w:abstractNumId="1">
    <w:nsid w:val="BEC569CD"/>
    <w:multiLevelType w:val="singleLevel"/>
    <w:tmpl w:val="BEC569CD"/>
    <w:lvl w:ilvl="0" w:tentative="0">
      <w:start w:val="1"/>
      <w:numFmt w:val="decimal"/>
      <w:lvlText w:val="(%1)"/>
      <w:lvlJc w:val="left"/>
      <w:pPr>
        <w:ind w:left="425" w:hanging="425"/>
      </w:pPr>
      <w:rPr>
        <w:rFonts w:hint="default"/>
      </w:rPr>
    </w:lvl>
  </w:abstractNum>
  <w:abstractNum w:abstractNumId="2">
    <w:nsid w:val="CA0AD198"/>
    <w:multiLevelType w:val="singleLevel"/>
    <w:tmpl w:val="CA0AD198"/>
    <w:lvl w:ilvl="0" w:tentative="0">
      <w:start w:val="2"/>
      <w:numFmt w:val="decimal"/>
      <w:lvlText w:val="%1."/>
      <w:lvlJc w:val="left"/>
      <w:pPr>
        <w:tabs>
          <w:tab w:val="left" w:pos="312"/>
        </w:tabs>
      </w:pPr>
    </w:lvl>
  </w:abstractNum>
  <w:abstractNum w:abstractNumId="3">
    <w:nsid w:val="CE8E1EAB"/>
    <w:multiLevelType w:val="singleLevel"/>
    <w:tmpl w:val="CE8E1EAB"/>
    <w:lvl w:ilvl="0" w:tentative="0">
      <w:start w:val="1"/>
      <w:numFmt w:val="chineseCounting"/>
      <w:suff w:val="nothing"/>
      <w:lvlText w:val="%1、"/>
      <w:lvlJc w:val="left"/>
      <w:pPr>
        <w:ind w:left="0" w:firstLine="420"/>
      </w:pPr>
      <w:rPr>
        <w:rFonts w:hint="eastAsia"/>
      </w:rPr>
    </w:lvl>
  </w:abstractNum>
  <w:abstractNum w:abstractNumId="4">
    <w:nsid w:val="D2AF975E"/>
    <w:multiLevelType w:val="singleLevel"/>
    <w:tmpl w:val="D2AF975E"/>
    <w:lvl w:ilvl="0" w:tentative="0">
      <w:start w:val="1"/>
      <w:numFmt w:val="decimal"/>
      <w:lvlText w:val="(%1)"/>
      <w:lvlJc w:val="left"/>
      <w:pPr>
        <w:ind w:left="425" w:hanging="425"/>
      </w:pPr>
      <w:rPr>
        <w:rFonts w:hint="default"/>
      </w:rPr>
    </w:lvl>
  </w:abstractNum>
  <w:abstractNum w:abstractNumId="5">
    <w:nsid w:val="ED0BCBF4"/>
    <w:multiLevelType w:val="singleLevel"/>
    <w:tmpl w:val="ED0BCBF4"/>
    <w:lvl w:ilvl="0" w:tentative="0">
      <w:start w:val="1"/>
      <w:numFmt w:val="chineseCounting"/>
      <w:suff w:val="nothing"/>
      <w:lvlText w:val="（%1）"/>
      <w:lvlJc w:val="left"/>
      <w:pPr>
        <w:ind w:left="0" w:firstLine="420"/>
      </w:pPr>
      <w:rPr>
        <w:rFonts w:hint="eastAsia"/>
      </w:rPr>
    </w:lvl>
  </w:abstractNum>
  <w:abstractNum w:abstractNumId="6">
    <w:nsid w:val="2CA3D927"/>
    <w:multiLevelType w:val="singleLevel"/>
    <w:tmpl w:val="2CA3D927"/>
    <w:lvl w:ilvl="0" w:tentative="0">
      <w:start w:val="1"/>
      <w:numFmt w:val="chineseCounting"/>
      <w:suff w:val="nothing"/>
      <w:lvlText w:val="（%1）"/>
      <w:lvlJc w:val="left"/>
      <w:pPr>
        <w:ind w:left="0" w:firstLine="420"/>
      </w:pPr>
      <w:rPr>
        <w:rFonts w:hint="eastAsia"/>
      </w:rPr>
    </w:lvl>
  </w:abstractNum>
  <w:abstractNum w:abstractNumId="7">
    <w:nsid w:val="39BE4459"/>
    <w:multiLevelType w:val="singleLevel"/>
    <w:tmpl w:val="39BE4459"/>
    <w:lvl w:ilvl="0" w:tentative="0">
      <w:start w:val="1"/>
      <w:numFmt w:val="decimal"/>
      <w:lvlText w:val="(%1)"/>
      <w:lvlJc w:val="left"/>
      <w:pPr>
        <w:ind w:left="425" w:hanging="425"/>
      </w:pPr>
      <w:rPr>
        <w:rFonts w:hint="default"/>
      </w:rPr>
    </w:lvl>
  </w:abstractNum>
  <w:abstractNum w:abstractNumId="8">
    <w:nsid w:val="57CB0BB2"/>
    <w:multiLevelType w:val="singleLevel"/>
    <w:tmpl w:val="57CB0BB2"/>
    <w:lvl w:ilvl="0" w:tentative="0">
      <w:start w:val="1"/>
      <w:numFmt w:val="decimal"/>
      <w:lvlText w:val="(%1)"/>
      <w:lvlJc w:val="left"/>
      <w:pPr>
        <w:ind w:left="425" w:hanging="425"/>
      </w:pPr>
      <w:rPr>
        <w:rFonts w:hint="default"/>
      </w:rPr>
    </w:lvl>
  </w:abstractNum>
  <w:abstractNum w:abstractNumId="9">
    <w:nsid w:val="5FE67837"/>
    <w:multiLevelType w:val="singleLevel"/>
    <w:tmpl w:val="5FE67837"/>
    <w:lvl w:ilvl="0" w:tentative="0">
      <w:start w:val="1"/>
      <w:numFmt w:val="decimal"/>
      <w:lvlText w:val="(%1)"/>
      <w:lvlJc w:val="left"/>
      <w:pPr>
        <w:ind w:left="425" w:hanging="425"/>
      </w:pPr>
      <w:rPr>
        <w:rFonts w:hint="default"/>
      </w:rPr>
    </w:lvl>
  </w:abstractNum>
  <w:abstractNum w:abstractNumId="10">
    <w:nsid w:val="6C07A860"/>
    <w:multiLevelType w:val="singleLevel"/>
    <w:tmpl w:val="6C07A860"/>
    <w:lvl w:ilvl="0" w:tentative="0">
      <w:start w:val="1"/>
      <w:numFmt w:val="decimal"/>
      <w:lvlText w:val="(%1)"/>
      <w:lvlJc w:val="left"/>
      <w:pPr>
        <w:ind w:left="425" w:hanging="425"/>
      </w:pPr>
      <w:rPr>
        <w:rFonts w:hint="default"/>
      </w:rPr>
    </w:lvl>
  </w:abstractNum>
  <w:abstractNum w:abstractNumId="11">
    <w:nsid w:val="7FFE60EE"/>
    <w:multiLevelType w:val="singleLevel"/>
    <w:tmpl w:val="7FFE60EE"/>
    <w:lvl w:ilvl="0" w:tentative="0">
      <w:start w:val="1"/>
      <w:numFmt w:val="decimal"/>
      <w:suff w:val="space"/>
      <w:lvlText w:val="(%1)"/>
      <w:lvlJc w:val="left"/>
    </w:lvl>
  </w:abstractNum>
  <w:num w:numId="1">
    <w:abstractNumId w:val="3"/>
  </w:num>
  <w:num w:numId="2">
    <w:abstractNumId w:val="6"/>
  </w:num>
  <w:num w:numId="3">
    <w:abstractNumId w:val="0"/>
  </w:num>
  <w:num w:numId="4">
    <w:abstractNumId w:val="5"/>
  </w:num>
  <w:num w:numId="5">
    <w:abstractNumId w:val="4"/>
  </w:num>
  <w:num w:numId="6">
    <w:abstractNumId w:val="1"/>
  </w:num>
  <w:num w:numId="7">
    <w:abstractNumId w:val="10"/>
  </w:num>
  <w:num w:numId="8">
    <w:abstractNumId w:val="9"/>
  </w:num>
  <w:num w:numId="9">
    <w:abstractNumId w:val="8"/>
  </w:num>
  <w:num w:numId="10">
    <w:abstractNumId w:val="11"/>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wM2EzZWQ4NWU4M2NkZWY5YmM1YWYyOGM5MzM5MTMifQ=="/>
  </w:docVars>
  <w:rsids>
    <w:rsidRoot w:val="2FB40448"/>
    <w:rsid w:val="04074FB1"/>
    <w:rsid w:val="0CC27404"/>
    <w:rsid w:val="0CED63A7"/>
    <w:rsid w:val="0D7207C6"/>
    <w:rsid w:val="0D8A20D2"/>
    <w:rsid w:val="13D96CE3"/>
    <w:rsid w:val="149F7716"/>
    <w:rsid w:val="163D76FB"/>
    <w:rsid w:val="175E5081"/>
    <w:rsid w:val="23B6535C"/>
    <w:rsid w:val="2A9B538A"/>
    <w:rsid w:val="2FB40448"/>
    <w:rsid w:val="31BB7257"/>
    <w:rsid w:val="45D62026"/>
    <w:rsid w:val="45F00652"/>
    <w:rsid w:val="4E597188"/>
    <w:rsid w:val="640612C8"/>
    <w:rsid w:val="69771C08"/>
    <w:rsid w:val="7B7D5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50" w:afterLines="150"/>
      <w:jc w:val="center"/>
      <w:outlineLvl w:val="0"/>
    </w:pPr>
    <w:rPr>
      <w:rFonts w:ascii="Times New Roman" w:hAnsi="Times New Roman" w:cs="Times New Roman"/>
      <w:b/>
      <w:kern w:val="44"/>
      <w:sz w:val="48"/>
      <w:szCs w:val="20"/>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
    <w:name w:val="列出段落1"/>
    <w:basedOn w:val="1"/>
    <w:qFormat/>
    <w:uiPriority w:val="0"/>
    <w:pPr>
      <w:adjustRightInd w:val="0"/>
      <w:spacing w:line="312" w:lineRule="atLeast"/>
      <w:ind w:firstLine="420" w:firstLineChars="200"/>
    </w:pPr>
    <w:rPr>
      <w:rFonts w:ascii="等线" w:hAnsi="等线" w:eastAsia="等线" w:cs="Times New Roman"/>
      <w:szCs w:val="22"/>
    </w:rPr>
  </w:style>
  <w:style w:type="paragraph" w:customStyle="1" w:styleId="7">
    <w:name w:val="_Style 2"/>
    <w:basedOn w:val="1"/>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5368</Words>
  <Characters>5958</Characters>
  <Lines>0</Lines>
  <Paragraphs>0</Paragraphs>
  <TotalTime>5</TotalTime>
  <ScaleCrop>false</ScaleCrop>
  <LinksUpToDate>false</LinksUpToDate>
  <CharactersWithSpaces>5997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2023-08-14T02:54:00Z</dcterms:created>
  <dc:creator>石威1388715706</dc:creator>
  <cp:lastModifiedBy>周郁</cp:lastModifiedBy>
  <dcterms:modified xsi:type="dcterms:W3CDTF">2023-10-09T07:17:09Z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259BD06528944A34A60087BD22891AFB_13</vt:lpwstr>
  </property>
</Properties>
</file>