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ind w:firstLine="281" w:firstLineChars="100"/>
        <w:jc w:val="left"/>
        <w:rPr>
          <w:rFonts w:hint="eastAsia" w:ascii="黑体" w:hAnsi="黑体" w:eastAsia="华文仿宋"/>
          <w:b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附件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/>
          <w:b/>
          <w:sz w:val="28"/>
          <w:szCs w:val="28"/>
        </w:rPr>
        <w:t>：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报价单</w:t>
      </w:r>
    </w:p>
    <w:p>
      <w:pPr>
        <w:ind w:firstLine="361" w:firstLineChar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高中压产品型号参数及型式试验项目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宋体"/>
          <w:sz w:val="30"/>
          <w:szCs w:val="30"/>
        </w:rPr>
        <w:t>湖南开关实业有限公司</w:t>
      </w:r>
      <w:r>
        <w:rPr>
          <w:rFonts w:ascii="仿宋" w:hAnsi="仿宋" w:eastAsia="仿宋"/>
          <w:sz w:val="30"/>
          <w:szCs w:val="30"/>
        </w:rPr>
        <w:t>实际需要</w:t>
      </w:r>
      <w:r>
        <w:rPr>
          <w:rFonts w:hint="eastAsia" w:ascii="仿宋" w:hAnsi="仿宋" w:eastAsia="仿宋"/>
          <w:sz w:val="30"/>
          <w:szCs w:val="30"/>
        </w:rPr>
        <w:t>，将对以下产品进行型式试验，现将这些产品的型式试验的试验参数、试验项目及相关要求说明如下。</w:t>
      </w:r>
    </w:p>
    <w:p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产品型号及参数。</w:t>
      </w:r>
    </w:p>
    <w:tbl>
      <w:tblPr>
        <w:tblStyle w:val="4"/>
        <w:tblpPr w:leftFromText="180" w:rightFromText="180" w:vertAnchor="text" w:horzAnchor="margin" w:tblpXSpec="center" w:tblpY="54"/>
        <w:tblW w:w="103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5"/>
        <w:gridCol w:w="3559"/>
        <w:gridCol w:w="1100"/>
        <w:gridCol w:w="1066"/>
        <w:gridCol w:w="2067"/>
        <w:gridCol w:w="12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" w:hRule="atLeast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5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产品型号规格</w:t>
            </w:r>
          </w:p>
        </w:tc>
        <w:tc>
          <w:tcPr>
            <w:tcW w:w="11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试验项目</w:t>
            </w:r>
          </w:p>
        </w:tc>
        <w:tc>
          <w:tcPr>
            <w:tcW w:w="10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试验费</w:t>
            </w:r>
          </w:p>
        </w:tc>
        <w:tc>
          <w:tcPr>
            <w:tcW w:w="20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样机及技术服务费</w:t>
            </w:r>
          </w:p>
        </w:tc>
        <w:tc>
          <w:tcPr>
            <w:tcW w:w="121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" w:hRule="atLeast"/>
        </w:trPr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KYN28-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  <w:r>
              <w:rPr>
                <w:rFonts w:ascii="仿宋" w:hAnsi="仿宋" w:eastAsia="仿宋"/>
                <w:sz w:val="24"/>
                <w:szCs w:val="24"/>
              </w:rPr>
              <w:t>/1250-31.5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（1s燃弧）</w:t>
            </w:r>
          </w:p>
        </w:tc>
        <w:tc>
          <w:tcPr>
            <w:tcW w:w="1100" w:type="dxa"/>
            <w:vMerge w:val="restart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第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二项</w:t>
            </w:r>
          </w:p>
        </w:tc>
        <w:tc>
          <w:tcPr>
            <w:tcW w:w="10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电动底盘车、电动接地开关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KYN28-12/2500-31.5</w:t>
            </w:r>
          </w:p>
        </w:tc>
        <w:tc>
          <w:tcPr>
            <w:tcW w:w="110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KYN28-12/4000-40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KYN61-40.5/1250-31.5</w:t>
            </w:r>
          </w:p>
        </w:tc>
        <w:tc>
          <w:tcPr>
            <w:tcW w:w="110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355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KYN61-40.5/2500-31.5</w:t>
            </w:r>
          </w:p>
        </w:tc>
        <w:tc>
          <w:tcPr>
            <w:tcW w:w="110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" w:hRule="atLeast"/>
        </w:trPr>
        <w:tc>
          <w:tcPr>
            <w:tcW w:w="59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autoSpaceDE w:val="0"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合计：</w:t>
            </w:r>
          </w:p>
        </w:tc>
        <w:tc>
          <w:tcPr>
            <w:tcW w:w="106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" w:hRule="atLeast"/>
        </w:trPr>
        <w:tc>
          <w:tcPr>
            <w:tcW w:w="59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autoSpaceDE w:val="0"/>
              <w:spacing w:line="2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试验费和样机及技术服务费总计：</w:t>
            </w:r>
          </w:p>
        </w:tc>
        <w:tc>
          <w:tcPr>
            <w:tcW w:w="4351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pacing w:before="20"/>
              <w:ind w:right="103" w:rightChars="49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" w:hAnsi="仿宋" w:eastAsia="仿宋" w:cs="宋体"/>
          <w:sz w:val="24"/>
        </w:rPr>
      </w:pPr>
      <w:r>
        <w:rPr>
          <w:rFonts w:hint="eastAsia" w:ascii="宋体" w:hAnsi="宋体"/>
          <w:sz w:val="28"/>
          <w:szCs w:val="28"/>
          <w:lang w:bidi="hi-IN"/>
        </w:rPr>
        <w:t>型式试验的试验项目。</w:t>
      </w:r>
    </w:p>
    <w:p>
      <w:pPr>
        <w:pStyle w:val="9"/>
        <w:rPr>
          <w:rFonts w:hint="eastAsia" w:ascii="仿宋" w:hAnsi="仿宋" w:eastAsia="仿宋" w:cs="宋体"/>
          <w:b w:val="0"/>
          <w:kern w:val="2"/>
          <w:sz w:val="24"/>
          <w:szCs w:val="24"/>
        </w:rPr>
      </w:pPr>
    </w:p>
    <w:p>
      <w:pPr>
        <w:pStyle w:val="8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8"/>
        <w:rPr>
          <w:rFonts w:hint="eastAsia"/>
        </w:rPr>
      </w:pPr>
    </w:p>
    <w:tbl>
      <w:tblPr>
        <w:tblStyle w:val="4"/>
        <w:tblpPr w:leftFromText="180" w:rightFromText="180" w:vertAnchor="page" w:horzAnchor="page" w:tblpX="880" w:tblpY="1501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ascii="仿宋" w:hAnsi="仿宋" w:eastAsia="仿宋"/>
                <w:sz w:val="24"/>
                <w:szCs w:val="24"/>
              </w:rPr>
              <w:t>型号规格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</w:pPr>
            <w:r>
              <w:rPr>
                <w:rFonts w:ascii="仿宋" w:hAnsi="仿宋" w:eastAsia="仿宋"/>
                <w:sz w:val="24"/>
                <w:szCs w:val="24"/>
              </w:rPr>
              <w:t>试验项目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7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户内交流高压金属铠装移开式开关设备</w:t>
            </w:r>
          </w:p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KYN28-12/1250-31.5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辅助和控制回路的工频电压试验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主回路的工频电压试验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雷电冲击耐压试验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回路电阻测量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温升试验1.1Ie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防护等级试验IP4X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机械操作和机械特性测量试验(可移开部件摇进摇出3000次/接地开关3000次/拔出航空插头将可移开部件从隔离位置取出壳体500次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联锁试验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短时耐受电流和峰值耐受电流试验（4S/2S）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关合和开断能力的验证（6次）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1s燃弧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户内交流高压金属铠装移开式开关设备</w:t>
            </w:r>
          </w:p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KYN28-12/2500-31.5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辅助和控制回路的工频电压试验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主回路的工频电压试验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雷电冲击耐压试验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回路电阻测量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温升试验 1.1Ie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防护等级IP4X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机械操作和机械特性测量试验（可移开部件摇进摇出3000次/接地开关3000次/拔出航空插头将可移开部件从隔离位置取出壳体500次）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联锁试验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短时耐受电流和峰值耐受电流试验（4S/2S）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关合和开断能力的验证（6次）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户内交流高压金属铠装移开式开关设备</w:t>
            </w:r>
          </w:p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KYN28-12/4000-40</w:t>
            </w:r>
          </w:p>
          <w:p>
            <w:pPr>
              <w:pStyle w:val="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辅助和控制回路的工频电压试验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主回路的工频电压试验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雷电冲击耐压试验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回路电阻测量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温升试验 1.1Ie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防护等级IP4X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机械操作和机械特性测量试验（可移开部件摇进摇出3000次/接地开关3000次/拔出航空插头将可移开部件从隔离位置取出壳体500次）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联锁试验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短时耐受电流和峰值耐受电流试验（4S/2S）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关合和开断能力的验证（6次）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户内交流高压金属铠装移开式开关设备</w:t>
            </w:r>
          </w:p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KYN61-40.5/1250-31.5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辅助和控制回路的工频电压试验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主回路的工频电压试验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雷电冲击耐压试验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回路电阻测量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温升试验1.1Ie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防护等级试验IP4X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机械操作和机械特性测量试验(可移开部件摇进摇出3000次/接地开关3000次/拔出航空插头将可移开部件从隔离位置取出壳体500次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联锁试验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短时耐受电流和峰值耐受电流试验（4S/2S）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关合和开断能力的验证（6次）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户内交流高压金属铠装移开式开关设备</w:t>
            </w:r>
          </w:p>
          <w:p>
            <w:pPr>
              <w:pStyle w:val="8"/>
              <w:jc w:val="center"/>
              <w:textAlignment w:val="center"/>
            </w:pPr>
            <w:r>
              <w:rPr>
                <w:rFonts w:ascii="仿宋" w:hAnsi="仿宋" w:eastAsia="仿宋"/>
                <w:sz w:val="24"/>
                <w:szCs w:val="24"/>
              </w:rPr>
              <w:t>KYN61-40.5/2500-31.5</w:t>
            </w: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辅助和控制回路的工频电压试验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主回路的工频电压试验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雷电冲击耐压试验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回路电阻测量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温升试验 1.1Ie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防护等级IP4X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机械操作和机械特性测量试验（可移开部件摇进摇出3000次/接地开关3000次/拔出航空插头将可移开部件从隔离位置取出壳体500次）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联锁试验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短时耐受电流和峰值耐受电流试验（4S/2S）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</w:pPr>
            <w:r>
              <w:rPr>
                <w:rFonts w:ascii="仿宋" w:hAnsi="仿宋" w:eastAsia="仿宋"/>
                <w:sz w:val="24"/>
                <w:szCs w:val="24"/>
              </w:rPr>
              <w:t>关合和开断能力的验证（6次）</w:t>
            </w:r>
          </w:p>
        </w:tc>
      </w:tr>
    </w:tbl>
    <w:p>
      <w:pPr>
        <w:pStyle w:val="8"/>
      </w:pPr>
      <w:r>
        <w:t xml:space="preserve"> </w:t>
      </w:r>
    </w:p>
    <w:p>
      <w:pPr>
        <w:pStyle w:val="9"/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</w:t>
      </w:r>
      <w:r>
        <w:rPr>
          <w:rFonts w:hint="eastAsia" w:ascii="宋体" w:hAnsi="宋体" w:eastAsia="宋体" w:cs="宋体"/>
          <w:sz w:val="28"/>
          <w:szCs w:val="28"/>
        </w:rPr>
        <w:t>相关要求。</w:t>
      </w:r>
    </w:p>
    <w:p>
      <w:pPr>
        <w:pStyle w:val="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在西安高压电器研究院</w:t>
      </w:r>
      <w:r>
        <w:rPr>
          <w:rFonts w:hint="eastAsia" w:ascii="仿宋" w:hAnsi="仿宋" w:eastAsia="仿宋" w:cs="宋体"/>
          <w:sz w:val="30"/>
          <w:szCs w:val="30"/>
        </w:rPr>
        <w:t>或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机械工业高压电器设备质量检测中心试验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宋体"/>
          <w:b w:val="0"/>
          <w:kern w:val="2"/>
          <w:sz w:val="30"/>
          <w:szCs w:val="30"/>
        </w:rPr>
      </w:pPr>
      <w:r>
        <w:rPr>
          <w:rFonts w:hint="eastAsia" w:ascii="仿宋" w:hAnsi="仿宋" w:eastAsia="仿宋" w:cs="宋体"/>
          <w:b w:val="0"/>
          <w:kern w:val="2"/>
          <w:sz w:val="30"/>
          <w:szCs w:val="30"/>
        </w:rPr>
        <w:t>2. 注明试验站和服务周期。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3.试验项目不少于附件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sz w:val="30"/>
          <w:szCs w:val="30"/>
        </w:rPr>
        <w:t>规定的项目。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宋体"/>
          <w:b w:val="0"/>
          <w:kern w:val="2"/>
          <w:sz w:val="30"/>
          <w:szCs w:val="30"/>
        </w:rPr>
      </w:pPr>
      <w:r>
        <w:rPr>
          <w:rFonts w:hint="eastAsia" w:ascii="仿宋" w:hAnsi="仿宋" w:eastAsia="仿宋" w:cs="宋体"/>
          <w:b w:val="0"/>
          <w:kern w:val="2"/>
          <w:sz w:val="30"/>
          <w:szCs w:val="30"/>
        </w:rPr>
        <w:t>4、试验</w:t>
      </w:r>
      <w:r>
        <w:rPr>
          <w:rFonts w:hint="eastAsia" w:ascii="仿宋" w:hAnsi="仿宋" w:eastAsia="仿宋" w:cs="宋体"/>
          <w:b w:val="0"/>
          <w:kern w:val="2"/>
          <w:sz w:val="30"/>
          <w:szCs w:val="30"/>
          <w:lang w:val="en-US" w:eastAsia="zh-CN"/>
        </w:rPr>
        <w:t>时</w:t>
      </w:r>
      <w:r>
        <w:rPr>
          <w:rFonts w:hint="eastAsia" w:ascii="仿宋" w:hAnsi="仿宋" w:eastAsia="仿宋" w:cs="宋体"/>
          <w:b w:val="0"/>
          <w:kern w:val="2"/>
          <w:sz w:val="30"/>
          <w:szCs w:val="30"/>
          <w:lang w:val="en-US" w:eastAsia="zh-CN" w:bidi="ar-SA"/>
        </w:rPr>
        <w:t>湖南开关实业有限公司</w:t>
      </w:r>
      <w:r>
        <w:rPr>
          <w:rFonts w:hint="eastAsia" w:ascii="仿宋" w:hAnsi="仿宋" w:eastAsia="仿宋" w:cs="宋体"/>
          <w:b w:val="0"/>
          <w:kern w:val="2"/>
          <w:sz w:val="30"/>
          <w:szCs w:val="30"/>
        </w:rPr>
        <w:t>指定相关元器件。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 w:val="0"/>
          <w:bCs/>
          <w:kern w:val="2"/>
          <w:sz w:val="30"/>
          <w:szCs w:val="30"/>
        </w:rPr>
        <w:t>5、</w:t>
      </w:r>
      <w:r>
        <w:rPr>
          <w:rFonts w:hint="eastAsia" w:ascii="仿宋" w:hAnsi="仿宋" w:eastAsia="仿宋" w:cs="宋体"/>
          <w:sz w:val="30"/>
          <w:szCs w:val="30"/>
        </w:rPr>
        <w:t>注明联系人及联系方式。</w:t>
      </w:r>
    </w:p>
    <w:p>
      <w:pPr>
        <w:pStyle w:val="9"/>
        <w:rPr>
          <w:rFonts w:hint="default" w:eastAsia="仿宋"/>
          <w:color w:val="FF0000"/>
          <w:lang w:val="en-US" w:eastAsia="zh-CN"/>
        </w:rPr>
      </w:pPr>
      <w:r>
        <w:rPr>
          <w:rFonts w:hint="eastAsia" w:ascii="仿宋" w:hAnsi="仿宋" w:eastAsia="仿宋" w:cs="宋体"/>
          <w:color w:val="FF0000"/>
          <w:sz w:val="30"/>
          <w:szCs w:val="30"/>
          <w:lang w:val="en-US" w:eastAsia="zh-CN"/>
        </w:rPr>
        <w:t>备注：报价时，报价单须每页加盖公章。</w:t>
      </w:r>
      <w:bookmarkStart w:id="0" w:name="_GoBack"/>
      <w:bookmarkEnd w:id="0"/>
    </w:p>
    <w:p>
      <w:pPr>
        <w:rPr>
          <w:rFonts w:ascii="华文仿宋" w:hAnsi="华文仿宋" w:eastAsia="华文仿宋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A12C5"/>
    <w:multiLevelType w:val="singleLevel"/>
    <w:tmpl w:val="808A12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138B1E"/>
    <w:multiLevelType w:val="singleLevel"/>
    <w:tmpl w:val="1A138B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jliZDIxZGEwNGFiYTY0MzA3MmVhYTViYjJlMmUifQ=="/>
  </w:docVars>
  <w:rsids>
    <w:rsidRoot w:val="00000000"/>
    <w:rsid w:val="15D63E6F"/>
    <w:rsid w:val="51F7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Paragraph"/>
    <w:basedOn w:val="8"/>
    <w:qFormat/>
    <w:uiPriority w:val="0"/>
    <w:rPr>
      <w:rFonts w:ascii="宋体" w:hAnsi="宋体" w:cs="宋体"/>
    </w:rPr>
  </w:style>
  <w:style w:type="paragraph" w:customStyle="1" w:styleId="8">
    <w:name w:val="正文1"/>
    <w:next w:val="9"/>
    <w:qFormat/>
    <w:uiPriority w:val="0"/>
    <w:pPr>
      <w:widowControl w:val="0"/>
      <w:jc w:val="both"/>
    </w:pPr>
    <w:rPr>
      <w:rFonts w:ascii="Calibri" w:hAnsi="Calibri" w:eastAsia="新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标题 21"/>
    <w:basedOn w:val="8"/>
    <w:next w:val="8"/>
    <w:qFormat/>
    <w:uiPriority w:val="0"/>
    <w:pPr>
      <w:keepNext/>
      <w:keepLines/>
      <w:spacing w:line="360" w:lineRule="auto"/>
      <w:outlineLvl w:val="1"/>
    </w:pPr>
    <w:rPr>
      <w:rFonts w:ascii="Verdana" w:hAnsi="Verdana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1361</Characters>
  <Lines>0</Lines>
  <Paragraphs>0</Paragraphs>
  <TotalTime>2</TotalTime>
  <ScaleCrop>false</ScaleCrop>
  <LinksUpToDate>false</LinksUpToDate>
  <CharactersWithSpaces>1377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2023-10-12T01:49:00Z</dcterms:created>
  <dc:creator>ADMIN20220301L5</dc:creator>
  <cp:lastModifiedBy>ADMIN20220301L5</cp:lastModifiedBy>
  <dcterms:modified xsi:type="dcterms:W3CDTF">2023-10-12T06:55:42Z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B012218D1E934E8996B72D0DC13E0FD6_12</vt:lpwstr>
  </property>
</Properties>
</file>