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adjustRightInd w:val="0"/>
        <w:spacing w:line="360" w:lineRule="auto"/>
        <w:textAlignment w:val="baseline"/>
        <w:outlineLvl w:val="1"/>
        <w:rPr>
          <w:rFonts w:hint="eastAsia" w:ascii="宋体" w:hAnsi="宋体" w:cs="宋体"/>
          <w:b/>
          <w:bCs/>
          <w:kern w:val="0"/>
          <w:szCs w:val="21"/>
          <w:highlight w:val="none"/>
          <w:lang w:val="en-US" w:eastAsia="zh-CN" w:bidi="ar"/>
        </w:rPr>
      </w:pPr>
      <w:bookmarkStart w:id="1" w:name="_GoBack"/>
      <w:bookmarkEnd w:id="1"/>
      <w:r>
        <w:rPr>
          <w:rFonts w:hint="eastAsia" w:ascii="宋体" w:hAnsi="宋体" w:cs="宋体"/>
          <w:b/>
          <w:bCs/>
          <w:kern w:val="0"/>
          <w:szCs w:val="21"/>
          <w:highlight w:val="none"/>
          <w:lang w:val="en-US" w:eastAsia="zh-CN" w:bidi="ar"/>
        </w:rPr>
        <w:t>附件2.</w:t>
      </w:r>
    </w:p>
    <w:p>
      <w:pPr>
        <w:pStyle w:val="5"/>
        <w:spacing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一、项目建设背景及需求</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（一）项目建设背景</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目前集团信息化建设已基本覆盖了各管理和业务领域，未来围绕集团数字化转型，将改革创新贯穿于经营管理全过程，形成“一个大脑、五个平台、N个单元”的智慧化管理体系。</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本项目聚焦于集团“一个大脑”的打造，是落实集团数字化转型战略的重要技术基础。着力于解决各信息化系统数据汇聚、处理和各业务体系互联互通的痛点，为管理决策提供数据支持，提高企业的生产运营效率，降低运营风险和成本。同时通过“智慧大脑”助推业务模式的转型升级，实现传统经营向数据化管理理念的转变，创造新的业务增量。</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（二）项目建设内容</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内蒙新华发行集团智慧大脑项目将充分利新一代信息技术，打造新华发行的新业态、新模式、新动能，实现以创新驱动的产业高质量化和跨领域的同步化发展，用科技赋能出版发行，打造新时代的终身教育服务品牌。</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本项目以构建内蒙新华发行集团智慧脑为核心，打造</w:t>
      </w:r>
      <w:r>
        <w:rPr>
          <w:rFonts w:hint="eastAsia" w:asciiTheme="majorEastAsia" w:hAnsiTheme="majorEastAsia" w:eastAsiaTheme="majorEastAsia" w:cstheme="majorEastAsia"/>
          <w:b/>
          <w:bCs/>
          <w:szCs w:val="21"/>
        </w:rPr>
        <w:t>数据中台</w:t>
      </w: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b/>
          <w:bCs/>
          <w:szCs w:val="21"/>
        </w:rPr>
        <w:t>业务中台</w:t>
      </w:r>
      <w:r>
        <w:rPr>
          <w:rFonts w:hint="eastAsia" w:asciiTheme="majorEastAsia" w:hAnsiTheme="majorEastAsia" w:eastAsiaTheme="majorEastAsia" w:cstheme="majorEastAsia"/>
          <w:szCs w:val="21"/>
        </w:rPr>
        <w:t>，为内蒙新华发行集团数字化转型夯实基础，本项目建设目标如下：</w:t>
      </w:r>
    </w:p>
    <w:p>
      <w:pPr>
        <w:spacing w:line="360" w:lineRule="auto"/>
        <w:ind w:firstLine="482"/>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以数据中台为集团数据底座，构建数据驱动业务模式</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shd w:val="clear" w:color="auto" w:fill="FFFFFF"/>
        </w:rPr>
        <w:t>建设可靠、安全、易用的内蒙新华出版发行大数据引擎，</w:t>
      </w:r>
      <w:r>
        <w:rPr>
          <w:rFonts w:hint="eastAsia" w:asciiTheme="majorEastAsia" w:hAnsiTheme="majorEastAsia" w:eastAsiaTheme="majorEastAsia" w:cstheme="majorEastAsia"/>
          <w:szCs w:val="21"/>
        </w:rPr>
        <w:t>以集团数据为关键要素，涵盖ERP、财务、人力、物业、内蒙新华马上购小程序等系统数据，</w:t>
      </w:r>
      <w:r>
        <w:rPr>
          <w:rFonts w:hint="eastAsia" w:asciiTheme="majorEastAsia" w:hAnsiTheme="majorEastAsia" w:eastAsiaTheme="majorEastAsia" w:cstheme="majorEastAsia"/>
          <w:szCs w:val="21"/>
          <w:shd w:val="clear" w:color="auto" w:fill="FFFFFF"/>
        </w:rPr>
        <w:t>构建企业</w:t>
      </w:r>
      <w:r>
        <w:rPr>
          <w:rFonts w:hint="eastAsia" w:asciiTheme="majorEastAsia" w:hAnsiTheme="majorEastAsia" w:eastAsiaTheme="majorEastAsia" w:cstheme="majorEastAsia"/>
          <w:szCs w:val="21"/>
          <w:shd w:val="clear" w:color="auto" w:fill="FFFFFF"/>
          <w:lang w:val="en-US" w:eastAsia="zh-CN"/>
        </w:rPr>
        <w:t>管控</w:t>
      </w:r>
      <w:r>
        <w:rPr>
          <w:rFonts w:hint="eastAsia" w:asciiTheme="majorEastAsia" w:hAnsiTheme="majorEastAsia" w:eastAsiaTheme="majorEastAsia" w:cstheme="majorEastAsia"/>
          <w:szCs w:val="21"/>
          <w:shd w:val="clear" w:color="auto" w:fill="FFFFFF"/>
        </w:rPr>
        <w:t>、文化消费、教育服务、财务风控、人力资源等大数据应用服务，</w:t>
      </w:r>
      <w:r>
        <w:rPr>
          <w:rFonts w:hint="eastAsia" w:asciiTheme="majorEastAsia" w:hAnsiTheme="majorEastAsia" w:eastAsiaTheme="majorEastAsia" w:cstheme="majorEastAsia"/>
          <w:szCs w:val="21"/>
        </w:rPr>
        <w:t>实现企业生产智能化、营销精准化、运营数据化</w:t>
      </w:r>
      <w:r>
        <w:rPr>
          <w:rFonts w:hint="eastAsia" w:asciiTheme="majorEastAsia" w:hAnsiTheme="majorEastAsia" w:eastAsiaTheme="majorEastAsia" w:cstheme="majorEastAsia"/>
          <w:szCs w:val="21"/>
          <w:lang w:val="en-US" w:eastAsia="zh-CN"/>
        </w:rPr>
        <w:t>的发展要求</w:t>
      </w:r>
      <w:r>
        <w:rPr>
          <w:rFonts w:hint="eastAsia" w:asciiTheme="majorEastAsia" w:hAnsiTheme="majorEastAsia" w:eastAsiaTheme="majorEastAsia" w:cstheme="majorEastAsia"/>
          <w:szCs w:val="21"/>
        </w:rPr>
        <w:t>。</w:t>
      </w:r>
    </w:p>
    <w:p>
      <w:pPr>
        <w:spacing w:line="360" w:lineRule="auto"/>
        <w:ind w:firstLine="482"/>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以业务中台为企业连接枢纽，重构业务连接闭环</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集团</w:t>
      </w:r>
      <w:r>
        <w:rPr>
          <w:rFonts w:hint="eastAsia" w:asciiTheme="majorEastAsia" w:hAnsiTheme="majorEastAsia" w:eastAsiaTheme="majorEastAsia" w:cstheme="majorEastAsia"/>
          <w:szCs w:val="21"/>
          <w:lang w:val="en-US" w:eastAsia="zh-CN"/>
        </w:rPr>
        <w:t>目前</w:t>
      </w:r>
      <w:r>
        <w:rPr>
          <w:rFonts w:hint="eastAsia" w:asciiTheme="majorEastAsia" w:hAnsiTheme="majorEastAsia" w:eastAsiaTheme="majorEastAsia" w:cstheme="majorEastAsia"/>
          <w:szCs w:val="21"/>
        </w:rPr>
        <w:t>内部众多</w:t>
      </w:r>
      <w:r>
        <w:rPr>
          <w:rFonts w:hint="eastAsia" w:asciiTheme="majorEastAsia" w:hAnsiTheme="majorEastAsia" w:eastAsiaTheme="majorEastAsia" w:cstheme="majorEastAsia"/>
          <w:szCs w:val="21"/>
          <w:lang w:val="en-US" w:eastAsia="zh-CN"/>
        </w:rPr>
        <w:t>系统应用</w:t>
      </w:r>
      <w:r>
        <w:rPr>
          <w:rFonts w:hint="eastAsia" w:asciiTheme="majorEastAsia" w:hAnsiTheme="majorEastAsia" w:eastAsiaTheme="majorEastAsia" w:cstheme="majorEastAsia"/>
          <w:szCs w:val="21"/>
        </w:rPr>
        <w:t>之间的管理、互通</w:t>
      </w:r>
      <w:r>
        <w:rPr>
          <w:rFonts w:hint="eastAsia" w:asciiTheme="majorEastAsia" w:hAnsiTheme="majorEastAsia" w:eastAsiaTheme="majorEastAsia" w:cstheme="majorEastAsia"/>
          <w:szCs w:val="21"/>
          <w:lang w:val="en-US" w:eastAsia="zh-CN"/>
        </w:rPr>
        <w:t>较为困难，系统功能</w:t>
      </w:r>
      <w:r>
        <w:rPr>
          <w:rFonts w:hint="eastAsia" w:asciiTheme="majorEastAsia" w:hAnsiTheme="majorEastAsia" w:eastAsiaTheme="majorEastAsia" w:cstheme="majorEastAsia"/>
          <w:szCs w:val="21"/>
        </w:rPr>
        <w:t>的</w:t>
      </w:r>
      <w:r>
        <w:rPr>
          <w:rFonts w:hint="eastAsia" w:asciiTheme="majorEastAsia" w:hAnsiTheme="majorEastAsia" w:eastAsiaTheme="majorEastAsia" w:cstheme="majorEastAsia"/>
          <w:szCs w:val="21"/>
          <w:lang w:val="en-US" w:eastAsia="zh-CN"/>
        </w:rPr>
        <w:t>复用率较低，造成</w:t>
      </w:r>
      <w:r>
        <w:rPr>
          <w:rFonts w:hint="eastAsia" w:asciiTheme="majorEastAsia" w:hAnsiTheme="majorEastAsia" w:eastAsiaTheme="majorEastAsia" w:cstheme="majorEastAsia"/>
          <w:szCs w:val="21"/>
        </w:rPr>
        <w:t>企业未来</w:t>
      </w:r>
      <w:r>
        <w:rPr>
          <w:rFonts w:hint="eastAsia" w:asciiTheme="majorEastAsia" w:hAnsiTheme="majorEastAsia" w:eastAsiaTheme="majorEastAsia" w:cstheme="majorEastAsia"/>
          <w:szCs w:val="21"/>
          <w:lang w:val="en-US" w:eastAsia="zh-CN"/>
        </w:rPr>
        <w:t>信息</w:t>
      </w:r>
      <w:r>
        <w:rPr>
          <w:rFonts w:hint="eastAsia" w:asciiTheme="majorEastAsia" w:hAnsiTheme="majorEastAsia" w:eastAsiaTheme="majorEastAsia" w:cstheme="majorEastAsia"/>
          <w:szCs w:val="21"/>
        </w:rPr>
        <w:t>发展的巨大阻碍。</w:t>
      </w:r>
      <w:r>
        <w:rPr>
          <w:rFonts w:hint="eastAsia" w:asciiTheme="majorEastAsia" w:hAnsiTheme="majorEastAsia" w:eastAsiaTheme="majorEastAsia" w:cstheme="majorEastAsia"/>
          <w:szCs w:val="21"/>
          <w:lang w:val="en-US" w:eastAsia="zh-CN"/>
        </w:rPr>
        <w:t>计划打造系统业务中台，</w:t>
      </w:r>
      <w:r>
        <w:rPr>
          <w:rFonts w:hint="eastAsia" w:asciiTheme="majorEastAsia" w:hAnsiTheme="majorEastAsia" w:eastAsiaTheme="majorEastAsia" w:cstheme="majorEastAsia"/>
          <w:szCs w:val="21"/>
        </w:rPr>
        <w:t>以数据互通、生态开放为核心理念，构建</w:t>
      </w:r>
      <w:r>
        <w:rPr>
          <w:rFonts w:hint="eastAsia" w:asciiTheme="majorEastAsia" w:hAnsiTheme="majorEastAsia" w:eastAsiaTheme="majorEastAsia" w:cstheme="majorEastAsia"/>
          <w:szCs w:val="21"/>
          <w:lang w:val="en-US" w:eastAsia="zh-CN"/>
        </w:rPr>
        <w:t>内部系统一体化平台</w:t>
      </w: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val="en-US" w:eastAsia="zh-CN"/>
        </w:rPr>
        <w:t>利用技术</w:t>
      </w:r>
      <w:r>
        <w:rPr>
          <w:rFonts w:hint="eastAsia" w:asciiTheme="majorEastAsia" w:hAnsiTheme="majorEastAsia" w:eastAsiaTheme="majorEastAsia" w:cstheme="majorEastAsia"/>
          <w:szCs w:val="21"/>
        </w:rPr>
        <w:t>架构将企业内外部间不同的系统或业务连接到一个统一的的平台中，</w:t>
      </w:r>
      <w:r>
        <w:rPr>
          <w:rFonts w:hint="eastAsia" w:asciiTheme="majorEastAsia" w:hAnsiTheme="majorEastAsia" w:eastAsiaTheme="majorEastAsia" w:cstheme="majorEastAsia"/>
          <w:szCs w:val="21"/>
          <w:lang w:val="en-US" w:eastAsia="zh-CN"/>
        </w:rPr>
        <w:t>该平台</w:t>
      </w:r>
      <w:r>
        <w:rPr>
          <w:rFonts w:hint="eastAsia" w:asciiTheme="majorEastAsia" w:hAnsiTheme="majorEastAsia" w:eastAsiaTheme="majorEastAsia" w:cstheme="majorEastAsia"/>
          <w:szCs w:val="21"/>
        </w:rPr>
        <w:t>集成模型</w:t>
      </w:r>
      <w:r>
        <w:rPr>
          <w:rFonts w:hint="eastAsia" w:asciiTheme="majorEastAsia" w:hAnsiTheme="majorEastAsia" w:eastAsiaTheme="majorEastAsia" w:cstheme="majorEastAsia"/>
          <w:szCs w:val="21"/>
          <w:lang w:val="en-US" w:eastAsia="zh-CN"/>
        </w:rPr>
        <w:t>需</w:t>
      </w:r>
      <w:r>
        <w:rPr>
          <w:rFonts w:hint="eastAsia" w:asciiTheme="majorEastAsia" w:hAnsiTheme="majorEastAsia" w:eastAsiaTheme="majorEastAsia" w:cstheme="majorEastAsia"/>
          <w:szCs w:val="21"/>
        </w:rPr>
        <w:t>实现各个系统间的资源整合、数据编排和传递、业务衔接等功能，</w:t>
      </w:r>
      <w:r>
        <w:rPr>
          <w:rFonts w:hint="eastAsia" w:asciiTheme="majorEastAsia" w:hAnsiTheme="majorEastAsia" w:eastAsiaTheme="majorEastAsia" w:cstheme="majorEastAsia"/>
          <w:szCs w:val="21"/>
          <w:lang w:val="en-US" w:eastAsia="zh-CN"/>
        </w:rPr>
        <w:t>可快速搭建轻量化的业务系统，</w:t>
      </w:r>
      <w:r>
        <w:rPr>
          <w:rFonts w:hint="eastAsia" w:asciiTheme="majorEastAsia" w:hAnsiTheme="majorEastAsia" w:eastAsiaTheme="majorEastAsia" w:cstheme="majorEastAsia"/>
          <w:szCs w:val="21"/>
        </w:rPr>
        <w:t>满足企业全方位、高灵活度</w:t>
      </w:r>
      <w:r>
        <w:rPr>
          <w:rFonts w:hint="eastAsia" w:asciiTheme="majorEastAsia" w:hAnsiTheme="majorEastAsia" w:eastAsiaTheme="majorEastAsia" w:cstheme="majorEastAsia"/>
          <w:szCs w:val="21"/>
          <w:lang w:eastAsia="zh-CN"/>
        </w:rPr>
        <w:t>、</w:t>
      </w:r>
      <w:r>
        <w:rPr>
          <w:rFonts w:hint="eastAsia" w:asciiTheme="majorEastAsia" w:hAnsiTheme="majorEastAsia" w:eastAsiaTheme="majorEastAsia" w:cstheme="majorEastAsia"/>
          <w:szCs w:val="21"/>
          <w:lang w:val="en-US" w:eastAsia="zh-CN"/>
        </w:rPr>
        <w:t>迅速部署</w:t>
      </w:r>
      <w:r>
        <w:rPr>
          <w:rFonts w:hint="eastAsia" w:asciiTheme="majorEastAsia" w:hAnsiTheme="majorEastAsia" w:eastAsiaTheme="majorEastAsia" w:cstheme="majorEastAsia"/>
          <w:szCs w:val="21"/>
        </w:rPr>
        <w:t>的一体化系统集成需求，有效降低企业系统集成周期和难度。</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（三）项目建设目标</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“智慧大脑”平台建设主要面向内部各级管理人员和外部关键管理机构及服务用户（以下简称“关键机构用户”）两大类用户群体。</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对内，进一步完善优化业务系统，在提升系统应用和数据采集基础上，通过智慧大脑平台建设打通各个“烟囱式”的数据系统</w:t>
      </w:r>
      <w:r>
        <w:rPr>
          <w:rFonts w:hint="eastAsia" w:asciiTheme="majorEastAsia" w:hAnsiTheme="majorEastAsia" w:eastAsiaTheme="majorEastAsia" w:cstheme="majorEastAsia"/>
          <w:b/>
          <w:szCs w:val="21"/>
        </w:rPr>
        <w:t>。</w:t>
      </w:r>
      <w:r>
        <w:rPr>
          <w:rFonts w:hint="eastAsia" w:asciiTheme="majorEastAsia" w:hAnsiTheme="majorEastAsia" w:eastAsiaTheme="majorEastAsia" w:cstheme="majorEastAsia"/>
          <w:szCs w:val="21"/>
        </w:rPr>
        <w:t>优化基础数据质量，数据获取和分析效率明显提升，数据层层收集、多头收集的问题明显改善。风险控制能力、资源配置效率进一步提升。</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外，在为关键机构用户提供草原书屋、阅旧知新、学籍教材征订管理、图书借阅管理等系统的基础上，通过智慧大脑平台建设，在保障数据隔离和数据安全前提下，为各关键机构用户提供“产品销售+平台服务+数据服务”。</w:t>
      </w:r>
      <w:r>
        <w:rPr>
          <w:rFonts w:hint="eastAsia" w:asciiTheme="majorEastAsia" w:hAnsiTheme="majorEastAsia" w:eastAsiaTheme="majorEastAsia" w:cstheme="majorEastAsia"/>
          <w:bCs/>
          <w:szCs w:val="21"/>
        </w:rPr>
        <w:t xml:space="preserve"> 显著提升集团在全自治区教育和文化领域的影响力、竞争力，促使新业务模式的持续涌现。</w:t>
      </w:r>
    </w:p>
    <w:p>
      <w:pPr>
        <w:pStyle w:val="5"/>
        <w:spacing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二、项目建设方案</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（一）强化数据基础</w:t>
      </w:r>
    </w:p>
    <w:p>
      <w:pPr>
        <w:spacing w:line="360" w:lineRule="auto"/>
        <w:ind w:firstLine="482"/>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持续完善集团各管理和业务系统，提升基础数据采集能力：</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提升系统应用水平和数据规范性、准确性是“智慧大脑”平台建设的重要基础，本项目进一步优化和完善各管理和业务系统，为“智慧大脑”平台建设提供数据基础。</w:t>
      </w:r>
    </w:p>
    <w:p>
      <w:pPr>
        <w:pStyle w:val="11"/>
        <w:numPr>
          <w:ilvl w:val="0"/>
          <w:numId w:val="1"/>
        </w:numPr>
        <w:spacing w:line="360" w:lineRule="auto"/>
        <w:ind w:firstLine="420" w:firstLineChars="20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财务系统：重点完善实现财务基础数据准确性和完善，实现财务报表模块以及资金管理系统、影像系统的对接开发。</w:t>
      </w:r>
    </w:p>
    <w:p>
      <w:pPr>
        <w:pStyle w:val="11"/>
        <w:numPr>
          <w:ilvl w:val="0"/>
          <w:numId w:val="1"/>
        </w:numPr>
        <w:spacing w:line="360" w:lineRule="auto"/>
        <w:ind w:firstLine="420" w:firstLineChars="20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物业资产系统：重点完善集团不动产全部信息入库管理、实时查询跟踪，设备安全管理、年检及维修，日常经营、改造日志记录等，实现与财务及OA系统的互通。</w:t>
      </w:r>
    </w:p>
    <w:p>
      <w:pPr>
        <w:pStyle w:val="11"/>
        <w:numPr>
          <w:ilvl w:val="0"/>
          <w:numId w:val="1"/>
        </w:numPr>
        <w:spacing w:line="360" w:lineRule="auto"/>
        <w:ind w:firstLine="420" w:firstLineChars="20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业务ERP系统：重点进行报表功能的完善，同时进一步完善业财对接。</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（二）构建数据资产</w:t>
      </w:r>
    </w:p>
    <w:p>
      <w:pPr>
        <w:spacing w:line="360" w:lineRule="auto"/>
        <w:ind w:firstLine="482"/>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开展数据治理，形成集团的数据资产：</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明确数据管理标准、数据质量标准，完善数据管理机制，从制度上落实数据责任人和管理要求，以解决数据准确性、规范性的问题，加强数据管理，形成集团的数据资产。</w:t>
      </w:r>
    </w:p>
    <w:p>
      <w:pPr>
        <w:spacing w:line="360" w:lineRule="auto"/>
        <w:ind w:firstLine="48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围绕文化消费、教育服务、财务风控、人力资源等集团重点业务系统及内控系统、以及阅旧知新、草原书屋等公益文化服务系统等，梳理分析指标，监控风险点，形成决策支持指标清单。面向业务和管理人员，建设企业驾驶舱、智能报表实现各项核心指标的可视化呈现。 </w:t>
      </w:r>
    </w:p>
    <w:p>
      <w:pPr>
        <w:pStyle w:val="6"/>
        <w:spacing w:before="0" w:after="0" w:line="360" w:lineRule="auto"/>
        <w:rPr>
          <w:rFonts w:asciiTheme="majorEastAsia" w:hAnsiTheme="majorEastAsia" w:cstheme="majorEastAsia"/>
          <w:sz w:val="21"/>
          <w:szCs w:val="21"/>
        </w:rPr>
      </w:pPr>
      <w:r>
        <w:rPr>
          <w:rFonts w:hint="eastAsia" w:asciiTheme="majorEastAsia" w:hAnsiTheme="majorEastAsia" w:cstheme="majorEastAsia"/>
          <w:sz w:val="21"/>
          <w:szCs w:val="21"/>
        </w:rPr>
        <w:t>（三）搭建技术平台</w:t>
      </w:r>
    </w:p>
    <w:p>
      <w:pPr>
        <w:spacing w:line="360" w:lineRule="auto"/>
        <w:ind w:firstLine="482"/>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打造数据中台、业务中台双中台夯实数字化基础：</w:t>
      </w:r>
    </w:p>
    <w:p>
      <w:pPr>
        <w:pStyle w:val="11"/>
        <w:numPr>
          <w:ilvl w:val="0"/>
          <w:numId w:val="1"/>
        </w:numPr>
        <w:spacing w:line="360" w:lineRule="auto"/>
        <w:ind w:firstLine="420" w:firstLineChars="200"/>
        <w:jc w:val="left"/>
        <w:rPr>
          <w:rFonts w:asciiTheme="majorEastAsia" w:hAnsiTheme="majorEastAsia" w:eastAsiaTheme="majorEastAsia" w:cstheme="majorEastAsia"/>
          <w:b/>
          <w:bCs/>
          <w:szCs w:val="21"/>
        </w:rPr>
      </w:pPr>
      <w:bookmarkStart w:id="0" w:name="_Hlk137806988"/>
      <w:r>
        <w:rPr>
          <w:rFonts w:hint="eastAsia" w:asciiTheme="majorEastAsia" w:hAnsiTheme="majorEastAsia" w:eastAsiaTheme="majorEastAsia" w:cstheme="majorEastAsia"/>
          <w:szCs w:val="21"/>
        </w:rPr>
        <w:t>建设可靠、安全、易用的内蒙新华发行大数据引擎，以集团数据为关键要素。搭建数据汇聚平台、数据处理平台、数据开发平台、数据治理平台、数据资产平台、数据服务平台等，构建风险管控、经营分析的大数据应用服务。</w:t>
      </w:r>
    </w:p>
    <w:bookmarkEnd w:id="0"/>
    <w:p>
      <w:pPr>
        <w:pStyle w:val="11"/>
        <w:numPr>
          <w:ilvl w:val="0"/>
          <w:numId w:val="1"/>
        </w:numPr>
        <w:spacing w:line="360" w:lineRule="auto"/>
        <w:ind w:firstLine="420" w:firstLineChars="20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以数据互通、生态开放为核心理念，构建业务中台。实现企业内外部系统或业务的集成，强化系统间的资源整合、业务衔接能力，有效降低企业系统集成周期和难度。</w:t>
      </w:r>
    </w:p>
    <w:p>
      <w:pPr>
        <w:pStyle w:val="5"/>
        <w:spacing w:line="360" w:lineRule="auto"/>
        <w:jc w:val="lef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三、项目采购清单</w:t>
      </w:r>
    </w:p>
    <w:tbl>
      <w:tblPr>
        <w:tblStyle w:val="8"/>
        <w:tblW w:w="4998" w:type="pct"/>
        <w:jc w:val="center"/>
        <w:tblLayout w:type="autofit"/>
        <w:tblCellMar>
          <w:top w:w="15" w:type="dxa"/>
          <w:left w:w="15" w:type="dxa"/>
          <w:bottom w:w="15" w:type="dxa"/>
          <w:right w:w="15" w:type="dxa"/>
        </w:tblCellMar>
      </w:tblPr>
      <w:tblGrid>
        <w:gridCol w:w="828"/>
        <w:gridCol w:w="2501"/>
        <w:gridCol w:w="5004"/>
      </w:tblGrid>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shd w:val="clear" w:color="auto" w:fill="C4C4C4"/>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序号</w:t>
            </w:r>
          </w:p>
        </w:tc>
        <w:tc>
          <w:tcPr>
            <w:tcW w:w="1500" w:type="pct"/>
            <w:tcBorders>
              <w:top w:val="single" w:color="000000" w:sz="4" w:space="0"/>
              <w:left w:val="single" w:color="000000" w:sz="4" w:space="0"/>
              <w:bottom w:val="single" w:color="000000" w:sz="4" w:space="0"/>
              <w:right w:val="single" w:color="000000" w:sz="4" w:space="0"/>
            </w:tcBorders>
            <w:shd w:val="clear" w:color="auto" w:fill="C4C4C4"/>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产品名称</w:t>
            </w:r>
          </w:p>
        </w:tc>
        <w:tc>
          <w:tcPr>
            <w:tcW w:w="3002" w:type="pct"/>
            <w:tcBorders>
              <w:top w:val="single" w:color="000000" w:sz="4" w:space="0"/>
              <w:left w:val="single" w:color="000000" w:sz="4" w:space="0"/>
              <w:bottom w:val="single" w:color="000000" w:sz="4" w:space="0"/>
              <w:right w:val="single" w:color="000000" w:sz="4" w:space="0"/>
            </w:tcBorders>
            <w:shd w:val="clear" w:color="auto" w:fill="C4C4C4"/>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功能描述</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一</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基础系统数据优化</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rPr>
                <w:rFonts w:asciiTheme="majorEastAsia" w:hAnsiTheme="majorEastAsia" w:eastAsiaTheme="majorEastAsia" w:cstheme="majorEastAsia"/>
                <w:szCs w:val="21"/>
              </w:rPr>
            </w:pP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财务系统数据优化</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重点完善实现财务基础数据准确性和完善，实现财务报表模块以及资金管理系统、影像系统的对接开发。</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ERP系统数据优化</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对各个业务板块的数据、报表梳理，有效解决数据质量及准确性问题，建立数据规范化管理体系。深化业财对接，有效解决系统间集成不足，数据难以共享的痛点。</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物业资产数据优化</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重点完善集团不动产数据入库管理，实现设备安全管理、年检、维修、日常经营、改造记录等实时信息的查询跟踪。</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二</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企业数据中台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多源异构汇聚平台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支持全域采集和汇聚各部门数据，包括：ERP系统、财务系统、HR系统、物业管理系统、阅旧知新、马上购、草原书屋等系统数据，从关系型数据库到非关系型数据库，从结构化数据到非结构化数据，实现统一汇聚各类数据资源。</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数据融合处理平台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构建智能处理、精细治理、分类组织的大数据资源融合处理体系。按照“一数一源”原则，不同的数据实体可以相应融合。提升数据质量和精准授权的能力，形成“集中汇聚、高度融合、及时更新、切实可用”的数据中台。</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数据开发平台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高性能调度引擎，支持大数据的开发、分析和运维等场景的全链路操，无需多平台多工具间来回切换，开发模式适应多场景。</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数据治理平台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包含数据治理的准备工作、数据治理工作、数据管理工作以及数据资产运营功能，实现对数据从规划、获取、存储、共享、维护、应用的统一标准化管理。</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数据资产平台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将数据以商品的形式对外提供订阅、交换。提供统一的数据超市门户，支持数据使用者订阅、调用、发布数据。提供数据使用者以简单、便捷、详细地了解资产信息，将数据资产变得可阅读、易理解、好使用、有价值。</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数据服务平台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提供对数据提供快速的服务生成能力。实现第三方接口、SDK、数据库数据都可以集成到数据服务平台上，同时数据服务平台提供对数据接口的鉴权等功能，用于大数据应用服务、网关服务挂载、数据服务统一管理等应用场景。</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数据仓库建设</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完成新华发行智慧大脑的数据仓库搭建，实现数据计算与数据资产运营，开发企业概览、文化消费、教育服务、财务风控、人力资源相关数据服务接口，为智能报表、企业驾驶舱的展示分析提供服务。</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智能报表平台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基于大数据平台的总体架构，BI商业智能分析系统最终将通过对接大数据平台实现统一化集团的数据决策大脑，为“用数据说话、用数据管理、用数据决策”的管理机制提供重要支撑，进而推进行业创新、管理创新现代化进程。</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企业驾驶舱平台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通过数据可视化工具引擎，提供海量的图表资源和行业模板，完成业务数据可视化系统搭建，打造内蒙发行一流的“领导驾驶舱”。以企业经营成果及企业能力展示为核心，通过可视化手段，展现企业文化理念形象以及对内的业务监测能力，将庞大复杂的数据信息可视运营，辅助管理层通过业务数据呈现结果高效精准决策。</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三</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企业业务中台</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应用连接器</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建设生态经济,实现生态应用及系统快速互联，作业互通,资源互换,管理合一,以融合大局观,搭建满足多场景化的业务系统,有效降低重复成本,优化集团应用体系,实现 ERP 与财务一体化集成,推动数字化管理转型。</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业财一体化集成流开发</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通过应用连接器，基于现有ERP系统、财务系统，实现和相关业务系统之间的业财数据打通。基于实施工作量范围内选定的高优先级场景实现包含财务收款数据打通、业务凭证打通、合同数据等数据点位。</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四</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宋体" w:hAnsi="宋体" w:cs="宋体"/>
                <w:color w:val="000000"/>
                <w:kern w:val="0"/>
                <w:szCs w:val="21"/>
                <w:lang w:bidi="ar"/>
              </w:rPr>
              <w:t>项目实施及设施租赁</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宋体" w:hAnsi="宋体" w:cs="宋体"/>
                <w:color w:val="000000"/>
                <w:kern w:val="0"/>
                <w:szCs w:val="21"/>
                <w:lang w:bidi="ar"/>
              </w:rPr>
              <w:t>基础设施租赁</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提供物业资产系统、数据中台、业务中台、智能报表所需的服务器租赁。服务期限1年。</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硬件设备</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提供企业驾驶舱平台所需的大屏一体机、图形工作站、平板电脑等硬件</w:t>
            </w:r>
          </w:p>
        </w:tc>
      </w:tr>
      <w:tr>
        <w:tblPrEx>
          <w:tblCellMar>
            <w:top w:w="15" w:type="dxa"/>
            <w:left w:w="15" w:type="dxa"/>
            <w:bottom w:w="15" w:type="dxa"/>
            <w:right w:w="15" w:type="dxa"/>
          </w:tblCellMar>
        </w:tblPrEx>
        <w:trPr>
          <w:trHeight w:val="360" w:hRule="atLeast"/>
          <w:jc w:val="center"/>
        </w:trPr>
        <w:tc>
          <w:tcPr>
            <w:tcW w:w="497"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1500" w:type="pct"/>
            <w:tcBorders>
              <w:top w:val="single" w:color="000000" w:sz="4" w:space="0"/>
              <w:left w:val="single" w:color="000000" w:sz="4" w:space="0"/>
              <w:bottom w:val="single" w:color="000000" w:sz="4" w:space="0"/>
              <w:right w:val="single" w:color="000000" w:sz="4" w:space="0"/>
            </w:tcBorders>
            <w:noWrap/>
            <w:vAlign w:val="center"/>
          </w:tcPr>
          <w:p>
            <w:pPr>
              <w:pStyle w:val="11"/>
              <w:spacing w:line="360" w:lineRule="auto"/>
              <w:ind w:firstLine="0" w:firstLineChars="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项目整体实施服务</w:t>
            </w:r>
          </w:p>
        </w:tc>
        <w:tc>
          <w:tcPr>
            <w:tcW w:w="3002" w:type="pct"/>
            <w:tcBorders>
              <w:top w:val="single" w:color="000000" w:sz="4" w:space="0"/>
              <w:left w:val="single" w:color="000000" w:sz="4" w:space="0"/>
              <w:bottom w:val="single" w:color="000000" w:sz="4" w:space="0"/>
              <w:right w:val="single" w:color="000000" w:sz="4" w:space="0"/>
            </w:tcBorders>
            <w:vAlign w:val="center"/>
          </w:tcPr>
          <w:p>
            <w:pPr>
              <w:pStyle w:val="11"/>
              <w:spacing w:line="360" w:lineRule="auto"/>
              <w:ind w:firstLine="0" w:firstLineChars="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整体项目交付范围内的实施、培训、运维等</w:t>
            </w:r>
          </w:p>
        </w:tc>
      </w:tr>
    </w:tbl>
    <w:p>
      <w:pPr>
        <w:pStyle w:val="10"/>
        <w:spacing w:before="0" w:after="0"/>
        <w:ind w:right="42" w:rightChars="20" w:firstLine="482" w:firstLineChars="200"/>
        <w:jc w:val="both"/>
        <w:rPr>
          <w:rFonts w:ascii="宋体" w:hAnsi="宋体" w:eastAsia="宋体" w:cs="宋体"/>
          <w:b/>
          <w:bCs w:val="0"/>
          <w:kern w:val="0"/>
          <w:sz w:val="24"/>
          <w:szCs w:val="24"/>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EF648D"/>
    <w:multiLevelType w:val="multilevel"/>
    <w:tmpl w:val="1FEF648D"/>
    <w:lvl w:ilvl="0" w:tentative="0">
      <w:start w:val="1"/>
      <w:numFmt w:val="bullet"/>
      <w:lvlText w:val=""/>
      <w:lvlJc w:val="left"/>
      <w:pPr>
        <w:ind w:left="567" w:leftChars="0" w:hanging="284" w:firstLineChars="0"/>
      </w:pPr>
      <w:rPr>
        <w:rFonts w:hint="default" w:ascii="Wingdings" w:hAnsi="Wingdings"/>
      </w:rPr>
    </w:lvl>
    <w:lvl w:ilvl="1" w:tentative="0">
      <w:start w:val="1"/>
      <w:numFmt w:val="bullet"/>
      <w:lvlText w:val=""/>
      <w:lvlJc w:val="left"/>
      <w:pPr>
        <w:ind w:left="1360" w:hanging="440"/>
      </w:pPr>
      <w:rPr>
        <w:rFonts w:hint="default" w:ascii="Wingdings" w:hAnsi="Wingdings"/>
      </w:rPr>
    </w:lvl>
    <w:lvl w:ilvl="2" w:tentative="0">
      <w:start w:val="1"/>
      <w:numFmt w:val="bullet"/>
      <w:lvlText w:val=""/>
      <w:lvlJc w:val="left"/>
      <w:pPr>
        <w:ind w:left="1800" w:hanging="440"/>
      </w:pPr>
      <w:rPr>
        <w:rFonts w:hint="default" w:ascii="Wingdings" w:hAnsi="Wingdings"/>
      </w:rPr>
    </w:lvl>
    <w:lvl w:ilvl="3" w:tentative="0">
      <w:start w:val="1"/>
      <w:numFmt w:val="bullet"/>
      <w:lvlText w:val=""/>
      <w:lvlJc w:val="left"/>
      <w:pPr>
        <w:ind w:left="2240" w:hanging="440"/>
      </w:pPr>
      <w:rPr>
        <w:rFonts w:hint="default" w:ascii="Wingdings" w:hAnsi="Wingdings"/>
      </w:rPr>
    </w:lvl>
    <w:lvl w:ilvl="4" w:tentative="0">
      <w:start w:val="1"/>
      <w:numFmt w:val="bullet"/>
      <w:lvlText w:val=""/>
      <w:lvlJc w:val="left"/>
      <w:pPr>
        <w:ind w:left="2680" w:hanging="440"/>
      </w:pPr>
      <w:rPr>
        <w:rFonts w:hint="default" w:ascii="Wingdings" w:hAnsi="Wingdings"/>
      </w:rPr>
    </w:lvl>
    <w:lvl w:ilvl="5" w:tentative="0">
      <w:start w:val="1"/>
      <w:numFmt w:val="bullet"/>
      <w:lvlText w:val=""/>
      <w:lvlJc w:val="left"/>
      <w:pPr>
        <w:ind w:left="3120" w:hanging="440"/>
      </w:pPr>
      <w:rPr>
        <w:rFonts w:hint="default" w:ascii="Wingdings" w:hAnsi="Wingdings"/>
      </w:rPr>
    </w:lvl>
    <w:lvl w:ilvl="6" w:tentative="0">
      <w:start w:val="1"/>
      <w:numFmt w:val="bullet"/>
      <w:lvlText w:val=""/>
      <w:lvlJc w:val="left"/>
      <w:pPr>
        <w:ind w:left="3560" w:hanging="440"/>
      </w:pPr>
      <w:rPr>
        <w:rFonts w:hint="default" w:ascii="Wingdings" w:hAnsi="Wingdings"/>
      </w:rPr>
    </w:lvl>
    <w:lvl w:ilvl="7" w:tentative="0">
      <w:start w:val="1"/>
      <w:numFmt w:val="bullet"/>
      <w:lvlText w:val=""/>
      <w:lvlJc w:val="left"/>
      <w:pPr>
        <w:ind w:left="4000" w:hanging="440"/>
      </w:pPr>
      <w:rPr>
        <w:rFonts w:hint="default" w:ascii="Wingdings" w:hAnsi="Wingdings"/>
      </w:rPr>
    </w:lvl>
    <w:lvl w:ilvl="8" w:tentative="0">
      <w:start w:val="1"/>
      <w:numFmt w:val="bullet"/>
      <w:lvlText w:val=""/>
      <w:lvlJc w:val="left"/>
      <w:pPr>
        <w:ind w:left="444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wNzE4YWRhZTQ0NTU0OTI2ZDRjOGUzNTUyMDQ2N2QifQ=="/>
  </w:docVars>
  <w:rsids>
    <w:rsidRoot w:val="0FD753A9"/>
    <w:rsid w:val="03F85140"/>
    <w:rsid w:val="04362300"/>
    <w:rsid w:val="052220FE"/>
    <w:rsid w:val="06552905"/>
    <w:rsid w:val="06AE5B5B"/>
    <w:rsid w:val="07A73627"/>
    <w:rsid w:val="07B737B3"/>
    <w:rsid w:val="08D7776D"/>
    <w:rsid w:val="0AF9608F"/>
    <w:rsid w:val="0D6B3DA1"/>
    <w:rsid w:val="0DD9654C"/>
    <w:rsid w:val="0FCA2606"/>
    <w:rsid w:val="0FD753A9"/>
    <w:rsid w:val="124473FC"/>
    <w:rsid w:val="15825B2D"/>
    <w:rsid w:val="158F28AB"/>
    <w:rsid w:val="16191B4F"/>
    <w:rsid w:val="172807F0"/>
    <w:rsid w:val="175E30E9"/>
    <w:rsid w:val="18E343A0"/>
    <w:rsid w:val="1B125C2B"/>
    <w:rsid w:val="1BB22912"/>
    <w:rsid w:val="1D497F2A"/>
    <w:rsid w:val="1EBF2C00"/>
    <w:rsid w:val="1F8F60E6"/>
    <w:rsid w:val="212A0D6C"/>
    <w:rsid w:val="21937D0F"/>
    <w:rsid w:val="22505DED"/>
    <w:rsid w:val="23B813DB"/>
    <w:rsid w:val="25074BB6"/>
    <w:rsid w:val="25595539"/>
    <w:rsid w:val="258B0195"/>
    <w:rsid w:val="26BA4691"/>
    <w:rsid w:val="26EF4FE3"/>
    <w:rsid w:val="26F37818"/>
    <w:rsid w:val="28D47210"/>
    <w:rsid w:val="2A5E6D6A"/>
    <w:rsid w:val="2B642EF3"/>
    <w:rsid w:val="2C067FC0"/>
    <w:rsid w:val="2C300E01"/>
    <w:rsid w:val="2D236E9C"/>
    <w:rsid w:val="2F7B5615"/>
    <w:rsid w:val="30B921C9"/>
    <w:rsid w:val="342E38E3"/>
    <w:rsid w:val="3A1F4B18"/>
    <w:rsid w:val="3ADE6C23"/>
    <w:rsid w:val="3BA10762"/>
    <w:rsid w:val="3BF77407"/>
    <w:rsid w:val="3F3A35EF"/>
    <w:rsid w:val="404C6937"/>
    <w:rsid w:val="46151401"/>
    <w:rsid w:val="475F533F"/>
    <w:rsid w:val="49945B81"/>
    <w:rsid w:val="49E33449"/>
    <w:rsid w:val="4A1C3374"/>
    <w:rsid w:val="4A7E1DF4"/>
    <w:rsid w:val="4B703787"/>
    <w:rsid w:val="4BA43F8A"/>
    <w:rsid w:val="4D6C5639"/>
    <w:rsid w:val="4D8B4869"/>
    <w:rsid w:val="4DF93B30"/>
    <w:rsid w:val="4E240920"/>
    <w:rsid w:val="4E762703"/>
    <w:rsid w:val="4E940E96"/>
    <w:rsid w:val="4F273C10"/>
    <w:rsid w:val="505959E9"/>
    <w:rsid w:val="54524697"/>
    <w:rsid w:val="58127328"/>
    <w:rsid w:val="5B6502DE"/>
    <w:rsid w:val="5B8B04D9"/>
    <w:rsid w:val="5BDF1202"/>
    <w:rsid w:val="5C6F5BD4"/>
    <w:rsid w:val="6100126C"/>
    <w:rsid w:val="615B79B1"/>
    <w:rsid w:val="634E6314"/>
    <w:rsid w:val="66A02B21"/>
    <w:rsid w:val="6709550A"/>
    <w:rsid w:val="69B629F6"/>
    <w:rsid w:val="6D7E7FE3"/>
    <w:rsid w:val="6DD5702B"/>
    <w:rsid w:val="6E963644"/>
    <w:rsid w:val="6EAE2831"/>
    <w:rsid w:val="70814736"/>
    <w:rsid w:val="71650308"/>
    <w:rsid w:val="71F6590A"/>
    <w:rsid w:val="72E24D85"/>
    <w:rsid w:val="73F01F7E"/>
    <w:rsid w:val="772B6A60"/>
    <w:rsid w:val="7741286B"/>
    <w:rsid w:val="77502434"/>
    <w:rsid w:val="78A116A1"/>
    <w:rsid w:val="7B1F0227"/>
    <w:rsid w:val="7CB61DA9"/>
    <w:rsid w:val="7CD32B92"/>
    <w:rsid w:val="7D1052A0"/>
    <w:rsid w:val="7D336DD9"/>
    <w:rsid w:val="7E1F5A78"/>
    <w:rsid w:val="7F3A1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qFormat/>
    <w:uiPriority w:val="0"/>
    <w:pPr>
      <w:keepNext/>
      <w:outlineLvl w:val="0"/>
    </w:pPr>
    <w:rPr>
      <w:rFonts w:ascii="Calibri" w:hAnsi="Calibri" w:eastAsia="宋体" w:cs="Times New Roman"/>
      <w:b/>
      <w:bCs/>
      <w:sz w:val="18"/>
      <w:szCs w:val="24"/>
    </w:rPr>
  </w:style>
  <w:style w:type="paragraph" w:styleId="6">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4"/>
    <w:semiHidden/>
    <w:unhideWhenUsed/>
    <w:qFormat/>
    <w:uiPriority w:val="99"/>
    <w:pPr>
      <w:spacing w:after="120"/>
    </w:pPr>
    <w:rPr>
      <w:rFonts w:ascii="Times New Roman" w:hAnsi="Times New Roman" w:eastAsia="宋体" w:cs="Times New Roman"/>
      <w:szCs w:val="24"/>
    </w:rPr>
  </w:style>
  <w:style w:type="paragraph" w:styleId="4">
    <w:name w:val="Body Text 2"/>
    <w:basedOn w:val="1"/>
    <w:next w:val="3"/>
    <w:qFormat/>
    <w:uiPriority w:val="99"/>
    <w:pPr>
      <w:spacing w:line="480" w:lineRule="auto"/>
    </w:pPr>
  </w:style>
  <w:style w:type="paragraph" w:customStyle="1" w:styleId="10">
    <w:name w:val="bt1bt1"/>
    <w:basedOn w:val="5"/>
    <w:qFormat/>
    <w:uiPriority w:val="0"/>
    <w:pPr>
      <w:keepLines/>
      <w:spacing w:before="340" w:after="330"/>
      <w:jc w:val="center"/>
    </w:pPr>
    <w:rPr>
      <w:rFonts w:ascii="黑体" w:hAnsi="Times New Roman" w:eastAsia="黑体"/>
      <w:b w:val="0"/>
      <w:kern w:val="44"/>
      <w:sz w:val="36"/>
      <w:szCs w:val="36"/>
    </w:rPr>
  </w:style>
  <w:style w:type="paragraph" w:styleId="11">
    <w:name w:val="List Paragraph"/>
    <w:basedOn w:val="1"/>
    <w:qFormat/>
    <w:uiPriority w:val="99"/>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2023-04-06T09:26:00Z</dcterms:created>
  <dc:creator>NTKO</dc:creator>
  <cp:lastModifiedBy>Lenovo</cp:lastModifiedBy>
  <dcterms:modified xsi:type="dcterms:W3CDTF">2023-10-27T04:26:24Z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352B27899878450FB2337544B2424577_12</vt:lpwstr>
  </property>
</Properties>
</file>