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2FB6" w14:textId="77777777" w:rsidR="002B739A" w:rsidRDefault="002B739A">
      <w:bookmarkStart w:id="0" w:name="EBf84a0579c0e7490098e4779f3b6e7c7d"/>
    </w:p>
    <w:p w14:paraId="65DF4037" w14:textId="77777777" w:rsidR="002B739A" w:rsidRDefault="00BA5BD3">
      <w:pPr>
        <w:spacing w:line="800" w:lineRule="exact"/>
        <w:jc w:val="center"/>
        <w:rPr>
          <w:rFonts w:ascii="仿宋" w:eastAsia="仿宋" w:hAnsi="仿宋" w:cs="仿宋"/>
          <w:bCs/>
          <w:color w:val="000000"/>
          <w:sz w:val="44"/>
          <w:szCs w:val="44"/>
        </w:rPr>
      </w:pPr>
      <w:bookmarkStart w:id="1" w:name="EBbe523b3e3dad45459fbb9b764c16379d"/>
      <w:bookmarkEnd w:id="0"/>
      <w:bookmarkEnd w:id="1"/>
      <w:r>
        <w:rPr>
          <w:rFonts w:ascii="仿宋" w:eastAsia="仿宋" w:hAnsi="仿宋" w:cs="仿宋" w:hint="eastAsia"/>
          <w:b/>
          <w:bCs/>
          <w:sz w:val="44"/>
          <w:szCs w:val="44"/>
        </w:rPr>
        <w:t>工程质量检测合同书</w:t>
      </w:r>
    </w:p>
    <w:p w14:paraId="40AF7BC9" w14:textId="77777777" w:rsidR="002B739A" w:rsidRDefault="002B739A">
      <w:pPr>
        <w:pStyle w:val="Default"/>
        <w:spacing w:line="360" w:lineRule="auto"/>
        <w:ind w:firstLineChars="200" w:firstLine="480"/>
        <w:rPr>
          <w:rFonts w:ascii="仿宋" w:eastAsia="仿宋" w:hAnsi="仿宋" w:cs="仿宋"/>
          <w:color w:val="auto"/>
        </w:rPr>
      </w:pPr>
      <w:bookmarkStart w:id="2" w:name="_Toc24412"/>
    </w:p>
    <w:p w14:paraId="272CA6E3" w14:textId="77777777" w:rsidR="002B739A" w:rsidRDefault="002B739A">
      <w:pPr>
        <w:pStyle w:val="Default"/>
        <w:spacing w:line="360" w:lineRule="auto"/>
        <w:ind w:firstLineChars="200" w:firstLine="480"/>
        <w:rPr>
          <w:rFonts w:ascii="仿宋" w:eastAsia="仿宋" w:hAnsi="仿宋" w:cs="仿宋"/>
          <w:color w:val="auto"/>
        </w:rPr>
      </w:pPr>
    </w:p>
    <w:p w14:paraId="770B1646" w14:textId="77777777" w:rsidR="002B739A" w:rsidRDefault="002B739A">
      <w:pPr>
        <w:pStyle w:val="Default"/>
        <w:spacing w:line="360" w:lineRule="auto"/>
        <w:ind w:firstLineChars="200" w:firstLine="480"/>
        <w:rPr>
          <w:rFonts w:ascii="仿宋" w:eastAsia="仿宋" w:hAnsi="仿宋" w:cs="仿宋"/>
          <w:color w:val="auto"/>
        </w:rPr>
      </w:pPr>
    </w:p>
    <w:p w14:paraId="7F626407" w14:textId="77777777" w:rsidR="002B739A" w:rsidRDefault="002B739A">
      <w:pPr>
        <w:pStyle w:val="Default"/>
        <w:spacing w:line="360" w:lineRule="auto"/>
        <w:ind w:firstLineChars="200" w:firstLine="480"/>
        <w:rPr>
          <w:rFonts w:ascii="仿宋" w:eastAsia="仿宋" w:hAnsi="仿宋" w:cs="仿宋"/>
          <w:color w:val="auto"/>
        </w:rPr>
      </w:pPr>
    </w:p>
    <w:p w14:paraId="7CA45042"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项 目 名 称：</w:t>
      </w:r>
      <w:bookmarkEnd w:id="2"/>
    </w:p>
    <w:p w14:paraId="46A7ED96"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工 程 地 点：</w:t>
      </w:r>
    </w:p>
    <w:p w14:paraId="335265D7" w14:textId="77777777" w:rsidR="002B739A" w:rsidRDefault="00BA5BD3">
      <w:pPr>
        <w:pStyle w:val="Default"/>
        <w:tabs>
          <w:tab w:val="center" w:pos="4153"/>
        </w:tabs>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合 同 编 号：</w:t>
      </w:r>
    </w:p>
    <w:p w14:paraId="7B19B47B"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建 设 单 位：</w:t>
      </w:r>
    </w:p>
    <w:p w14:paraId="242DC88C"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检 测 单 位：</w:t>
      </w:r>
    </w:p>
    <w:p w14:paraId="0B737210"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签 订 日 期：2023年  月   日</w:t>
      </w:r>
    </w:p>
    <w:p w14:paraId="66EB8310" w14:textId="77777777" w:rsidR="002B739A" w:rsidRDefault="002B739A">
      <w:pPr>
        <w:pStyle w:val="a7"/>
        <w:rPr>
          <w:rFonts w:ascii="仿宋" w:eastAsia="仿宋" w:hAnsi="仿宋" w:cs="仿宋"/>
        </w:rPr>
      </w:pPr>
    </w:p>
    <w:p w14:paraId="740FDFF1" w14:textId="77777777" w:rsidR="002B739A" w:rsidRDefault="00BA5BD3">
      <w:pPr>
        <w:spacing w:line="360" w:lineRule="auto"/>
        <w:rPr>
          <w:rFonts w:ascii="仿宋" w:eastAsia="仿宋" w:hAnsi="仿宋" w:cs="仿宋"/>
          <w:b/>
          <w:bCs/>
          <w:sz w:val="52"/>
          <w:szCs w:val="22"/>
        </w:rPr>
      </w:pPr>
      <w:r>
        <w:rPr>
          <w:rFonts w:ascii="仿宋" w:eastAsia="仿宋" w:hAnsi="仿宋" w:cs="仿宋" w:hint="eastAsia"/>
          <w:b/>
          <w:bCs/>
          <w:sz w:val="52"/>
          <w:szCs w:val="22"/>
        </w:rPr>
        <w:br w:type="page"/>
      </w:r>
      <w:bookmarkStart w:id="3" w:name="_Toc353576117"/>
      <w:bookmarkStart w:id="4" w:name="_Toc364063366"/>
    </w:p>
    <w:p w14:paraId="200F064E" w14:textId="77777777" w:rsidR="002B739A" w:rsidRDefault="00BA5BD3">
      <w:pPr>
        <w:spacing w:line="480" w:lineRule="exact"/>
        <w:jc w:val="center"/>
        <w:outlineLvl w:val="1"/>
        <w:rPr>
          <w:rFonts w:ascii="宋体" w:eastAsia="宋体" w:hAnsi="宋体"/>
          <w:b/>
          <w:sz w:val="30"/>
          <w:szCs w:val="30"/>
        </w:rPr>
      </w:pPr>
      <w:bookmarkStart w:id="5" w:name="bookmark24"/>
      <w:bookmarkStart w:id="6" w:name="bookmark26"/>
      <w:bookmarkStart w:id="7" w:name="bookmark25"/>
      <w:bookmarkEnd w:id="3"/>
      <w:bookmarkEnd w:id="4"/>
      <w:r>
        <w:rPr>
          <w:rFonts w:ascii="宋体" w:eastAsia="宋体" w:hAnsi="宋体" w:hint="eastAsia"/>
          <w:b/>
          <w:sz w:val="30"/>
          <w:szCs w:val="30"/>
        </w:rPr>
        <w:lastRenderedPageBreak/>
        <w:t>合同主要条款</w:t>
      </w:r>
    </w:p>
    <w:p w14:paraId="7B71AB95" w14:textId="411546EB" w:rsidR="002B739A" w:rsidRDefault="00BA5BD3">
      <w:pPr>
        <w:spacing w:line="480" w:lineRule="exact"/>
        <w:outlineLvl w:val="1"/>
        <w:rPr>
          <w:rFonts w:ascii="宋体" w:eastAsia="宋体" w:hAnsi="宋体"/>
          <w:bCs/>
          <w:sz w:val="21"/>
        </w:rPr>
      </w:pPr>
      <w:r>
        <w:rPr>
          <w:rFonts w:ascii="宋体" w:eastAsia="宋体" w:hAnsi="宋体" w:hint="eastAsia"/>
          <w:bCs/>
          <w:sz w:val="21"/>
        </w:rPr>
        <w:t>甲方：</w:t>
      </w:r>
      <w:r w:rsidR="00743E8D" w:rsidRPr="00743E8D">
        <w:rPr>
          <w:rFonts w:ascii="Times New Roman" w:eastAsia="仿宋_GB2312" w:hAnsi="Times New Roman" w:cs="Times New Roman" w:hint="eastAsia"/>
          <w:color w:val="000000" w:themeColor="text1"/>
          <w:sz w:val="24"/>
          <w:szCs w:val="24"/>
          <w:u w:val="single"/>
        </w:rPr>
        <w:t>长江龙城科技有限公司</w:t>
      </w:r>
      <w:r w:rsidRPr="00743E8D">
        <w:rPr>
          <w:rFonts w:ascii="宋体" w:eastAsia="宋体" w:hAnsi="宋体" w:hint="eastAsia"/>
          <w:bCs/>
          <w:sz w:val="21"/>
          <w:u w:val="single"/>
        </w:rPr>
        <w:t xml:space="preserve"> </w:t>
      </w:r>
      <w:r>
        <w:rPr>
          <w:rFonts w:ascii="宋体" w:eastAsia="宋体" w:hAnsi="宋体" w:hint="eastAsia"/>
          <w:bCs/>
          <w:sz w:val="21"/>
        </w:rPr>
        <w:t xml:space="preserve">                    合同订立时间：</w:t>
      </w:r>
      <w:r>
        <w:rPr>
          <w:rFonts w:ascii="宋体" w:eastAsia="宋体" w:hAnsi="宋体" w:hint="eastAsia"/>
          <w:bCs/>
          <w:sz w:val="21"/>
          <w:u w:val="single"/>
        </w:rPr>
        <w:t xml:space="preserve">   年   月   日</w:t>
      </w:r>
    </w:p>
    <w:p w14:paraId="52D07DBF" w14:textId="77777777" w:rsidR="002B739A" w:rsidRDefault="00BA5BD3">
      <w:pPr>
        <w:spacing w:line="480" w:lineRule="exact"/>
        <w:outlineLvl w:val="1"/>
        <w:rPr>
          <w:rFonts w:ascii="宋体" w:eastAsia="宋体" w:hAnsi="宋体"/>
          <w:bCs/>
          <w:sz w:val="21"/>
        </w:rPr>
      </w:pPr>
      <w:r>
        <w:rPr>
          <w:rFonts w:ascii="宋体" w:eastAsia="宋体" w:hAnsi="宋体" w:hint="eastAsia"/>
          <w:bCs/>
          <w:sz w:val="21"/>
        </w:rPr>
        <w:t>乙方：</w:t>
      </w:r>
      <w:r>
        <w:rPr>
          <w:rFonts w:ascii="宋体" w:eastAsia="宋体" w:hAnsi="宋体" w:hint="eastAsia"/>
          <w:bCs/>
          <w:sz w:val="21"/>
          <w:u w:val="single"/>
        </w:rPr>
        <w:t xml:space="preserve">                        </w:t>
      </w:r>
      <w:r>
        <w:rPr>
          <w:rFonts w:ascii="宋体" w:eastAsia="宋体" w:hAnsi="宋体" w:hint="eastAsia"/>
          <w:bCs/>
          <w:sz w:val="21"/>
        </w:rPr>
        <w:t xml:space="preserve">                    合同订立地点：</w:t>
      </w:r>
      <w:r>
        <w:rPr>
          <w:rFonts w:ascii="宋体" w:eastAsia="宋体" w:hAnsi="宋体" w:hint="eastAsia"/>
          <w:bCs/>
          <w:sz w:val="21"/>
          <w:u w:val="single"/>
        </w:rPr>
        <w:t xml:space="preserve">               </w:t>
      </w:r>
    </w:p>
    <w:p w14:paraId="2374E3BA"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根据江苏省建设厅苏建质（2004）372号文件精神，自2004年12月1日起工程检测由建设方委托的规定，为确保建设工程质量，实现工程质量对甲方负责，及时掌握了解项目实施过程中工程质量状况，经甲乙双方协议，甲方委托乙方负责对本工程项目进行工程质量检测及建筑材料检测实验等工作。乙方检测工作质量对甲方负责，经双方协商，协议如下：</w:t>
      </w:r>
    </w:p>
    <w:p w14:paraId="56511A28"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一、项目概况</w:t>
      </w:r>
    </w:p>
    <w:p w14:paraId="0065443B"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 xml:space="preserve">项目名称： </w:t>
      </w:r>
    </w:p>
    <w:p w14:paraId="47F73ACA"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项目地点和范围：</w:t>
      </w:r>
    </w:p>
    <w:p w14:paraId="7297296E"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二、委托检测内容、项目</w:t>
      </w:r>
    </w:p>
    <w:p w14:paraId="2C1D4537" w14:textId="59C03F8A"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本项目为市政项目材料检测，</w:t>
      </w:r>
      <w:r w:rsidR="00F57C11" w:rsidRPr="00F57C11">
        <w:rPr>
          <w:rFonts w:ascii="宋体" w:eastAsia="宋体" w:hAnsi="宋体" w:hint="eastAsia"/>
          <w:bCs/>
          <w:sz w:val="21"/>
        </w:rPr>
        <w:t>包括但不限于市政检测（备案）、土工、土工合成材料、结构（压实度）、排水管材（混凝土管、塑料管等）、道路砖、路缘石等；见证取样检测等质量监督部门及专业验收单位要求的所有内容</w:t>
      </w:r>
      <w:r>
        <w:rPr>
          <w:rFonts w:ascii="宋体" w:eastAsia="宋体" w:hAnsi="宋体" w:hint="eastAsia"/>
          <w:bCs/>
          <w:sz w:val="21"/>
        </w:rPr>
        <w:t>。</w:t>
      </w:r>
    </w:p>
    <w:p w14:paraId="79F52A51"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具体检测项目以甲方书面要求为准。</w:t>
      </w:r>
    </w:p>
    <w:p w14:paraId="4D654F60"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三、检测依据及数量</w:t>
      </w:r>
    </w:p>
    <w:p w14:paraId="42A2E9B8"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1、所有检测均应符合现行的国家检测标准并按照建设工程验收规范要求进行检测；</w:t>
      </w:r>
    </w:p>
    <w:p w14:paraId="7EED1B7F"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2、乙方在自身检测资质范围内从事工程检测工作，超出资质范围的检测必须由乙方委托具备资质的单位进行，但乙方委托其他单位前应经过甲方、项目管理（如有）书面同意。</w:t>
      </w:r>
    </w:p>
    <w:p w14:paraId="6944C74D"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3、本项目检测内容和数量由甲方确定，以实际发生检测工作量计，工作量需由甲方、项目管理（如有）、监理、跟踪审计及乙方共同签字认可。</w:t>
      </w:r>
    </w:p>
    <w:p w14:paraId="0E9ED208"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四、检测费用结算</w:t>
      </w:r>
    </w:p>
    <w:p w14:paraId="7DEC3673" w14:textId="77777777" w:rsidR="002B739A" w:rsidRDefault="00BA5BD3">
      <w:pPr>
        <w:spacing w:line="420" w:lineRule="exact"/>
        <w:ind w:firstLineChars="200" w:firstLine="420"/>
        <w:outlineLvl w:val="1"/>
        <w:rPr>
          <w:rFonts w:ascii="宋体" w:eastAsia="宋体" w:hAnsi="宋体"/>
          <w:bCs/>
          <w:sz w:val="21"/>
          <w:szCs w:val="21"/>
        </w:rPr>
      </w:pPr>
      <w:r>
        <w:rPr>
          <w:rFonts w:ascii="宋体" w:eastAsia="宋体" w:hAnsi="宋体" w:hint="eastAsia"/>
          <w:bCs/>
          <w:sz w:val="21"/>
          <w:szCs w:val="21"/>
        </w:rPr>
        <w:t>1、本工程结算的综合单价在工程质量检测收费标准基础上乘以中标费率</w:t>
      </w:r>
      <w:r>
        <w:rPr>
          <w:rFonts w:ascii="宋体" w:eastAsia="宋体" w:hAnsi="宋体" w:hint="eastAsia"/>
          <w:bCs/>
          <w:sz w:val="21"/>
          <w:szCs w:val="21"/>
          <w:u w:val="single"/>
        </w:rPr>
        <w:t xml:space="preserve">    </w:t>
      </w:r>
      <w:r>
        <w:rPr>
          <w:rFonts w:ascii="宋体" w:eastAsia="宋体" w:hAnsi="宋体" w:hint="eastAsia"/>
          <w:bCs/>
          <w:sz w:val="21"/>
          <w:szCs w:val="21"/>
        </w:rPr>
        <w:t>%（即计取费用=工程质量检测收费标准×</w:t>
      </w:r>
      <w:r>
        <w:rPr>
          <w:rFonts w:ascii="宋体" w:eastAsia="宋体" w:hAnsi="宋体" w:hint="eastAsia"/>
          <w:bCs/>
          <w:sz w:val="21"/>
          <w:szCs w:val="21"/>
          <w:u w:val="single"/>
        </w:rPr>
        <w:t xml:space="preserve">    </w:t>
      </w:r>
      <w:r>
        <w:rPr>
          <w:rFonts w:ascii="宋体" w:eastAsia="宋体" w:hAnsi="宋体" w:hint="eastAsia"/>
          <w:bCs/>
          <w:sz w:val="21"/>
          <w:szCs w:val="21"/>
        </w:rPr>
        <w:t>%），工程量按实际发生计取；该费用包括乙方完成合同范围内所有工作所需的全部费用。</w:t>
      </w:r>
    </w:p>
    <w:p w14:paraId="69F1C6CC" w14:textId="77777777" w:rsidR="002B739A" w:rsidRDefault="00BA5BD3">
      <w:pPr>
        <w:spacing w:line="420" w:lineRule="exact"/>
        <w:ind w:firstLineChars="200" w:firstLine="420"/>
        <w:outlineLvl w:val="1"/>
        <w:rPr>
          <w:rFonts w:ascii="宋体" w:eastAsia="宋体" w:hAnsi="宋体"/>
          <w:sz w:val="21"/>
          <w:szCs w:val="21"/>
        </w:rPr>
      </w:pPr>
      <w:r>
        <w:rPr>
          <w:rFonts w:ascii="宋体" w:eastAsia="宋体" w:hAnsi="宋体" w:hint="eastAsia"/>
          <w:sz w:val="21"/>
          <w:szCs w:val="21"/>
        </w:rPr>
        <w:t>工程质量检测</w:t>
      </w:r>
      <w:proofErr w:type="gramStart"/>
      <w:r>
        <w:rPr>
          <w:rFonts w:ascii="宋体" w:eastAsia="宋体" w:hAnsi="宋体" w:hint="eastAsia"/>
          <w:sz w:val="21"/>
          <w:szCs w:val="21"/>
        </w:rPr>
        <w:t>收费标准按苏价</w:t>
      </w:r>
      <w:proofErr w:type="gramEnd"/>
      <w:r>
        <w:rPr>
          <w:rFonts w:ascii="宋体" w:eastAsia="宋体" w:hAnsi="宋体" w:hint="eastAsia"/>
          <w:sz w:val="21"/>
          <w:szCs w:val="21"/>
        </w:rPr>
        <w:t>服（2001）113号关于核定《江苏省建设工程质量检测和建筑材料试验收费标准》的通知及</w:t>
      </w:r>
      <w:proofErr w:type="gramStart"/>
      <w:r>
        <w:rPr>
          <w:rFonts w:ascii="宋体" w:eastAsia="宋体" w:hAnsi="宋体" w:hint="eastAsia"/>
          <w:sz w:val="21"/>
          <w:szCs w:val="21"/>
        </w:rPr>
        <w:t>苏交质</w:t>
      </w:r>
      <w:proofErr w:type="gramEnd"/>
      <w:r>
        <w:rPr>
          <w:rFonts w:ascii="宋体" w:eastAsia="宋体" w:hAnsi="宋体" w:hint="eastAsia"/>
          <w:sz w:val="21"/>
          <w:szCs w:val="21"/>
        </w:rPr>
        <w:t>（2007）71号关于印发《江苏省交通工程质量检测和工程材料试验收费标准》执行。若有</w:t>
      </w:r>
      <w:proofErr w:type="gramStart"/>
      <w:r>
        <w:rPr>
          <w:rFonts w:ascii="宋体" w:eastAsia="宋体" w:hAnsi="宋体" w:hint="eastAsia"/>
          <w:sz w:val="21"/>
          <w:szCs w:val="21"/>
        </w:rPr>
        <w:t>冲突按苏</w:t>
      </w:r>
      <w:proofErr w:type="gramEnd"/>
      <w:r>
        <w:rPr>
          <w:rFonts w:ascii="宋体" w:eastAsia="宋体" w:hAnsi="宋体" w:hint="eastAsia"/>
          <w:sz w:val="21"/>
          <w:szCs w:val="21"/>
        </w:rPr>
        <w:t>价服（2001）113号执行，如果上述标准都没有的检测项目收费标准，则参考建设部《工程勘察设计收费标准》2002年修订本及常州市建设工程相关文件及有关政策文件确定。上述文件中涉及区间取费的，以取费区间下限值为准。</w:t>
      </w:r>
    </w:p>
    <w:p w14:paraId="7B646509"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遇国家或省收费标准调整，自调整之日起按新的标准执行，本合同约定的下浮比率不变，调整之日前已经完成的检测项目仍按本合同签订的收费标准执行。</w:t>
      </w:r>
    </w:p>
    <w:p w14:paraId="5584FDC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lastRenderedPageBreak/>
        <w:t>上述收费标准中都没有的由跟踪审计进行市场调研，询价、比价后递交甲方和项目管理（如有），按四方最终确定的单价执行。乙方应在该项目检测工作开始之前，提交收费价格，经甲方、项目管理（如有）和跟踪审计方确认后方可实施。</w:t>
      </w:r>
    </w:p>
    <w:p w14:paraId="6A09CBA2"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2、送检地点在以工地施工现场为中心35公里为半径范围内的样品送检由施工单位负责完成。如送检地点在此范围以外，</w:t>
      </w:r>
      <w:proofErr w:type="gramStart"/>
      <w:r>
        <w:rPr>
          <w:rFonts w:ascii="宋体" w:eastAsia="宋体" w:hAnsi="宋体" w:hint="eastAsia"/>
          <w:sz w:val="21"/>
          <w:szCs w:val="21"/>
        </w:rPr>
        <w:t>则施工</w:t>
      </w:r>
      <w:proofErr w:type="gramEnd"/>
      <w:r>
        <w:rPr>
          <w:rFonts w:ascii="宋体" w:eastAsia="宋体" w:hAnsi="宋体" w:hint="eastAsia"/>
          <w:sz w:val="21"/>
          <w:szCs w:val="21"/>
        </w:rPr>
        <w:t>单位送检产生的交通费用由检测单位承担。</w:t>
      </w:r>
    </w:p>
    <w:p w14:paraId="14D5F31A"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3、超出乙方资质范围由乙方委托具备资质的第三方检测，第三方检测发生的所有费用结算方式同上述第1条，费用已包含在合同价中，由乙方支付，甲方不承担相应费用。</w:t>
      </w:r>
    </w:p>
    <w:p w14:paraId="6EDBD97A"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五、检测费用付款方式</w:t>
      </w:r>
    </w:p>
    <w:p w14:paraId="0332FD8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（1）工程竣工验收后30</w:t>
      </w:r>
      <w:proofErr w:type="gramStart"/>
      <w:r>
        <w:rPr>
          <w:rFonts w:ascii="宋体" w:eastAsia="宋体" w:hAnsi="宋体" w:hint="eastAsia"/>
          <w:sz w:val="21"/>
          <w:szCs w:val="21"/>
        </w:rPr>
        <w:t>日历天</w:t>
      </w:r>
      <w:proofErr w:type="gramEnd"/>
      <w:r>
        <w:rPr>
          <w:rFonts w:ascii="宋体" w:eastAsia="宋体" w:hAnsi="宋体" w:hint="eastAsia"/>
          <w:sz w:val="21"/>
          <w:szCs w:val="21"/>
        </w:rPr>
        <w:t>内，乙方应提交包含本项目全部检测内容清单目录及所有检测报告的完整结算资料，经甲方审核接收后，付至合同价的70%；</w:t>
      </w:r>
    </w:p>
    <w:p w14:paraId="5635069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（2）余款在结算资料经审计审定后一次性付清。</w:t>
      </w:r>
    </w:p>
    <w:p w14:paraId="4B4A09C6"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备注：1.乙方按节点完成收取工程款时，应向甲方开具增值税专用发票，增值税率</w:t>
      </w:r>
      <w:r>
        <w:rPr>
          <w:rFonts w:ascii="宋体" w:eastAsia="宋体" w:hAnsi="宋体" w:hint="eastAsia"/>
          <w:sz w:val="21"/>
          <w:szCs w:val="21"/>
          <w:u w:val="single"/>
        </w:rPr>
        <w:t xml:space="preserve">   </w:t>
      </w:r>
      <w:r>
        <w:rPr>
          <w:rFonts w:ascii="宋体" w:eastAsia="宋体" w:hAnsi="宋体" w:hint="eastAsia"/>
          <w:sz w:val="21"/>
          <w:szCs w:val="21"/>
        </w:rPr>
        <w:t>%。</w:t>
      </w:r>
    </w:p>
    <w:p w14:paraId="7265CFA3"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六、双方责任</w:t>
      </w:r>
    </w:p>
    <w:p w14:paraId="46DB90D5" w14:textId="77777777" w:rsidR="002B739A" w:rsidRDefault="00BA5BD3">
      <w:pPr>
        <w:spacing w:line="420" w:lineRule="exact"/>
        <w:ind w:firstLineChars="200" w:firstLine="422"/>
        <w:rPr>
          <w:rFonts w:ascii="宋体" w:eastAsia="宋体" w:hAnsi="宋体"/>
          <w:b/>
          <w:bCs/>
          <w:sz w:val="21"/>
          <w:szCs w:val="21"/>
        </w:rPr>
      </w:pPr>
      <w:r>
        <w:rPr>
          <w:rFonts w:ascii="宋体" w:eastAsia="宋体" w:hAnsi="宋体" w:hint="eastAsia"/>
          <w:b/>
          <w:bCs/>
          <w:sz w:val="21"/>
          <w:szCs w:val="21"/>
        </w:rPr>
        <w:t>甲方责任：</w:t>
      </w:r>
    </w:p>
    <w:p w14:paraId="70501584"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1、甲方按规定指定见证员、取样员，并及时与乙方联系，及时办理检测相关手续；</w:t>
      </w:r>
    </w:p>
    <w:p w14:paraId="4B56567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2、甲方维护乙方的检测结果和报告，不得擅自修改报告内容；</w:t>
      </w:r>
    </w:p>
    <w:p w14:paraId="4A41358E"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3、甲方应按合同规定按期支付给乙方检测费用；</w:t>
      </w:r>
    </w:p>
    <w:p w14:paraId="42B0663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4、做好乙方与监理方、施工方配合的协调工作；</w:t>
      </w:r>
    </w:p>
    <w:p w14:paraId="044F5AAE"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5、甲方应委派联系人，联系人为：</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rPr>
        <w:t>。</w:t>
      </w:r>
    </w:p>
    <w:p w14:paraId="735665E0" w14:textId="77777777" w:rsidR="002B739A" w:rsidRDefault="00BA5BD3">
      <w:pPr>
        <w:spacing w:line="420" w:lineRule="exact"/>
        <w:ind w:firstLineChars="200" w:firstLine="422"/>
        <w:rPr>
          <w:rFonts w:ascii="宋体" w:eastAsia="宋体" w:hAnsi="宋体"/>
          <w:b/>
          <w:bCs/>
          <w:sz w:val="21"/>
          <w:szCs w:val="21"/>
        </w:rPr>
      </w:pPr>
      <w:r>
        <w:rPr>
          <w:rFonts w:ascii="宋体" w:eastAsia="宋体" w:hAnsi="宋体" w:hint="eastAsia"/>
          <w:b/>
          <w:bCs/>
          <w:sz w:val="21"/>
          <w:szCs w:val="21"/>
        </w:rPr>
        <w:t>乙方责任：</w:t>
      </w:r>
    </w:p>
    <w:p w14:paraId="548F4A12"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1、及时与工程监理方、施工方配合按照施工进度进行检测，收样、试验、提供报告（已考虑节假日等不利因素）不得拖延，影响工程施工进度；</w:t>
      </w:r>
    </w:p>
    <w:p w14:paraId="18196C95"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2、按国家规范标准进行检测，确保检测结果科学、准确、公正、及时；</w:t>
      </w:r>
    </w:p>
    <w:p w14:paraId="22675404"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3、及时提供检测报告及相关信息，为甲方提供优质服务；</w:t>
      </w:r>
    </w:p>
    <w:p w14:paraId="710EE6A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4、出现不合格情况及时通报甲方，不得拖延；</w:t>
      </w:r>
    </w:p>
    <w:p w14:paraId="63B3A6A0"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5、检测单位在施工单位提出检测要求后，在一天之内进场检测，并且自行解决办公室及材料间问题。检测完成当天，必须上报检测结果（电话或其他形式）；</w:t>
      </w:r>
    </w:p>
    <w:p w14:paraId="7E0C4208" w14:textId="77777777" w:rsidR="002B739A" w:rsidRDefault="00BA5BD3">
      <w:pPr>
        <w:pStyle w:val="a6"/>
        <w:spacing w:line="420" w:lineRule="exact"/>
        <w:ind w:leftChars="0" w:left="0" w:firstLineChars="200" w:firstLine="420"/>
        <w:rPr>
          <w:rFonts w:ascii="宋体" w:eastAsia="宋体" w:hAnsi="宋体"/>
          <w:sz w:val="21"/>
          <w:szCs w:val="21"/>
        </w:rPr>
      </w:pPr>
      <w:r>
        <w:rPr>
          <w:rFonts w:ascii="宋体" w:eastAsia="宋体" w:hAnsi="宋体" w:hint="eastAsia"/>
          <w:sz w:val="21"/>
          <w:szCs w:val="21"/>
        </w:rPr>
        <w:t>6、乙方</w:t>
      </w:r>
      <w:proofErr w:type="gramStart"/>
      <w:r>
        <w:rPr>
          <w:rFonts w:ascii="宋体" w:eastAsia="宋体" w:hAnsi="宋体" w:hint="eastAsia"/>
          <w:sz w:val="21"/>
          <w:szCs w:val="21"/>
        </w:rPr>
        <w:t>委派收样</w:t>
      </w:r>
      <w:proofErr w:type="gramEnd"/>
      <w:r>
        <w:rPr>
          <w:rFonts w:ascii="宋体" w:eastAsia="宋体" w:hAnsi="宋体" w:hint="eastAsia"/>
          <w:sz w:val="21"/>
          <w:szCs w:val="21"/>
        </w:rPr>
        <w:t>联系人：</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rPr>
        <w:t>；</w:t>
      </w:r>
    </w:p>
    <w:p w14:paraId="374E1B0D" w14:textId="77777777" w:rsidR="002B739A" w:rsidRDefault="00BA5BD3">
      <w:pPr>
        <w:pStyle w:val="a6"/>
        <w:spacing w:line="420" w:lineRule="exact"/>
        <w:ind w:leftChars="0" w:left="0" w:firstLineChars="200" w:firstLine="420"/>
        <w:rPr>
          <w:rFonts w:ascii="宋体" w:eastAsia="宋体" w:hAnsi="宋体"/>
          <w:sz w:val="21"/>
          <w:szCs w:val="21"/>
        </w:rPr>
      </w:pPr>
      <w:r>
        <w:rPr>
          <w:rFonts w:ascii="宋体" w:eastAsia="宋体" w:hAnsi="宋体" w:hint="eastAsia"/>
          <w:sz w:val="21"/>
          <w:szCs w:val="21"/>
        </w:rPr>
        <w:t>7、乙方委派该项目检测总负责人为：</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rPr>
        <w:t>。</w:t>
      </w:r>
    </w:p>
    <w:p w14:paraId="4A709C29"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七、违约责任</w:t>
      </w:r>
    </w:p>
    <w:p w14:paraId="5D23B3F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1、由于乙方提供的检测成果资料质量不合格或检测质量造成经济损失或工程事故时，乙方除应负法律责任和免收直接损失部分检测费外，并根据损失程度向甲方支付赔偿金；</w:t>
      </w:r>
    </w:p>
    <w:p w14:paraId="3DBB5010"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lastRenderedPageBreak/>
        <w:t>2、甲方有权对乙方提供的检测结果委托有资质的部门进行鉴定，如果鉴定结论为检测结果错误，或有证据表明乙方提供虚假检测数据或检测结果，则甲方按每次1万元向乙方收取违约金；</w:t>
      </w:r>
    </w:p>
    <w:p w14:paraId="55FB4709"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3、乙方未按合同约定的时间（主要试验项目承诺日期详见附件一）向甲方提供检测报告，每拖延1天，承担1000元的违约金；</w:t>
      </w:r>
    </w:p>
    <w:p w14:paraId="23E0FA37"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4、乙方应自行完成合同所有内容，自身资质范围以外的检测项目如未征得甲方同意擅自转包或分包给他人，甲方有权单方解除合同，乙方须按合同价款的30%向甲方支付违约金；</w:t>
      </w:r>
    </w:p>
    <w:p w14:paraId="08EBD09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5、乙方不得擅自增加检测数量和项目，有争议的检测项目需由甲方、项目管理（如有）和监理确定后方可实施检测；</w:t>
      </w:r>
    </w:p>
    <w:p w14:paraId="59AD3A8B"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6、因不可抗力造成的合同无法履行，违约方不承担违约责任。</w:t>
      </w:r>
    </w:p>
    <w:p w14:paraId="65ABC79A"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7、工程竣工验收后30天内乙方向甲方提供完整合格的结算资料贰套，向甲方提出结算申请。乙方逾期未能提交的资料或提交资料不符合要求的，则该部分资料所对应的费用甲方不再认可。结算资料每逾期一天，乙方按1000/</w:t>
      </w:r>
      <w:proofErr w:type="gramStart"/>
      <w:r>
        <w:rPr>
          <w:rFonts w:ascii="宋体" w:eastAsia="宋体" w:hAnsi="宋体" w:hint="eastAsia"/>
          <w:sz w:val="21"/>
          <w:szCs w:val="21"/>
        </w:rPr>
        <w:t>天支付</w:t>
      </w:r>
      <w:proofErr w:type="gramEnd"/>
      <w:r>
        <w:rPr>
          <w:rFonts w:ascii="宋体" w:eastAsia="宋体" w:hAnsi="宋体" w:hint="eastAsia"/>
          <w:sz w:val="21"/>
          <w:szCs w:val="21"/>
        </w:rPr>
        <w:t>违约金。乙方须安排专人密切配合甲方进行结算核对工作，否则因此导致结算审核工作延误的，责任由乙方承担且相应价款支付时间顺延。甲方可以委托社会审价机构对乙方报送的结算与计价文件进行审计，但最终以甲方签字盖章认可为准。甲方收到完整有效的结算资料后6个月内确认或提出修改意见。乙方所报结算不得高估冒算，若乙方递交结算价与</w:t>
      </w:r>
      <w:proofErr w:type="gramStart"/>
      <w:r>
        <w:rPr>
          <w:rFonts w:ascii="宋体" w:eastAsia="宋体" w:hAnsi="宋体" w:hint="eastAsia"/>
          <w:sz w:val="21"/>
          <w:szCs w:val="21"/>
        </w:rPr>
        <w:t>最</w:t>
      </w:r>
      <w:proofErr w:type="gramEnd"/>
      <w:r>
        <w:rPr>
          <w:rFonts w:ascii="宋体" w:eastAsia="宋体" w:hAnsi="宋体" w:hint="eastAsia"/>
          <w:sz w:val="21"/>
          <w:szCs w:val="21"/>
        </w:rPr>
        <w:t>终审定价差额超过5%，超出5%以外部分的审计费由乙方支付。</w:t>
      </w:r>
    </w:p>
    <w:p w14:paraId="0A15485F" w14:textId="77777777" w:rsidR="002B739A" w:rsidRDefault="00BA5BD3">
      <w:pPr>
        <w:spacing w:line="420" w:lineRule="exact"/>
        <w:ind w:firstLineChars="200" w:firstLine="420"/>
        <w:rPr>
          <w:sz w:val="21"/>
          <w:szCs w:val="21"/>
        </w:rPr>
      </w:pPr>
      <w:r>
        <w:rPr>
          <w:rFonts w:ascii="宋体" w:eastAsia="宋体" w:hAnsi="宋体" w:hint="eastAsia"/>
          <w:sz w:val="21"/>
          <w:szCs w:val="21"/>
        </w:rPr>
        <w:t>8、守约方主张债权产生的费用（包括但不限于诉讼费/仲裁费、律师费、保全费、保全担保费、执行费等）全部由违约方承担。</w:t>
      </w:r>
    </w:p>
    <w:p w14:paraId="6D862DCA"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八、争议的解决方式</w:t>
      </w:r>
    </w:p>
    <w:p w14:paraId="4F9790F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1、在合同履行过程中发生争议，双方应当友好协商解决，如果双方不愿协商、调解或者调解未果，经双方商定，可申请常州仲裁委员会协调。</w:t>
      </w:r>
    </w:p>
    <w:p w14:paraId="04A089C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2、双方对检测结果发生争议时可向常州市工程质量监督机构提请鉴定。</w:t>
      </w:r>
    </w:p>
    <w:p w14:paraId="1DD2666B" w14:textId="77777777" w:rsidR="002B739A" w:rsidRDefault="00BA5BD3">
      <w:pPr>
        <w:adjustRightInd w:val="0"/>
        <w:snapToGrid w:val="0"/>
        <w:spacing w:line="420" w:lineRule="exact"/>
        <w:rPr>
          <w:rFonts w:ascii="宋体" w:hAnsi="宋体"/>
          <w:b/>
          <w:sz w:val="21"/>
          <w:szCs w:val="21"/>
        </w:rPr>
      </w:pPr>
      <w:r>
        <w:rPr>
          <w:rFonts w:ascii="宋体" w:hAnsi="宋体" w:hint="eastAsia"/>
          <w:b/>
          <w:sz w:val="21"/>
          <w:szCs w:val="21"/>
        </w:rPr>
        <w:t xml:space="preserve">九、诚实信用 </w:t>
      </w:r>
    </w:p>
    <w:p w14:paraId="2BAFE985"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乙方应诚实信用，严格按照招标文件要求和承诺履行合同，不向甲方进行商业贿赂或者提供不正当利益。</w:t>
      </w:r>
    </w:p>
    <w:p w14:paraId="169E5435" w14:textId="77777777" w:rsidR="002B739A" w:rsidRDefault="00BA5BD3">
      <w:pPr>
        <w:adjustRightInd w:val="0"/>
        <w:snapToGrid w:val="0"/>
        <w:spacing w:line="420" w:lineRule="exact"/>
        <w:rPr>
          <w:rFonts w:ascii="宋体" w:hAnsi="宋体"/>
          <w:b/>
          <w:sz w:val="21"/>
          <w:szCs w:val="21"/>
        </w:rPr>
      </w:pPr>
      <w:r>
        <w:rPr>
          <w:rFonts w:ascii="宋体" w:hAnsi="宋体" w:hint="eastAsia"/>
          <w:b/>
          <w:sz w:val="21"/>
          <w:szCs w:val="21"/>
        </w:rPr>
        <w:t>十、合同生效及其他</w:t>
      </w:r>
    </w:p>
    <w:p w14:paraId="53113445"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1、本合同一经协商，甲乙双方签字（盖章）后生效，本合同一式伍份，甲方执两份、</w:t>
      </w:r>
      <w:proofErr w:type="gramStart"/>
      <w:r>
        <w:rPr>
          <w:rFonts w:ascii="宋体" w:hAnsi="宋体" w:hint="eastAsia"/>
          <w:sz w:val="21"/>
          <w:szCs w:val="21"/>
        </w:rPr>
        <w:t>乙执两份</w:t>
      </w:r>
      <w:proofErr w:type="gramEnd"/>
      <w:r>
        <w:rPr>
          <w:rFonts w:ascii="宋体" w:hAnsi="宋体" w:hint="eastAsia"/>
          <w:sz w:val="21"/>
          <w:szCs w:val="21"/>
        </w:rPr>
        <w:t>，代理机构执一份。</w:t>
      </w:r>
    </w:p>
    <w:p w14:paraId="560F0BB0"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2、常州青枫招标有限公司为代理机构，根据甲方的授权代其采购确定乙方为成交单位，但不承担本合同规定的甲方的权利和义务。</w:t>
      </w:r>
    </w:p>
    <w:p w14:paraId="1A4049DD" w14:textId="77777777" w:rsidR="002B739A" w:rsidRDefault="00BA5BD3">
      <w:pPr>
        <w:spacing w:line="420" w:lineRule="exact"/>
        <w:ind w:firstLineChars="200" w:firstLine="420"/>
        <w:rPr>
          <w:rFonts w:ascii="宋体" w:eastAsia="宋体" w:hAnsi="宋体"/>
          <w:kern w:val="0"/>
          <w:sz w:val="21"/>
          <w:szCs w:val="21"/>
        </w:rPr>
      </w:pPr>
      <w:r>
        <w:rPr>
          <w:rFonts w:ascii="宋体" w:hAnsi="宋体" w:hint="eastAsia"/>
          <w:sz w:val="21"/>
          <w:szCs w:val="21"/>
        </w:rPr>
        <w:t>3、本合同应按照中华人民共和国的现行法律进行解释。</w:t>
      </w:r>
    </w:p>
    <w:p w14:paraId="2F5E5E7B" w14:textId="77777777" w:rsidR="002B739A" w:rsidRDefault="00BA5BD3">
      <w:pPr>
        <w:adjustRightInd w:val="0"/>
        <w:snapToGrid w:val="0"/>
        <w:spacing w:line="420" w:lineRule="exact"/>
        <w:rPr>
          <w:rFonts w:ascii="宋体" w:eastAsia="宋体" w:hAnsi="宋体"/>
          <w:b/>
          <w:sz w:val="21"/>
          <w:szCs w:val="21"/>
        </w:rPr>
      </w:pPr>
      <w:r>
        <w:rPr>
          <w:rFonts w:ascii="宋体" w:eastAsia="宋体" w:hAnsi="宋体" w:hint="eastAsia"/>
          <w:b/>
          <w:sz w:val="21"/>
          <w:szCs w:val="21"/>
        </w:rPr>
        <w:t>十一、合同未尽事宜，双方另行签订补充协议。补充协议是合同的组成部分。</w:t>
      </w:r>
    </w:p>
    <w:p w14:paraId="525B5B31" w14:textId="77777777" w:rsidR="002B739A" w:rsidRDefault="002B739A">
      <w:pPr>
        <w:adjustRightInd w:val="0"/>
        <w:snapToGrid w:val="0"/>
        <w:spacing w:line="400" w:lineRule="exact"/>
        <w:rPr>
          <w:rFonts w:ascii="宋体" w:hAnsi="宋体"/>
          <w:sz w:val="21"/>
          <w:szCs w:val="21"/>
        </w:rPr>
      </w:pPr>
    </w:p>
    <w:p w14:paraId="15C63DB8"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甲方(公章):                                 乙方(公章):</w:t>
      </w:r>
    </w:p>
    <w:p w14:paraId="713A8A4A"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法定代表人：                                法定代表人:</w:t>
      </w:r>
    </w:p>
    <w:p w14:paraId="6DD83FE7"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代理人:                                     代理人:</w:t>
      </w:r>
    </w:p>
    <w:p w14:paraId="1C18670C"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经办人:                                     电话:</w:t>
      </w:r>
    </w:p>
    <w:p w14:paraId="6F360103"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电话:                                       开户银行：</w:t>
      </w:r>
    </w:p>
    <w:p w14:paraId="05D1BF23" w14:textId="77777777" w:rsidR="002B739A" w:rsidRDefault="00BA5BD3">
      <w:pPr>
        <w:adjustRightInd w:val="0"/>
        <w:snapToGrid w:val="0"/>
        <w:spacing w:line="420" w:lineRule="atLeast"/>
        <w:ind w:firstLineChars="202" w:firstLine="566"/>
        <w:rPr>
          <w:rFonts w:ascii="宋体" w:eastAsia="宋体" w:hAnsi="宋体"/>
          <w:b/>
          <w:bCs/>
          <w:szCs w:val="21"/>
        </w:rPr>
      </w:pPr>
      <w:r>
        <w:rPr>
          <w:rFonts w:ascii="宋体" w:hAnsi="宋体" w:hint="eastAsia"/>
          <w:szCs w:val="21"/>
        </w:rPr>
        <w:t xml:space="preserve">                             </w:t>
      </w:r>
      <w:r>
        <w:rPr>
          <w:rFonts w:ascii="宋体" w:hAnsi="宋体" w:hint="eastAsia"/>
          <w:sz w:val="21"/>
          <w:szCs w:val="21"/>
        </w:rPr>
        <w:t>银行账号：</w:t>
      </w:r>
      <w:r>
        <w:rPr>
          <w:rFonts w:ascii="宋体" w:hAnsi="宋体" w:hint="eastAsia"/>
          <w:szCs w:val="21"/>
        </w:rPr>
        <w:t xml:space="preserve">       </w:t>
      </w:r>
      <w:r>
        <w:rPr>
          <w:rFonts w:ascii="宋体" w:eastAsia="宋体" w:hAnsi="宋体" w:hint="eastAsia"/>
          <w:szCs w:val="21"/>
        </w:rPr>
        <w:t xml:space="preserve">                                                                         </w:t>
      </w:r>
    </w:p>
    <w:p w14:paraId="5A9E5CAF" w14:textId="77777777" w:rsidR="002B739A" w:rsidRDefault="002B739A">
      <w:pPr>
        <w:spacing w:line="420" w:lineRule="atLeast"/>
        <w:rPr>
          <w:rFonts w:ascii="宋体" w:eastAsia="宋体" w:hAnsi="宋体"/>
          <w:b/>
          <w:bCs/>
          <w:szCs w:val="21"/>
        </w:rPr>
      </w:pPr>
    </w:p>
    <w:p w14:paraId="08567D8B" w14:textId="77777777" w:rsidR="002B739A" w:rsidRDefault="00BA5BD3">
      <w:pPr>
        <w:spacing w:line="440" w:lineRule="exact"/>
        <w:rPr>
          <w:rFonts w:ascii="宋体" w:eastAsia="宋体" w:hAnsi="宋体"/>
          <w:color w:val="000000"/>
          <w:szCs w:val="21"/>
        </w:rPr>
      </w:pPr>
      <w:r>
        <w:rPr>
          <w:rFonts w:ascii="宋体" w:eastAsia="宋体" w:hAnsi="宋体" w:hint="eastAsia"/>
          <w:szCs w:val="21"/>
        </w:rPr>
        <w:t xml:space="preserve">                              </w:t>
      </w:r>
      <w:r>
        <w:rPr>
          <w:rFonts w:ascii="宋体" w:eastAsia="宋体" w:hAnsi="宋体" w:hint="eastAsia"/>
          <w:color w:val="000000"/>
          <w:szCs w:val="21"/>
        </w:rPr>
        <w:t xml:space="preserve">                                                                              </w:t>
      </w:r>
    </w:p>
    <w:bookmarkEnd w:id="5"/>
    <w:bookmarkEnd w:id="6"/>
    <w:bookmarkEnd w:id="7"/>
    <w:p w14:paraId="791AFA69" w14:textId="77777777" w:rsidR="002B739A" w:rsidRDefault="002B739A">
      <w:pPr>
        <w:spacing w:line="400" w:lineRule="exact"/>
        <w:rPr>
          <w:rFonts w:ascii="宋体" w:eastAsia="宋体" w:hAnsi="宋体"/>
          <w:b/>
          <w:bCs/>
          <w:sz w:val="24"/>
        </w:rPr>
      </w:pPr>
    </w:p>
    <w:p w14:paraId="1B0581D6" w14:textId="77777777" w:rsidR="002B739A" w:rsidRDefault="002B739A">
      <w:pPr>
        <w:spacing w:line="400" w:lineRule="exact"/>
        <w:rPr>
          <w:rFonts w:ascii="宋体" w:eastAsia="宋体" w:hAnsi="宋体"/>
          <w:b/>
          <w:bCs/>
          <w:sz w:val="24"/>
        </w:rPr>
      </w:pPr>
    </w:p>
    <w:p w14:paraId="3D52B39A" w14:textId="77777777" w:rsidR="002B739A" w:rsidRDefault="002B739A">
      <w:pPr>
        <w:spacing w:line="400" w:lineRule="exact"/>
        <w:rPr>
          <w:rFonts w:ascii="宋体" w:eastAsia="宋体" w:hAnsi="宋体"/>
          <w:b/>
          <w:bCs/>
          <w:sz w:val="24"/>
        </w:rPr>
      </w:pPr>
    </w:p>
    <w:p w14:paraId="28C0F204" w14:textId="77777777" w:rsidR="002B739A" w:rsidRDefault="002B739A">
      <w:pPr>
        <w:spacing w:line="400" w:lineRule="exact"/>
        <w:rPr>
          <w:rFonts w:ascii="宋体" w:eastAsia="宋体" w:hAnsi="宋体"/>
          <w:b/>
          <w:bCs/>
          <w:sz w:val="24"/>
        </w:rPr>
      </w:pPr>
    </w:p>
    <w:p w14:paraId="0D11397B" w14:textId="77777777" w:rsidR="002B739A" w:rsidRDefault="002B739A">
      <w:pPr>
        <w:spacing w:line="400" w:lineRule="exact"/>
        <w:rPr>
          <w:rFonts w:ascii="宋体" w:eastAsia="宋体" w:hAnsi="宋体"/>
          <w:b/>
          <w:bCs/>
          <w:sz w:val="24"/>
        </w:rPr>
      </w:pPr>
    </w:p>
    <w:p w14:paraId="68D6D5BC" w14:textId="77777777" w:rsidR="002B739A" w:rsidRDefault="002B739A">
      <w:pPr>
        <w:spacing w:line="400" w:lineRule="exact"/>
        <w:ind w:firstLineChars="200" w:firstLine="562"/>
        <w:jc w:val="center"/>
        <w:rPr>
          <w:rFonts w:ascii="宋体" w:eastAsia="宋体" w:hAnsi="宋体"/>
          <w:b/>
          <w:bCs/>
          <w:lang w:bidi="ar"/>
        </w:rPr>
      </w:pPr>
    </w:p>
    <w:p w14:paraId="14D27407" w14:textId="77777777" w:rsidR="002B739A" w:rsidRDefault="002B739A">
      <w:pPr>
        <w:spacing w:line="400" w:lineRule="exact"/>
        <w:ind w:firstLineChars="200" w:firstLine="562"/>
        <w:jc w:val="center"/>
        <w:rPr>
          <w:rFonts w:ascii="宋体" w:eastAsia="宋体" w:hAnsi="宋体"/>
          <w:b/>
          <w:bCs/>
          <w:lang w:bidi="ar"/>
        </w:rPr>
      </w:pPr>
    </w:p>
    <w:p w14:paraId="68B9E524" w14:textId="77777777" w:rsidR="002B739A" w:rsidRDefault="002B739A">
      <w:pPr>
        <w:spacing w:line="400" w:lineRule="exact"/>
        <w:ind w:firstLineChars="200" w:firstLine="562"/>
        <w:jc w:val="center"/>
        <w:rPr>
          <w:rFonts w:ascii="宋体" w:eastAsia="宋体" w:hAnsi="宋体"/>
          <w:b/>
          <w:bCs/>
          <w:lang w:bidi="ar"/>
        </w:rPr>
      </w:pPr>
    </w:p>
    <w:p w14:paraId="3E98838C" w14:textId="77777777" w:rsidR="002B739A" w:rsidRDefault="002B739A">
      <w:pPr>
        <w:spacing w:line="400" w:lineRule="exact"/>
        <w:ind w:firstLineChars="200" w:firstLine="562"/>
        <w:jc w:val="center"/>
        <w:rPr>
          <w:rFonts w:ascii="宋体" w:eastAsia="宋体" w:hAnsi="宋体"/>
          <w:b/>
          <w:bCs/>
          <w:lang w:bidi="ar"/>
        </w:rPr>
      </w:pPr>
    </w:p>
    <w:p w14:paraId="7BFB7A28" w14:textId="77777777" w:rsidR="002B739A" w:rsidRDefault="002B739A">
      <w:pPr>
        <w:spacing w:line="400" w:lineRule="exact"/>
        <w:ind w:firstLineChars="200" w:firstLine="562"/>
        <w:jc w:val="center"/>
        <w:rPr>
          <w:rFonts w:ascii="宋体" w:eastAsia="宋体" w:hAnsi="宋体"/>
          <w:b/>
          <w:bCs/>
          <w:lang w:bidi="ar"/>
        </w:rPr>
      </w:pPr>
    </w:p>
    <w:p w14:paraId="798A4ABC" w14:textId="77777777" w:rsidR="002B739A" w:rsidRDefault="002B739A">
      <w:pPr>
        <w:spacing w:line="400" w:lineRule="exact"/>
        <w:ind w:firstLineChars="200" w:firstLine="562"/>
        <w:jc w:val="center"/>
        <w:rPr>
          <w:rFonts w:ascii="宋体" w:eastAsia="宋体" w:hAnsi="宋体"/>
          <w:b/>
          <w:bCs/>
          <w:lang w:bidi="ar"/>
        </w:rPr>
      </w:pPr>
    </w:p>
    <w:p w14:paraId="49621864" w14:textId="77777777" w:rsidR="002B739A" w:rsidRDefault="002B739A">
      <w:pPr>
        <w:spacing w:line="400" w:lineRule="exact"/>
        <w:ind w:firstLineChars="200" w:firstLine="562"/>
        <w:jc w:val="center"/>
        <w:rPr>
          <w:rFonts w:ascii="宋体" w:eastAsia="宋体" w:hAnsi="宋体"/>
          <w:b/>
          <w:bCs/>
          <w:lang w:bidi="ar"/>
        </w:rPr>
      </w:pPr>
    </w:p>
    <w:p w14:paraId="534E852D" w14:textId="77777777" w:rsidR="002B739A" w:rsidRDefault="002B739A">
      <w:pPr>
        <w:spacing w:line="400" w:lineRule="exact"/>
        <w:ind w:firstLineChars="200" w:firstLine="562"/>
        <w:jc w:val="center"/>
        <w:rPr>
          <w:rFonts w:ascii="宋体" w:eastAsia="宋体" w:hAnsi="宋体"/>
          <w:b/>
          <w:bCs/>
          <w:lang w:bidi="ar"/>
        </w:rPr>
      </w:pPr>
    </w:p>
    <w:p w14:paraId="0657E8D1" w14:textId="77777777" w:rsidR="002B739A" w:rsidRDefault="002B739A">
      <w:pPr>
        <w:spacing w:line="400" w:lineRule="exact"/>
        <w:ind w:firstLineChars="200" w:firstLine="562"/>
        <w:jc w:val="center"/>
        <w:rPr>
          <w:rFonts w:ascii="宋体" w:eastAsia="宋体" w:hAnsi="宋体"/>
          <w:b/>
          <w:bCs/>
          <w:lang w:bidi="ar"/>
        </w:rPr>
      </w:pPr>
    </w:p>
    <w:p w14:paraId="758B48C1" w14:textId="77777777" w:rsidR="002B739A" w:rsidRDefault="002B739A">
      <w:pPr>
        <w:spacing w:line="400" w:lineRule="exact"/>
        <w:ind w:firstLineChars="200" w:firstLine="562"/>
        <w:jc w:val="center"/>
        <w:rPr>
          <w:rFonts w:ascii="宋体" w:eastAsia="宋体" w:hAnsi="宋体"/>
          <w:b/>
          <w:bCs/>
          <w:lang w:bidi="ar"/>
        </w:rPr>
      </w:pPr>
    </w:p>
    <w:p w14:paraId="7B73021B" w14:textId="77777777" w:rsidR="002B739A" w:rsidRDefault="002B739A">
      <w:pPr>
        <w:pStyle w:val="a0"/>
        <w:rPr>
          <w:rFonts w:eastAsia="宋体" w:hAnsi="宋体"/>
          <w:b/>
          <w:bCs/>
          <w:sz w:val="28"/>
          <w:szCs w:val="28"/>
          <w:lang w:bidi="ar"/>
        </w:rPr>
      </w:pPr>
    </w:p>
    <w:p w14:paraId="0624B887" w14:textId="77777777" w:rsidR="002B739A" w:rsidRDefault="002B739A">
      <w:pPr>
        <w:rPr>
          <w:rFonts w:ascii="宋体" w:eastAsia="宋体" w:hAnsi="宋体"/>
          <w:b/>
          <w:bCs/>
          <w:lang w:bidi="ar"/>
        </w:rPr>
      </w:pPr>
    </w:p>
    <w:p w14:paraId="49C7CA1D" w14:textId="77777777" w:rsidR="002B739A" w:rsidRDefault="002B739A">
      <w:pPr>
        <w:pStyle w:val="a0"/>
        <w:rPr>
          <w:rFonts w:eastAsia="宋体" w:hAnsi="宋体"/>
          <w:b/>
          <w:bCs/>
          <w:sz w:val="28"/>
          <w:szCs w:val="28"/>
          <w:lang w:bidi="ar"/>
        </w:rPr>
      </w:pPr>
    </w:p>
    <w:p w14:paraId="10A1A7C9" w14:textId="77777777" w:rsidR="002B739A" w:rsidRDefault="002B739A"/>
    <w:p w14:paraId="24AE770E" w14:textId="77777777" w:rsidR="002B739A" w:rsidRDefault="002B739A">
      <w:pPr>
        <w:spacing w:line="400" w:lineRule="exact"/>
        <w:ind w:firstLineChars="200" w:firstLine="562"/>
        <w:jc w:val="center"/>
        <w:rPr>
          <w:rFonts w:ascii="宋体" w:eastAsia="宋体" w:hAnsi="宋体"/>
          <w:b/>
          <w:bCs/>
          <w:lang w:bidi="ar"/>
        </w:rPr>
      </w:pPr>
    </w:p>
    <w:p w14:paraId="541A0DEE" w14:textId="77777777" w:rsidR="002B739A" w:rsidRDefault="002B739A">
      <w:pPr>
        <w:spacing w:line="400" w:lineRule="exact"/>
        <w:ind w:firstLineChars="200" w:firstLine="562"/>
        <w:jc w:val="center"/>
        <w:rPr>
          <w:rFonts w:ascii="宋体" w:eastAsia="宋体" w:hAnsi="宋体"/>
          <w:b/>
          <w:bCs/>
          <w:lang w:bidi="ar"/>
        </w:rPr>
      </w:pPr>
    </w:p>
    <w:p w14:paraId="069545FF" w14:textId="77777777" w:rsidR="002B739A" w:rsidRDefault="002B739A">
      <w:pPr>
        <w:spacing w:line="400" w:lineRule="exact"/>
        <w:ind w:firstLineChars="200" w:firstLine="562"/>
        <w:jc w:val="center"/>
        <w:rPr>
          <w:rFonts w:ascii="宋体" w:eastAsia="宋体" w:hAnsi="宋体"/>
          <w:b/>
          <w:bCs/>
          <w:lang w:bidi="ar"/>
        </w:rPr>
      </w:pPr>
    </w:p>
    <w:p w14:paraId="27AAF5A5" w14:textId="77777777" w:rsidR="002B739A" w:rsidRDefault="00BA5BD3">
      <w:pPr>
        <w:spacing w:line="440" w:lineRule="exact"/>
        <w:rPr>
          <w:rFonts w:ascii="宋体" w:eastAsia="宋体" w:hAnsi="宋体"/>
          <w:b/>
          <w:bCs/>
          <w:sz w:val="21"/>
          <w:szCs w:val="21"/>
        </w:rPr>
      </w:pPr>
      <w:r>
        <w:rPr>
          <w:rFonts w:ascii="宋体" w:eastAsia="宋体" w:hAnsi="宋体" w:hint="eastAsia"/>
          <w:b/>
          <w:bCs/>
          <w:sz w:val="21"/>
          <w:szCs w:val="21"/>
        </w:rPr>
        <w:lastRenderedPageBreak/>
        <w:t>附件一：主要试验项目承诺日期</w:t>
      </w:r>
    </w:p>
    <w:tbl>
      <w:tblPr>
        <w:tblW w:w="8634" w:type="dxa"/>
        <w:jc w:val="center"/>
        <w:tblLayout w:type="fixed"/>
        <w:tblLook w:val="04A0" w:firstRow="1" w:lastRow="0" w:firstColumn="1" w:lastColumn="0" w:noHBand="0" w:noVBand="1"/>
      </w:tblPr>
      <w:tblGrid>
        <w:gridCol w:w="1181"/>
        <w:gridCol w:w="2784"/>
        <w:gridCol w:w="4669"/>
      </w:tblGrid>
      <w:tr w:rsidR="002B739A" w14:paraId="14369271" w14:textId="77777777">
        <w:trPr>
          <w:trHeight w:val="495"/>
          <w:jc w:val="center"/>
        </w:trPr>
        <w:tc>
          <w:tcPr>
            <w:tcW w:w="1181" w:type="dxa"/>
            <w:tcBorders>
              <w:top w:val="single" w:sz="4" w:space="0" w:color="auto"/>
              <w:left w:val="single" w:sz="4" w:space="0" w:color="auto"/>
              <w:bottom w:val="single" w:sz="4" w:space="0" w:color="auto"/>
              <w:right w:val="single" w:sz="4" w:space="0" w:color="auto"/>
            </w:tcBorders>
            <w:vAlign w:val="center"/>
          </w:tcPr>
          <w:p w14:paraId="649E82A5"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序号</w:t>
            </w:r>
          </w:p>
        </w:tc>
        <w:tc>
          <w:tcPr>
            <w:tcW w:w="2784" w:type="dxa"/>
            <w:tcBorders>
              <w:top w:val="single" w:sz="4" w:space="0" w:color="auto"/>
              <w:left w:val="single" w:sz="4" w:space="0" w:color="auto"/>
              <w:bottom w:val="single" w:sz="4" w:space="0" w:color="auto"/>
              <w:right w:val="single" w:sz="4" w:space="0" w:color="auto"/>
            </w:tcBorders>
            <w:vAlign w:val="center"/>
          </w:tcPr>
          <w:p w14:paraId="3006EDA0"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项 目</w:t>
            </w:r>
          </w:p>
        </w:tc>
        <w:tc>
          <w:tcPr>
            <w:tcW w:w="4669" w:type="dxa"/>
            <w:tcBorders>
              <w:top w:val="single" w:sz="4" w:space="0" w:color="auto"/>
              <w:left w:val="nil"/>
              <w:bottom w:val="single" w:sz="4" w:space="0" w:color="auto"/>
              <w:right w:val="single" w:sz="4" w:space="0" w:color="auto"/>
            </w:tcBorders>
            <w:vAlign w:val="center"/>
          </w:tcPr>
          <w:p w14:paraId="14D6EC5E"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承 诺 日 期</w:t>
            </w:r>
          </w:p>
        </w:tc>
      </w:tr>
      <w:tr w:rsidR="002B739A" w14:paraId="020AA28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C9CA6B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w:t>
            </w:r>
          </w:p>
        </w:tc>
        <w:tc>
          <w:tcPr>
            <w:tcW w:w="2784" w:type="dxa"/>
            <w:tcBorders>
              <w:top w:val="nil"/>
              <w:left w:val="single" w:sz="4" w:space="0" w:color="auto"/>
              <w:bottom w:val="single" w:sz="4" w:space="0" w:color="auto"/>
              <w:right w:val="single" w:sz="4" w:space="0" w:color="auto"/>
            </w:tcBorders>
            <w:vAlign w:val="center"/>
          </w:tcPr>
          <w:p w14:paraId="70B352CD"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砼</w:t>
            </w:r>
            <w:proofErr w:type="gramEnd"/>
            <w:r>
              <w:rPr>
                <w:rFonts w:ascii="宋体" w:eastAsia="宋体" w:hAnsi="宋体" w:hint="eastAsia"/>
                <w:color w:val="000000"/>
                <w:kern w:val="0"/>
                <w:sz w:val="21"/>
                <w:szCs w:val="21"/>
              </w:rPr>
              <w:t>配合比设计</w:t>
            </w:r>
          </w:p>
        </w:tc>
        <w:tc>
          <w:tcPr>
            <w:tcW w:w="4669" w:type="dxa"/>
            <w:tcBorders>
              <w:top w:val="nil"/>
              <w:left w:val="nil"/>
              <w:bottom w:val="single" w:sz="4" w:space="0" w:color="auto"/>
              <w:right w:val="single" w:sz="4" w:space="0" w:color="auto"/>
            </w:tcBorders>
            <w:vAlign w:val="center"/>
          </w:tcPr>
          <w:p w14:paraId="2A7C6A6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不含原材料配合比试块到期日＋2天</w:t>
            </w:r>
          </w:p>
        </w:tc>
      </w:tr>
      <w:tr w:rsidR="002B739A" w14:paraId="49D49D2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D08BB0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w:t>
            </w:r>
          </w:p>
        </w:tc>
        <w:tc>
          <w:tcPr>
            <w:tcW w:w="2784" w:type="dxa"/>
            <w:tcBorders>
              <w:top w:val="nil"/>
              <w:left w:val="single" w:sz="4" w:space="0" w:color="auto"/>
              <w:bottom w:val="single" w:sz="4" w:space="0" w:color="auto"/>
              <w:right w:val="single" w:sz="4" w:space="0" w:color="auto"/>
            </w:tcBorders>
            <w:vAlign w:val="center"/>
          </w:tcPr>
          <w:p w14:paraId="02FAD92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抗压</w:t>
            </w:r>
          </w:p>
        </w:tc>
        <w:tc>
          <w:tcPr>
            <w:tcW w:w="4669" w:type="dxa"/>
            <w:tcBorders>
              <w:top w:val="nil"/>
              <w:left w:val="nil"/>
              <w:bottom w:val="single" w:sz="4" w:space="0" w:color="auto"/>
              <w:right w:val="single" w:sz="4" w:space="0" w:color="auto"/>
            </w:tcBorders>
            <w:vAlign w:val="center"/>
          </w:tcPr>
          <w:p w14:paraId="6C6A6C9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到期日＋1天</w:t>
            </w:r>
          </w:p>
        </w:tc>
      </w:tr>
      <w:tr w:rsidR="002B739A" w14:paraId="7F50B1A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C9D7F8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3</w:t>
            </w:r>
          </w:p>
        </w:tc>
        <w:tc>
          <w:tcPr>
            <w:tcW w:w="2784" w:type="dxa"/>
            <w:tcBorders>
              <w:top w:val="nil"/>
              <w:left w:val="single" w:sz="4" w:space="0" w:color="auto"/>
              <w:bottom w:val="single" w:sz="4" w:space="0" w:color="auto"/>
              <w:right w:val="single" w:sz="4" w:space="0" w:color="auto"/>
            </w:tcBorders>
            <w:vAlign w:val="center"/>
          </w:tcPr>
          <w:p w14:paraId="4131B41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抗折</w:t>
            </w:r>
          </w:p>
        </w:tc>
        <w:tc>
          <w:tcPr>
            <w:tcW w:w="4669" w:type="dxa"/>
            <w:tcBorders>
              <w:top w:val="nil"/>
              <w:left w:val="nil"/>
              <w:bottom w:val="single" w:sz="4" w:space="0" w:color="auto"/>
              <w:right w:val="single" w:sz="4" w:space="0" w:color="auto"/>
            </w:tcBorders>
            <w:vAlign w:val="center"/>
          </w:tcPr>
          <w:p w14:paraId="2AD66E42"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到期日＋1天</w:t>
            </w:r>
          </w:p>
        </w:tc>
      </w:tr>
      <w:tr w:rsidR="002B739A" w14:paraId="323E378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5BBCE5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4</w:t>
            </w:r>
          </w:p>
        </w:tc>
        <w:tc>
          <w:tcPr>
            <w:tcW w:w="2784" w:type="dxa"/>
            <w:tcBorders>
              <w:top w:val="nil"/>
              <w:left w:val="single" w:sz="4" w:space="0" w:color="auto"/>
              <w:bottom w:val="single" w:sz="4" w:space="0" w:color="auto"/>
              <w:right w:val="single" w:sz="4" w:space="0" w:color="auto"/>
            </w:tcBorders>
            <w:vAlign w:val="center"/>
          </w:tcPr>
          <w:p w14:paraId="20E80A38"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抗渗</w:t>
            </w:r>
          </w:p>
        </w:tc>
        <w:tc>
          <w:tcPr>
            <w:tcW w:w="4669" w:type="dxa"/>
            <w:tcBorders>
              <w:top w:val="nil"/>
              <w:left w:val="nil"/>
              <w:bottom w:val="single" w:sz="4" w:space="0" w:color="auto"/>
              <w:right w:val="single" w:sz="4" w:space="0" w:color="auto"/>
            </w:tcBorders>
            <w:vAlign w:val="center"/>
          </w:tcPr>
          <w:p w14:paraId="00DCD0A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到期日＋4天</w:t>
            </w:r>
          </w:p>
        </w:tc>
      </w:tr>
      <w:tr w:rsidR="002B739A" w14:paraId="41F4691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7E4A56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5</w:t>
            </w:r>
          </w:p>
        </w:tc>
        <w:tc>
          <w:tcPr>
            <w:tcW w:w="2784" w:type="dxa"/>
            <w:tcBorders>
              <w:top w:val="nil"/>
              <w:left w:val="single" w:sz="4" w:space="0" w:color="auto"/>
              <w:bottom w:val="single" w:sz="4" w:space="0" w:color="auto"/>
              <w:right w:val="single" w:sz="4" w:space="0" w:color="auto"/>
            </w:tcBorders>
            <w:vAlign w:val="center"/>
          </w:tcPr>
          <w:p w14:paraId="39AA860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细集料</w:t>
            </w:r>
          </w:p>
        </w:tc>
        <w:tc>
          <w:tcPr>
            <w:tcW w:w="4669" w:type="dxa"/>
            <w:tcBorders>
              <w:top w:val="nil"/>
              <w:left w:val="nil"/>
              <w:bottom w:val="single" w:sz="4" w:space="0" w:color="auto"/>
              <w:right w:val="single" w:sz="4" w:space="0" w:color="auto"/>
            </w:tcBorders>
            <w:vAlign w:val="center"/>
          </w:tcPr>
          <w:p w14:paraId="5DE554D5"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＋3天</w:t>
            </w:r>
          </w:p>
        </w:tc>
      </w:tr>
      <w:tr w:rsidR="002B739A" w14:paraId="463F293D"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86F640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6</w:t>
            </w:r>
          </w:p>
        </w:tc>
        <w:tc>
          <w:tcPr>
            <w:tcW w:w="2784" w:type="dxa"/>
            <w:tcBorders>
              <w:top w:val="nil"/>
              <w:left w:val="single" w:sz="4" w:space="0" w:color="auto"/>
              <w:bottom w:val="single" w:sz="4" w:space="0" w:color="auto"/>
              <w:right w:val="single" w:sz="4" w:space="0" w:color="auto"/>
            </w:tcBorders>
            <w:vAlign w:val="center"/>
          </w:tcPr>
          <w:p w14:paraId="445E2D6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粗集料</w:t>
            </w:r>
          </w:p>
        </w:tc>
        <w:tc>
          <w:tcPr>
            <w:tcW w:w="4669" w:type="dxa"/>
            <w:tcBorders>
              <w:top w:val="nil"/>
              <w:left w:val="nil"/>
              <w:bottom w:val="single" w:sz="4" w:space="0" w:color="auto"/>
              <w:right w:val="single" w:sz="4" w:space="0" w:color="auto"/>
            </w:tcBorders>
            <w:vAlign w:val="center"/>
          </w:tcPr>
          <w:p w14:paraId="6BFF8FDE"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＋3天</w:t>
            </w:r>
          </w:p>
        </w:tc>
      </w:tr>
      <w:tr w:rsidR="002B739A" w14:paraId="35259F17"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01DF11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7</w:t>
            </w:r>
          </w:p>
        </w:tc>
        <w:tc>
          <w:tcPr>
            <w:tcW w:w="2784" w:type="dxa"/>
            <w:tcBorders>
              <w:top w:val="nil"/>
              <w:left w:val="single" w:sz="4" w:space="0" w:color="auto"/>
              <w:bottom w:val="single" w:sz="4" w:space="0" w:color="auto"/>
              <w:right w:val="single" w:sz="4" w:space="0" w:color="auto"/>
            </w:tcBorders>
            <w:vAlign w:val="center"/>
          </w:tcPr>
          <w:p w14:paraId="17B6B05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砂浆配合比设计</w:t>
            </w:r>
          </w:p>
        </w:tc>
        <w:tc>
          <w:tcPr>
            <w:tcW w:w="4669" w:type="dxa"/>
            <w:tcBorders>
              <w:top w:val="nil"/>
              <w:left w:val="nil"/>
              <w:bottom w:val="single" w:sz="4" w:space="0" w:color="auto"/>
              <w:right w:val="single" w:sz="4" w:space="0" w:color="auto"/>
            </w:tcBorders>
            <w:vAlign w:val="center"/>
          </w:tcPr>
          <w:p w14:paraId="56988B52"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不含原材料试验配合比试块到期日＋2天</w:t>
            </w:r>
          </w:p>
        </w:tc>
      </w:tr>
      <w:tr w:rsidR="002B739A" w14:paraId="0CC30EF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F54FA4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8</w:t>
            </w:r>
          </w:p>
        </w:tc>
        <w:tc>
          <w:tcPr>
            <w:tcW w:w="2784" w:type="dxa"/>
            <w:tcBorders>
              <w:top w:val="nil"/>
              <w:left w:val="single" w:sz="4" w:space="0" w:color="auto"/>
              <w:bottom w:val="single" w:sz="4" w:space="0" w:color="auto"/>
              <w:right w:val="single" w:sz="4" w:space="0" w:color="auto"/>
            </w:tcBorders>
            <w:vAlign w:val="center"/>
          </w:tcPr>
          <w:p w14:paraId="7A12C6E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砂浆抗压</w:t>
            </w:r>
          </w:p>
        </w:tc>
        <w:tc>
          <w:tcPr>
            <w:tcW w:w="4669" w:type="dxa"/>
            <w:tcBorders>
              <w:top w:val="nil"/>
              <w:left w:val="nil"/>
              <w:bottom w:val="single" w:sz="4" w:space="0" w:color="auto"/>
              <w:right w:val="single" w:sz="4" w:space="0" w:color="auto"/>
            </w:tcBorders>
            <w:vAlign w:val="center"/>
          </w:tcPr>
          <w:p w14:paraId="3D65FDB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到期日＋1天</w:t>
            </w:r>
          </w:p>
        </w:tc>
      </w:tr>
      <w:tr w:rsidR="002B739A" w14:paraId="278C7F3D"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3221665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9</w:t>
            </w:r>
          </w:p>
        </w:tc>
        <w:tc>
          <w:tcPr>
            <w:tcW w:w="2784" w:type="dxa"/>
            <w:tcBorders>
              <w:top w:val="nil"/>
              <w:left w:val="single" w:sz="4" w:space="0" w:color="auto"/>
              <w:bottom w:val="single" w:sz="4" w:space="0" w:color="auto"/>
              <w:right w:val="single" w:sz="4" w:space="0" w:color="auto"/>
            </w:tcBorders>
            <w:vAlign w:val="center"/>
          </w:tcPr>
          <w:p w14:paraId="465F8D7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砖</w:t>
            </w:r>
          </w:p>
        </w:tc>
        <w:tc>
          <w:tcPr>
            <w:tcW w:w="4669" w:type="dxa"/>
            <w:tcBorders>
              <w:top w:val="nil"/>
              <w:left w:val="nil"/>
              <w:bottom w:val="single" w:sz="4" w:space="0" w:color="auto"/>
              <w:right w:val="single" w:sz="4" w:space="0" w:color="auto"/>
            </w:tcBorders>
            <w:vAlign w:val="center"/>
          </w:tcPr>
          <w:p w14:paraId="5AC3E09B"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＋5天</w:t>
            </w:r>
          </w:p>
        </w:tc>
      </w:tr>
      <w:tr w:rsidR="002B739A" w14:paraId="6976EE5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3FA145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10</w:t>
            </w:r>
          </w:p>
        </w:tc>
        <w:tc>
          <w:tcPr>
            <w:tcW w:w="2784" w:type="dxa"/>
            <w:tcBorders>
              <w:top w:val="nil"/>
              <w:left w:val="single" w:sz="4" w:space="0" w:color="auto"/>
              <w:bottom w:val="single" w:sz="4" w:space="0" w:color="auto"/>
              <w:right w:val="single" w:sz="4" w:space="0" w:color="auto"/>
            </w:tcBorders>
            <w:vAlign w:val="center"/>
          </w:tcPr>
          <w:p w14:paraId="3BEB048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水泥</w:t>
            </w:r>
          </w:p>
        </w:tc>
        <w:tc>
          <w:tcPr>
            <w:tcW w:w="4669" w:type="dxa"/>
            <w:tcBorders>
              <w:top w:val="nil"/>
              <w:left w:val="nil"/>
              <w:bottom w:val="single" w:sz="4" w:space="0" w:color="auto"/>
              <w:right w:val="single" w:sz="4" w:space="0" w:color="auto"/>
            </w:tcBorders>
            <w:vAlign w:val="center"/>
          </w:tcPr>
          <w:p w14:paraId="42198E5A"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＋32天</w:t>
            </w:r>
          </w:p>
        </w:tc>
      </w:tr>
      <w:tr w:rsidR="002B739A" w14:paraId="604ABA6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2A2125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11</w:t>
            </w:r>
          </w:p>
        </w:tc>
        <w:tc>
          <w:tcPr>
            <w:tcW w:w="2784" w:type="dxa"/>
            <w:tcBorders>
              <w:top w:val="nil"/>
              <w:left w:val="single" w:sz="4" w:space="0" w:color="auto"/>
              <w:bottom w:val="single" w:sz="4" w:space="0" w:color="auto"/>
              <w:right w:val="single" w:sz="4" w:space="0" w:color="auto"/>
            </w:tcBorders>
            <w:vAlign w:val="center"/>
          </w:tcPr>
          <w:p w14:paraId="6EA656D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钢筋</w:t>
            </w:r>
          </w:p>
        </w:tc>
        <w:tc>
          <w:tcPr>
            <w:tcW w:w="4669" w:type="dxa"/>
            <w:tcBorders>
              <w:top w:val="nil"/>
              <w:left w:val="nil"/>
              <w:bottom w:val="single" w:sz="4" w:space="0" w:color="auto"/>
              <w:right w:val="single" w:sz="4" w:space="0" w:color="auto"/>
            </w:tcBorders>
            <w:vAlign w:val="center"/>
          </w:tcPr>
          <w:p w14:paraId="7E5D6724"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＋2天</w:t>
            </w:r>
          </w:p>
        </w:tc>
      </w:tr>
      <w:tr w:rsidR="002B739A" w14:paraId="380BF9F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2DDDD1AB"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12</w:t>
            </w:r>
          </w:p>
        </w:tc>
        <w:tc>
          <w:tcPr>
            <w:tcW w:w="2784" w:type="dxa"/>
            <w:tcBorders>
              <w:top w:val="nil"/>
              <w:left w:val="single" w:sz="4" w:space="0" w:color="auto"/>
              <w:bottom w:val="single" w:sz="4" w:space="0" w:color="auto"/>
              <w:right w:val="single" w:sz="4" w:space="0" w:color="auto"/>
            </w:tcBorders>
            <w:vAlign w:val="center"/>
          </w:tcPr>
          <w:p w14:paraId="31C15534"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w:t>
            </w:r>
          </w:p>
        </w:tc>
        <w:tc>
          <w:tcPr>
            <w:tcW w:w="4669" w:type="dxa"/>
            <w:tcBorders>
              <w:top w:val="nil"/>
              <w:left w:val="nil"/>
              <w:bottom w:val="single" w:sz="4" w:space="0" w:color="auto"/>
              <w:right w:val="single" w:sz="4" w:space="0" w:color="auto"/>
            </w:tcBorders>
            <w:vAlign w:val="center"/>
          </w:tcPr>
          <w:p w14:paraId="60EE7BB0"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＋2天</w:t>
            </w:r>
          </w:p>
        </w:tc>
      </w:tr>
      <w:tr w:rsidR="002B739A" w14:paraId="3EF611AA"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3E802E5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13</w:t>
            </w:r>
          </w:p>
        </w:tc>
        <w:tc>
          <w:tcPr>
            <w:tcW w:w="2784" w:type="dxa"/>
            <w:tcBorders>
              <w:top w:val="nil"/>
              <w:left w:val="single" w:sz="4" w:space="0" w:color="auto"/>
              <w:bottom w:val="single" w:sz="4" w:space="0" w:color="auto"/>
              <w:right w:val="single" w:sz="4" w:space="0" w:color="auto"/>
            </w:tcBorders>
            <w:vAlign w:val="center"/>
          </w:tcPr>
          <w:p w14:paraId="567EF51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沥青混合料</w:t>
            </w:r>
          </w:p>
        </w:tc>
        <w:tc>
          <w:tcPr>
            <w:tcW w:w="4669" w:type="dxa"/>
            <w:tcBorders>
              <w:top w:val="nil"/>
              <w:left w:val="nil"/>
              <w:bottom w:val="single" w:sz="4" w:space="0" w:color="auto"/>
              <w:right w:val="single" w:sz="4" w:space="0" w:color="auto"/>
            </w:tcBorders>
            <w:vAlign w:val="center"/>
          </w:tcPr>
          <w:p w14:paraId="5F8CFDEB"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＋3天</w:t>
            </w:r>
          </w:p>
        </w:tc>
      </w:tr>
      <w:tr w:rsidR="002B739A" w14:paraId="0B38ACE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11072D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14</w:t>
            </w:r>
          </w:p>
        </w:tc>
        <w:tc>
          <w:tcPr>
            <w:tcW w:w="2784" w:type="dxa"/>
            <w:tcBorders>
              <w:top w:val="nil"/>
              <w:left w:val="single" w:sz="4" w:space="0" w:color="auto"/>
              <w:bottom w:val="single" w:sz="4" w:space="0" w:color="auto"/>
              <w:right w:val="single" w:sz="4" w:space="0" w:color="auto"/>
            </w:tcBorders>
            <w:vAlign w:val="center"/>
          </w:tcPr>
          <w:p w14:paraId="6F11570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w:t>
            </w:r>
            <w:proofErr w:type="gramStart"/>
            <w:r>
              <w:rPr>
                <w:rFonts w:ascii="宋体" w:eastAsia="宋体" w:hAnsi="宋体" w:hint="eastAsia"/>
                <w:color w:val="000000"/>
                <w:kern w:val="0"/>
                <w:sz w:val="21"/>
                <w:szCs w:val="21"/>
              </w:rPr>
              <w:t>砼</w:t>
            </w:r>
            <w:proofErr w:type="gramEnd"/>
            <w:r>
              <w:rPr>
                <w:rFonts w:ascii="宋体" w:eastAsia="宋体" w:hAnsi="宋体" w:hint="eastAsia"/>
                <w:color w:val="000000"/>
                <w:kern w:val="0"/>
                <w:sz w:val="21"/>
                <w:szCs w:val="21"/>
              </w:rPr>
              <w:t>压实度</w:t>
            </w:r>
          </w:p>
        </w:tc>
        <w:tc>
          <w:tcPr>
            <w:tcW w:w="4669" w:type="dxa"/>
            <w:tcBorders>
              <w:top w:val="nil"/>
              <w:left w:val="nil"/>
              <w:bottom w:val="single" w:sz="4" w:space="0" w:color="auto"/>
              <w:right w:val="single" w:sz="4" w:space="0" w:color="auto"/>
            </w:tcBorders>
            <w:vAlign w:val="center"/>
          </w:tcPr>
          <w:p w14:paraId="07455E2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现场检测日＋4天</w:t>
            </w:r>
          </w:p>
        </w:tc>
      </w:tr>
      <w:tr w:rsidR="002B739A" w14:paraId="65980D4C"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84D9AA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15</w:t>
            </w:r>
          </w:p>
        </w:tc>
        <w:tc>
          <w:tcPr>
            <w:tcW w:w="2784" w:type="dxa"/>
            <w:tcBorders>
              <w:top w:val="nil"/>
              <w:left w:val="single" w:sz="4" w:space="0" w:color="auto"/>
              <w:bottom w:val="single" w:sz="4" w:space="0" w:color="auto"/>
              <w:right w:val="single" w:sz="4" w:space="0" w:color="auto"/>
            </w:tcBorders>
            <w:vAlign w:val="center"/>
          </w:tcPr>
          <w:p w14:paraId="743364E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环刀法</w:t>
            </w:r>
          </w:p>
        </w:tc>
        <w:tc>
          <w:tcPr>
            <w:tcW w:w="4669" w:type="dxa"/>
            <w:tcBorders>
              <w:top w:val="nil"/>
              <w:left w:val="nil"/>
              <w:bottom w:val="single" w:sz="4" w:space="0" w:color="auto"/>
              <w:right w:val="single" w:sz="4" w:space="0" w:color="auto"/>
            </w:tcBorders>
            <w:vAlign w:val="center"/>
          </w:tcPr>
          <w:p w14:paraId="72B35A31"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现场检测日＋1天</w:t>
            </w:r>
          </w:p>
        </w:tc>
      </w:tr>
      <w:tr w:rsidR="002B739A" w14:paraId="3D0C34F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543146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16</w:t>
            </w:r>
          </w:p>
        </w:tc>
        <w:tc>
          <w:tcPr>
            <w:tcW w:w="2784" w:type="dxa"/>
            <w:tcBorders>
              <w:top w:val="nil"/>
              <w:left w:val="single" w:sz="4" w:space="0" w:color="auto"/>
              <w:bottom w:val="single" w:sz="4" w:space="0" w:color="auto"/>
              <w:right w:val="single" w:sz="4" w:space="0" w:color="auto"/>
            </w:tcBorders>
            <w:vAlign w:val="center"/>
          </w:tcPr>
          <w:p w14:paraId="497337B8"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灌砂法</w:t>
            </w:r>
            <w:proofErr w:type="gramEnd"/>
          </w:p>
        </w:tc>
        <w:tc>
          <w:tcPr>
            <w:tcW w:w="4669" w:type="dxa"/>
            <w:tcBorders>
              <w:top w:val="nil"/>
              <w:left w:val="nil"/>
              <w:bottom w:val="single" w:sz="4" w:space="0" w:color="auto"/>
              <w:right w:val="single" w:sz="4" w:space="0" w:color="auto"/>
            </w:tcBorders>
            <w:vAlign w:val="center"/>
          </w:tcPr>
          <w:p w14:paraId="642D686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现场检测日＋2天</w:t>
            </w:r>
          </w:p>
        </w:tc>
      </w:tr>
      <w:tr w:rsidR="002B739A" w14:paraId="2F7A131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8584B3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17</w:t>
            </w:r>
          </w:p>
        </w:tc>
        <w:tc>
          <w:tcPr>
            <w:tcW w:w="2784" w:type="dxa"/>
            <w:tcBorders>
              <w:top w:val="nil"/>
              <w:left w:val="single" w:sz="4" w:space="0" w:color="auto"/>
              <w:bottom w:val="single" w:sz="4" w:space="0" w:color="auto"/>
              <w:right w:val="single" w:sz="4" w:space="0" w:color="auto"/>
            </w:tcBorders>
            <w:vAlign w:val="center"/>
          </w:tcPr>
          <w:p w14:paraId="0E491C0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灰剂量</w:t>
            </w:r>
          </w:p>
        </w:tc>
        <w:tc>
          <w:tcPr>
            <w:tcW w:w="4669" w:type="dxa"/>
            <w:tcBorders>
              <w:top w:val="nil"/>
              <w:left w:val="nil"/>
              <w:bottom w:val="single" w:sz="4" w:space="0" w:color="auto"/>
              <w:right w:val="single" w:sz="4" w:space="0" w:color="auto"/>
            </w:tcBorders>
            <w:vAlign w:val="center"/>
          </w:tcPr>
          <w:p w14:paraId="25C5C74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现场检测日＋1天</w:t>
            </w:r>
          </w:p>
        </w:tc>
      </w:tr>
      <w:tr w:rsidR="002B739A" w14:paraId="233A999F"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93AD9E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18</w:t>
            </w:r>
          </w:p>
        </w:tc>
        <w:tc>
          <w:tcPr>
            <w:tcW w:w="2784" w:type="dxa"/>
            <w:tcBorders>
              <w:top w:val="nil"/>
              <w:left w:val="single" w:sz="4" w:space="0" w:color="auto"/>
              <w:bottom w:val="single" w:sz="4" w:space="0" w:color="auto"/>
              <w:right w:val="single" w:sz="4" w:space="0" w:color="auto"/>
            </w:tcBorders>
            <w:vAlign w:val="center"/>
          </w:tcPr>
          <w:p w14:paraId="61C570FE"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无侧限抗压</w:t>
            </w:r>
            <w:proofErr w:type="gramEnd"/>
          </w:p>
        </w:tc>
        <w:tc>
          <w:tcPr>
            <w:tcW w:w="4669" w:type="dxa"/>
            <w:tcBorders>
              <w:top w:val="nil"/>
              <w:left w:val="nil"/>
              <w:bottom w:val="single" w:sz="4" w:space="0" w:color="auto"/>
              <w:right w:val="single" w:sz="4" w:space="0" w:color="auto"/>
            </w:tcBorders>
            <w:vAlign w:val="center"/>
          </w:tcPr>
          <w:p w14:paraId="6E8C9B9C"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＋10天</w:t>
            </w:r>
          </w:p>
        </w:tc>
      </w:tr>
      <w:tr w:rsidR="002B739A" w14:paraId="41FFC87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A243C9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19</w:t>
            </w:r>
          </w:p>
        </w:tc>
        <w:tc>
          <w:tcPr>
            <w:tcW w:w="2784" w:type="dxa"/>
            <w:tcBorders>
              <w:top w:val="nil"/>
              <w:left w:val="single" w:sz="4" w:space="0" w:color="auto"/>
              <w:bottom w:val="single" w:sz="4" w:space="0" w:color="auto"/>
              <w:right w:val="single" w:sz="4" w:space="0" w:color="auto"/>
            </w:tcBorders>
            <w:vAlign w:val="center"/>
          </w:tcPr>
          <w:p w14:paraId="7B35E9F6"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击实</w:t>
            </w:r>
            <w:proofErr w:type="gramEnd"/>
          </w:p>
        </w:tc>
        <w:tc>
          <w:tcPr>
            <w:tcW w:w="4669" w:type="dxa"/>
            <w:tcBorders>
              <w:top w:val="nil"/>
              <w:left w:val="nil"/>
              <w:bottom w:val="single" w:sz="4" w:space="0" w:color="auto"/>
              <w:right w:val="single" w:sz="4" w:space="0" w:color="auto"/>
            </w:tcBorders>
            <w:vAlign w:val="center"/>
          </w:tcPr>
          <w:p w14:paraId="5E5D7289"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＋4天</w:t>
            </w:r>
          </w:p>
        </w:tc>
      </w:tr>
      <w:tr w:rsidR="002B739A" w14:paraId="3831F78F"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CBA36C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20</w:t>
            </w:r>
          </w:p>
        </w:tc>
        <w:tc>
          <w:tcPr>
            <w:tcW w:w="2784" w:type="dxa"/>
            <w:tcBorders>
              <w:top w:val="nil"/>
              <w:left w:val="single" w:sz="4" w:space="0" w:color="auto"/>
              <w:bottom w:val="single" w:sz="4" w:space="0" w:color="auto"/>
              <w:right w:val="single" w:sz="4" w:space="0" w:color="auto"/>
            </w:tcBorders>
            <w:vAlign w:val="center"/>
          </w:tcPr>
          <w:p w14:paraId="5ED436F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石灰剂量标准曲线</w:t>
            </w:r>
          </w:p>
        </w:tc>
        <w:tc>
          <w:tcPr>
            <w:tcW w:w="4669" w:type="dxa"/>
            <w:tcBorders>
              <w:top w:val="nil"/>
              <w:left w:val="nil"/>
              <w:bottom w:val="single" w:sz="4" w:space="0" w:color="auto"/>
              <w:right w:val="single" w:sz="4" w:space="0" w:color="auto"/>
            </w:tcBorders>
            <w:vAlign w:val="center"/>
          </w:tcPr>
          <w:p w14:paraId="0E4CED22"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＋6天</w:t>
            </w:r>
          </w:p>
        </w:tc>
      </w:tr>
      <w:tr w:rsidR="002B739A" w14:paraId="71B69DE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FF30A5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21</w:t>
            </w:r>
          </w:p>
        </w:tc>
        <w:tc>
          <w:tcPr>
            <w:tcW w:w="2784" w:type="dxa"/>
            <w:tcBorders>
              <w:top w:val="nil"/>
              <w:left w:val="single" w:sz="4" w:space="0" w:color="auto"/>
              <w:bottom w:val="single" w:sz="4" w:space="0" w:color="auto"/>
              <w:right w:val="single" w:sz="4" w:space="0" w:color="auto"/>
            </w:tcBorders>
            <w:vAlign w:val="center"/>
          </w:tcPr>
          <w:p w14:paraId="59E123F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石灰钙镁含量</w:t>
            </w:r>
          </w:p>
        </w:tc>
        <w:tc>
          <w:tcPr>
            <w:tcW w:w="4669" w:type="dxa"/>
            <w:tcBorders>
              <w:top w:val="nil"/>
              <w:left w:val="nil"/>
              <w:bottom w:val="single" w:sz="4" w:space="0" w:color="auto"/>
              <w:right w:val="single" w:sz="4" w:space="0" w:color="auto"/>
            </w:tcBorders>
            <w:vAlign w:val="center"/>
          </w:tcPr>
          <w:p w14:paraId="2D2EA682"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＋2天</w:t>
            </w:r>
          </w:p>
        </w:tc>
      </w:tr>
      <w:tr w:rsidR="002B739A" w14:paraId="1997A402"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5D43DC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22</w:t>
            </w:r>
          </w:p>
        </w:tc>
        <w:tc>
          <w:tcPr>
            <w:tcW w:w="2784" w:type="dxa"/>
            <w:tcBorders>
              <w:top w:val="nil"/>
              <w:left w:val="single" w:sz="4" w:space="0" w:color="auto"/>
              <w:bottom w:val="single" w:sz="4" w:space="0" w:color="auto"/>
              <w:right w:val="single" w:sz="4" w:space="0" w:color="auto"/>
            </w:tcBorders>
            <w:vAlign w:val="center"/>
          </w:tcPr>
          <w:p w14:paraId="3A5297D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粉煤灰</w:t>
            </w:r>
          </w:p>
        </w:tc>
        <w:tc>
          <w:tcPr>
            <w:tcW w:w="4669" w:type="dxa"/>
            <w:tcBorders>
              <w:top w:val="nil"/>
              <w:left w:val="nil"/>
              <w:bottom w:val="single" w:sz="4" w:space="0" w:color="auto"/>
              <w:right w:val="single" w:sz="4" w:space="0" w:color="auto"/>
            </w:tcBorders>
            <w:vAlign w:val="center"/>
          </w:tcPr>
          <w:p w14:paraId="0D97F4D1"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＋3天</w:t>
            </w:r>
          </w:p>
        </w:tc>
      </w:tr>
      <w:tr w:rsidR="002B739A" w14:paraId="35717A39"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97BAF6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23</w:t>
            </w:r>
          </w:p>
        </w:tc>
        <w:tc>
          <w:tcPr>
            <w:tcW w:w="2784" w:type="dxa"/>
            <w:tcBorders>
              <w:top w:val="nil"/>
              <w:left w:val="single" w:sz="4" w:space="0" w:color="auto"/>
              <w:bottom w:val="single" w:sz="4" w:space="0" w:color="auto"/>
              <w:right w:val="single" w:sz="4" w:space="0" w:color="auto"/>
            </w:tcBorders>
            <w:vAlign w:val="center"/>
          </w:tcPr>
          <w:p w14:paraId="4904D19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回弹</w:t>
            </w:r>
            <w:proofErr w:type="gramStart"/>
            <w:r>
              <w:rPr>
                <w:rFonts w:ascii="宋体" w:eastAsia="宋体" w:hAnsi="宋体" w:hint="eastAsia"/>
                <w:color w:val="000000"/>
                <w:kern w:val="0"/>
                <w:sz w:val="21"/>
                <w:szCs w:val="21"/>
              </w:rPr>
              <w:t>法测强</w:t>
            </w:r>
            <w:proofErr w:type="gramEnd"/>
          </w:p>
        </w:tc>
        <w:tc>
          <w:tcPr>
            <w:tcW w:w="4669" w:type="dxa"/>
            <w:tcBorders>
              <w:top w:val="nil"/>
              <w:left w:val="nil"/>
              <w:bottom w:val="single" w:sz="4" w:space="0" w:color="auto"/>
              <w:right w:val="single" w:sz="4" w:space="0" w:color="auto"/>
            </w:tcBorders>
            <w:vAlign w:val="center"/>
          </w:tcPr>
          <w:p w14:paraId="58EA740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现场检测日＋2天</w:t>
            </w:r>
          </w:p>
        </w:tc>
      </w:tr>
      <w:tr w:rsidR="002B739A" w14:paraId="010994C3"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D6A9C18"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24</w:t>
            </w:r>
          </w:p>
        </w:tc>
        <w:tc>
          <w:tcPr>
            <w:tcW w:w="2784" w:type="dxa"/>
            <w:tcBorders>
              <w:top w:val="nil"/>
              <w:left w:val="single" w:sz="4" w:space="0" w:color="auto"/>
              <w:bottom w:val="single" w:sz="4" w:space="0" w:color="auto"/>
              <w:right w:val="single" w:sz="4" w:space="0" w:color="auto"/>
            </w:tcBorders>
            <w:vAlign w:val="center"/>
          </w:tcPr>
          <w:p w14:paraId="5DF3382F"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弯沉</w:t>
            </w:r>
            <w:proofErr w:type="gramEnd"/>
          </w:p>
        </w:tc>
        <w:tc>
          <w:tcPr>
            <w:tcW w:w="4669" w:type="dxa"/>
            <w:tcBorders>
              <w:top w:val="nil"/>
              <w:left w:val="nil"/>
              <w:bottom w:val="single" w:sz="4" w:space="0" w:color="auto"/>
              <w:right w:val="single" w:sz="4" w:space="0" w:color="auto"/>
            </w:tcBorders>
            <w:vAlign w:val="center"/>
          </w:tcPr>
          <w:p w14:paraId="56BF3964"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现场检测日＋2天</w:t>
            </w:r>
          </w:p>
        </w:tc>
      </w:tr>
    </w:tbl>
    <w:p w14:paraId="679CB1BD" w14:textId="77777777" w:rsidR="002B739A" w:rsidRDefault="002B739A">
      <w:pPr>
        <w:spacing w:line="400" w:lineRule="exact"/>
        <w:ind w:firstLineChars="200" w:firstLine="422"/>
        <w:jc w:val="center"/>
        <w:rPr>
          <w:rFonts w:ascii="宋体" w:eastAsia="宋体" w:hAnsi="宋体"/>
          <w:b/>
          <w:bCs/>
          <w:sz w:val="21"/>
          <w:szCs w:val="21"/>
          <w:lang w:bidi="ar"/>
        </w:rPr>
        <w:sectPr w:rsidR="002B739A">
          <w:headerReference w:type="default" r:id="rId7"/>
          <w:footerReference w:type="default" r:id="rId8"/>
          <w:pgSz w:w="11907" w:h="16839"/>
          <w:pgMar w:top="1480" w:right="1484" w:bottom="850" w:left="1803" w:header="851" w:footer="992" w:gutter="0"/>
          <w:cols w:space="720"/>
          <w:docGrid w:type="lines" w:linePitch="325"/>
        </w:sectPr>
      </w:pPr>
    </w:p>
    <w:p w14:paraId="015B82A5" w14:textId="77777777" w:rsidR="002B739A" w:rsidRDefault="00BA5BD3">
      <w:pPr>
        <w:pStyle w:val="2"/>
        <w:spacing w:line="360" w:lineRule="auto"/>
        <w:rPr>
          <w:rFonts w:ascii="仿宋" w:eastAsia="仿宋" w:hAnsi="仿宋" w:cs="仿宋"/>
          <w:sz w:val="28"/>
          <w:szCs w:val="28"/>
        </w:rPr>
      </w:pPr>
      <w:r>
        <w:rPr>
          <w:rFonts w:ascii="仿宋" w:eastAsia="仿宋" w:hAnsi="仿宋" w:cs="仿宋" w:hint="eastAsia"/>
          <w:sz w:val="28"/>
          <w:szCs w:val="28"/>
        </w:rPr>
        <w:lastRenderedPageBreak/>
        <w:t>附件：廉政责任书</w:t>
      </w:r>
    </w:p>
    <w:p w14:paraId="2EAFB0DC" w14:textId="3F80BAA3" w:rsidR="002B739A" w:rsidRDefault="00BA5BD3">
      <w:pPr>
        <w:pStyle w:val="ac"/>
        <w:spacing w:afterLines="100" w:after="312" w:afterAutospacing="0" w:line="360" w:lineRule="auto"/>
        <w:ind w:firstLineChars="200" w:firstLine="480"/>
        <w:rPr>
          <w:rFonts w:ascii="仿宋" w:eastAsia="仿宋" w:hAnsi="仿宋" w:cs="仿宋"/>
        </w:rPr>
      </w:pPr>
      <w:r>
        <w:rPr>
          <w:rFonts w:ascii="仿宋" w:eastAsia="仿宋" w:hAnsi="仿宋" w:cs="仿宋" w:hint="eastAsia"/>
        </w:rPr>
        <w:t>甲方：</w:t>
      </w:r>
      <w:r w:rsidR="00491FF9">
        <w:rPr>
          <w:rFonts w:ascii="仿宋" w:eastAsia="仿宋" w:hAnsi="仿宋" w:cs="仿宋" w:hint="eastAsia"/>
          <w:szCs w:val="24"/>
        </w:rPr>
        <w:t>长江龙城科技有限公司</w:t>
      </w:r>
      <w:r>
        <w:rPr>
          <w:rFonts w:ascii="仿宋" w:eastAsia="仿宋" w:hAnsi="仿宋" w:cs="仿宋" w:hint="eastAsia"/>
        </w:rPr>
        <w:t xml:space="preserve">     乙方：</w:t>
      </w:r>
    </w:p>
    <w:p w14:paraId="2520B540" w14:textId="77777777" w:rsidR="002B739A" w:rsidRDefault="00BA5BD3">
      <w:pPr>
        <w:pStyle w:val="ac"/>
        <w:spacing w:before="0" w:beforeAutospacing="0" w:after="0" w:afterAutospacing="0" w:line="360" w:lineRule="auto"/>
        <w:ind w:firstLineChars="200" w:firstLine="480"/>
        <w:rPr>
          <w:rFonts w:ascii="仿宋" w:eastAsia="仿宋" w:hAnsi="仿宋" w:cs="仿宋"/>
        </w:rPr>
      </w:pPr>
      <w:r>
        <w:rPr>
          <w:rFonts w:ascii="仿宋" w:eastAsia="仿宋" w:hAnsi="仿宋" w:cs="仿宋" w:hint="eastAsia"/>
        </w:rPr>
        <w:t>为规范</w:t>
      </w:r>
      <w:r>
        <w:rPr>
          <w:rFonts w:ascii="仿宋" w:eastAsia="仿宋" w:hAnsi="仿宋" w:cs="仿宋" w:hint="eastAsia"/>
          <w:lang w:eastAsia="zh-Hans"/>
        </w:rPr>
        <w:t>合同</w:t>
      </w:r>
      <w:r>
        <w:rPr>
          <w:rFonts w:ascii="仿宋" w:eastAsia="仿宋" w:hAnsi="仿宋" w:cs="仿宋" w:hint="eastAsia"/>
        </w:rPr>
        <w:t>双方的各项活动，防止发生谋取不正当利益的违法违纪行为，根据有关工程建设的法律法规和廉政建设责任规定，特订立本廉政责任书：</w:t>
      </w:r>
    </w:p>
    <w:p w14:paraId="72D6289C"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 xml:space="preserve">本协议所称“关系人”是指近亲属、其他关系密切的亲属、朋友等自然人，有股权等经济联系的法人或其他组织。 </w:t>
      </w:r>
    </w:p>
    <w:p w14:paraId="1CE0CE64"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1、甲乙双方在业务交往中，不论是单位或业务经办人员，均不得以任何形式（如现钞、有价证券、实物等）向对方人员或其他关系人、指定人行贿索贿或给付其他不正当利益。</w:t>
      </w:r>
    </w:p>
    <w:p w14:paraId="775A88CC"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2、甲乙双方均有责任教育本单位人员，禁止在业务活动中索贿、行贿、受贿，并拒绝对方人员的索贿、行贿行为。</w:t>
      </w:r>
    </w:p>
    <w:p w14:paraId="673EFC55"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3、在经济交往中，甲乙双方任何一方给予对方让利（返利）、回扣（佣金）、奖励等，均应在主合同中清楚列明，或以书面形式通知对方，并通过双方财务部门收付结算。</w:t>
      </w:r>
    </w:p>
    <w:p w14:paraId="76633D64"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58371079"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537FE891"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6D09F11E"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7、本责任书作为检测合同的附件，与检测合同具有同等法律效力。本责任书自双方签署后立即生效。</w:t>
      </w:r>
    </w:p>
    <w:p w14:paraId="31740210"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甲方（盖章）：                          乙方（盖章）：</w:t>
      </w:r>
    </w:p>
    <w:p w14:paraId="4A7FE485" w14:textId="77777777" w:rsidR="002B739A" w:rsidRDefault="00BA5BD3">
      <w:pPr>
        <w:pStyle w:val="ac"/>
        <w:spacing w:before="0" w:beforeAutospacing="0" w:after="0" w:afterAutospacing="0" w:line="360" w:lineRule="auto"/>
      </w:pPr>
      <w:r>
        <w:rPr>
          <w:rFonts w:ascii="仿宋" w:eastAsia="仿宋" w:hAnsi="仿宋" w:cs="仿宋" w:hint="eastAsia"/>
          <w:bCs/>
        </w:rPr>
        <w:t xml:space="preserve">       年    月    日                             年    月    日</w:t>
      </w:r>
    </w:p>
    <w:sectPr w:rsidR="002B73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B4CA" w14:textId="77777777" w:rsidR="00101A99" w:rsidRDefault="00BA5BD3">
      <w:r>
        <w:separator/>
      </w:r>
    </w:p>
  </w:endnote>
  <w:endnote w:type="continuationSeparator" w:id="0">
    <w:p w14:paraId="31242527" w14:textId="77777777" w:rsidR="00101A99" w:rsidRDefault="00BA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0C7C" w14:textId="77777777" w:rsidR="002B739A" w:rsidRDefault="00743E8D">
    <w:pPr>
      <w:pStyle w:val="aa"/>
      <w:tabs>
        <w:tab w:val="clear" w:pos="8306"/>
        <w:tab w:val="right" w:pos="8307"/>
      </w:tabs>
      <w:jc w:val="center"/>
    </w:pPr>
    <w:r>
      <w:pict w14:anchorId="4A4D5061">
        <v:shapetype id="_x0000_t202" coordsize="21600,21600" o:spt="202" path="m,l,21600r21600,l21600,xe">
          <v:stroke joinstyle="miter"/>
          <v:path gradientshapeok="t" o:connecttype="rect"/>
        </v:shapetype>
        <v:shape id="文本框 4101" o:spid="_x0000_s1026" type="#_x0000_t202" style="position:absolute;left:0;text-align:left;margin-left:0;margin-top:0;width:2in;height:2in;z-index:251659264;mso-wrap-style:none;mso-position-horizontal:center;mso-position-horizontal-relative:margin;mso-width-relative:page;mso-height-relative:page" filled="f" stroked="f" strokeweight="1.25pt">
          <v:textbox style="mso-fit-shape-to-text:t" inset="0,0,0,0">
            <w:txbxContent>
              <w:p w14:paraId="1FD1B3EE" w14:textId="77777777" w:rsidR="002B739A" w:rsidRDefault="00BA5BD3">
                <w:pPr>
                  <w:pStyle w:val="aa"/>
                  <w:tabs>
                    <w:tab w:val="clear" w:pos="8306"/>
                    <w:tab w:val="right" w:pos="8307"/>
                  </w:tabs>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33</w:t>
                  </w:r>
                </w:fldSimple>
                <w:r>
                  <w:rPr>
                    <w:rFonts w:hint="eastAsia"/>
                  </w:rPr>
                  <w:t xml:space="preserve"> </w:t>
                </w:r>
                <w:r>
                  <w:rPr>
                    <w:rFonts w:hint="eastAsia"/>
                  </w:rPr>
                  <w:t>页</w:t>
                </w:r>
              </w:p>
            </w:txbxContent>
          </v:textbox>
          <w10:wrap anchorx="margin"/>
        </v:shape>
      </w:pict>
    </w:r>
  </w:p>
  <w:p w14:paraId="2862B9CE" w14:textId="77777777" w:rsidR="002B739A" w:rsidRDefault="00BA5BD3">
    <w:pPr>
      <w:pStyle w:val="aa"/>
      <w:tabs>
        <w:tab w:val="left" w:pos="4963"/>
      </w:tabs>
      <w:rPr>
        <w:rFonts w:ascii="楷体_GB2312" w:hAnsi="楷体_GB2312"/>
      </w:rPr>
    </w:pPr>
    <w:r>
      <w:rPr>
        <w:rFonts w:ascii="楷体_GB2312" w:hAnsi="楷体_GB2312" w:hint="eastAsia"/>
      </w:rPr>
      <w:tab/>
    </w:r>
    <w:r>
      <w:rPr>
        <w:rFonts w:ascii="楷体_GB2312" w:hAnsi="楷体_GB2312"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109" w14:textId="77777777" w:rsidR="002B739A" w:rsidRDefault="00743E8D">
    <w:pPr>
      <w:spacing w:before="120" w:after="120"/>
    </w:pPr>
    <w:r>
      <w:pict w14:anchorId="13117567">
        <v:shapetype id="_x0000_t202" coordsize="21600,21600" o:spt="202" path="m,l,21600r21600,l21600,xe">
          <v:stroke joinstyle="miter"/>
          <v:path gradientshapeok="t" o:connecttype="rect"/>
        </v:shapetype>
        <v:shape id="_x0000_s1025" type="#_x0000_t202" style="position:absolute;left:0;text-align:left;margin-left:0;margin-top:0;width:4.6pt;height:11pt;z-index:251660288;mso-wrap-style:none;mso-position-horizontal:center;mso-position-horizontal-relative:margin;mso-width-relative:page;mso-height-relative:page" filled="f" stroked="f">
          <v:textbox style="mso-fit-shape-to-text:t" inset="0,0,0,0">
            <w:txbxContent>
              <w:p w14:paraId="0725D148" w14:textId="77777777" w:rsidR="002B739A" w:rsidRDefault="00BA5BD3">
                <w:pPr>
                  <w:pStyle w:val="aa"/>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3AAF" w14:textId="77777777" w:rsidR="00101A99" w:rsidRDefault="00BA5BD3">
      <w:r>
        <w:separator/>
      </w:r>
    </w:p>
  </w:footnote>
  <w:footnote w:type="continuationSeparator" w:id="0">
    <w:p w14:paraId="270904FF" w14:textId="77777777" w:rsidR="00101A99" w:rsidRDefault="00BA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CA05" w14:textId="77777777" w:rsidR="002B739A" w:rsidRDefault="002B739A">
    <w:pPr>
      <w:pStyle w:val="ab"/>
      <w:tabs>
        <w:tab w:val="clear" w:pos="8306"/>
        <w:tab w:val="right" w:pos="8307"/>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UzMWU3ZjU5M2FmOWUxZGYyNjUzMGQyNDA4MTZiNGYifQ=="/>
  </w:docVars>
  <w:rsids>
    <w:rsidRoot w:val="0032030F"/>
    <w:rsid w:val="0007571E"/>
    <w:rsid w:val="000A4CB6"/>
    <w:rsid w:val="00101A99"/>
    <w:rsid w:val="001A0416"/>
    <w:rsid w:val="001B0B88"/>
    <w:rsid w:val="0021794C"/>
    <w:rsid w:val="00237639"/>
    <w:rsid w:val="00287282"/>
    <w:rsid w:val="002B739A"/>
    <w:rsid w:val="002F217B"/>
    <w:rsid w:val="0032030F"/>
    <w:rsid w:val="00382909"/>
    <w:rsid w:val="004451A8"/>
    <w:rsid w:val="00491FF9"/>
    <w:rsid w:val="005111A1"/>
    <w:rsid w:val="00554C72"/>
    <w:rsid w:val="006663B2"/>
    <w:rsid w:val="00667FFD"/>
    <w:rsid w:val="006B2557"/>
    <w:rsid w:val="006F58D5"/>
    <w:rsid w:val="00743E8D"/>
    <w:rsid w:val="00772722"/>
    <w:rsid w:val="007774F8"/>
    <w:rsid w:val="007C591E"/>
    <w:rsid w:val="008016F5"/>
    <w:rsid w:val="00880724"/>
    <w:rsid w:val="008A43EF"/>
    <w:rsid w:val="008C17B9"/>
    <w:rsid w:val="00937922"/>
    <w:rsid w:val="0099678F"/>
    <w:rsid w:val="009B4127"/>
    <w:rsid w:val="009E723C"/>
    <w:rsid w:val="009F2FFF"/>
    <w:rsid w:val="009F37CF"/>
    <w:rsid w:val="00A20179"/>
    <w:rsid w:val="00AE2B11"/>
    <w:rsid w:val="00B103C2"/>
    <w:rsid w:val="00B24233"/>
    <w:rsid w:val="00B4200E"/>
    <w:rsid w:val="00B42031"/>
    <w:rsid w:val="00B55358"/>
    <w:rsid w:val="00BA5BD3"/>
    <w:rsid w:val="00BB2FDE"/>
    <w:rsid w:val="00C14ADF"/>
    <w:rsid w:val="00C761E6"/>
    <w:rsid w:val="00D15EE3"/>
    <w:rsid w:val="00D43297"/>
    <w:rsid w:val="00DB7459"/>
    <w:rsid w:val="00DD1FEA"/>
    <w:rsid w:val="00DF5DBE"/>
    <w:rsid w:val="00E03686"/>
    <w:rsid w:val="00E065AC"/>
    <w:rsid w:val="00E81007"/>
    <w:rsid w:val="00E826B9"/>
    <w:rsid w:val="00F0016F"/>
    <w:rsid w:val="00F57C11"/>
    <w:rsid w:val="00FA2B6F"/>
    <w:rsid w:val="01025795"/>
    <w:rsid w:val="01116F26"/>
    <w:rsid w:val="01207110"/>
    <w:rsid w:val="018C3E02"/>
    <w:rsid w:val="01F410CB"/>
    <w:rsid w:val="02221B32"/>
    <w:rsid w:val="022D7A0A"/>
    <w:rsid w:val="02993F58"/>
    <w:rsid w:val="02FC6355"/>
    <w:rsid w:val="031F2F06"/>
    <w:rsid w:val="03594463"/>
    <w:rsid w:val="037E0616"/>
    <w:rsid w:val="03836DF5"/>
    <w:rsid w:val="038A52C3"/>
    <w:rsid w:val="03B8749A"/>
    <w:rsid w:val="03D10854"/>
    <w:rsid w:val="03D17834"/>
    <w:rsid w:val="03D76653"/>
    <w:rsid w:val="04471DCF"/>
    <w:rsid w:val="046E7A38"/>
    <w:rsid w:val="0482060F"/>
    <w:rsid w:val="04AC0B46"/>
    <w:rsid w:val="05244BF3"/>
    <w:rsid w:val="05BE1C4E"/>
    <w:rsid w:val="062C4437"/>
    <w:rsid w:val="067B1C86"/>
    <w:rsid w:val="06A109A1"/>
    <w:rsid w:val="07212E78"/>
    <w:rsid w:val="0731103E"/>
    <w:rsid w:val="073D64E0"/>
    <w:rsid w:val="07431239"/>
    <w:rsid w:val="07F55003"/>
    <w:rsid w:val="08020F5C"/>
    <w:rsid w:val="08D6044C"/>
    <w:rsid w:val="091C32AD"/>
    <w:rsid w:val="092439F1"/>
    <w:rsid w:val="09246A2B"/>
    <w:rsid w:val="09531BF2"/>
    <w:rsid w:val="09562AAA"/>
    <w:rsid w:val="097A215D"/>
    <w:rsid w:val="09A935A9"/>
    <w:rsid w:val="09FB27EA"/>
    <w:rsid w:val="0A1333A6"/>
    <w:rsid w:val="0A5551A0"/>
    <w:rsid w:val="0AD262D9"/>
    <w:rsid w:val="0B06700E"/>
    <w:rsid w:val="0B2F62FD"/>
    <w:rsid w:val="0B6175DE"/>
    <w:rsid w:val="0B751976"/>
    <w:rsid w:val="0BCF2C31"/>
    <w:rsid w:val="0CA30E26"/>
    <w:rsid w:val="0CDF0368"/>
    <w:rsid w:val="0CF26E6C"/>
    <w:rsid w:val="0CF77F97"/>
    <w:rsid w:val="0D322163"/>
    <w:rsid w:val="0D7678A7"/>
    <w:rsid w:val="0D884530"/>
    <w:rsid w:val="0DC3019B"/>
    <w:rsid w:val="0F0F02E3"/>
    <w:rsid w:val="0F20708E"/>
    <w:rsid w:val="0F366A19"/>
    <w:rsid w:val="0F545E17"/>
    <w:rsid w:val="0F5C6173"/>
    <w:rsid w:val="0FCE4BC5"/>
    <w:rsid w:val="0FF358EF"/>
    <w:rsid w:val="1002730D"/>
    <w:rsid w:val="10121B29"/>
    <w:rsid w:val="10746978"/>
    <w:rsid w:val="1084636A"/>
    <w:rsid w:val="109B5D2A"/>
    <w:rsid w:val="1131118D"/>
    <w:rsid w:val="11667802"/>
    <w:rsid w:val="11BC6C3D"/>
    <w:rsid w:val="11D83BD7"/>
    <w:rsid w:val="11EB5E44"/>
    <w:rsid w:val="12130665"/>
    <w:rsid w:val="121B576D"/>
    <w:rsid w:val="122C2AF3"/>
    <w:rsid w:val="126A2CC8"/>
    <w:rsid w:val="12723B45"/>
    <w:rsid w:val="130D5E3C"/>
    <w:rsid w:val="13135246"/>
    <w:rsid w:val="145B2B45"/>
    <w:rsid w:val="145C28AD"/>
    <w:rsid w:val="14B814E0"/>
    <w:rsid w:val="14D23A3A"/>
    <w:rsid w:val="15032E6B"/>
    <w:rsid w:val="15475C46"/>
    <w:rsid w:val="159934D6"/>
    <w:rsid w:val="15BD01E2"/>
    <w:rsid w:val="15D55C6E"/>
    <w:rsid w:val="15E75CD3"/>
    <w:rsid w:val="15F23DBE"/>
    <w:rsid w:val="15FA563E"/>
    <w:rsid w:val="1615013E"/>
    <w:rsid w:val="165410C6"/>
    <w:rsid w:val="166C5148"/>
    <w:rsid w:val="16737225"/>
    <w:rsid w:val="16D470EC"/>
    <w:rsid w:val="16E1113F"/>
    <w:rsid w:val="1700487A"/>
    <w:rsid w:val="17710C68"/>
    <w:rsid w:val="17942450"/>
    <w:rsid w:val="17950B39"/>
    <w:rsid w:val="179A3120"/>
    <w:rsid w:val="17CA5657"/>
    <w:rsid w:val="189A64DC"/>
    <w:rsid w:val="19154CF9"/>
    <w:rsid w:val="194C72A6"/>
    <w:rsid w:val="19580C6A"/>
    <w:rsid w:val="195F5FC5"/>
    <w:rsid w:val="19BA363A"/>
    <w:rsid w:val="19F5014C"/>
    <w:rsid w:val="1A2F5A1A"/>
    <w:rsid w:val="1A6D6F89"/>
    <w:rsid w:val="1ABB476E"/>
    <w:rsid w:val="1B025B54"/>
    <w:rsid w:val="1B1A76C3"/>
    <w:rsid w:val="1B5322FA"/>
    <w:rsid w:val="1B6465DE"/>
    <w:rsid w:val="1BBB32BE"/>
    <w:rsid w:val="1C05552A"/>
    <w:rsid w:val="1C256F2E"/>
    <w:rsid w:val="1C4656B1"/>
    <w:rsid w:val="1C4C14AC"/>
    <w:rsid w:val="1C736FB7"/>
    <w:rsid w:val="1C8C482E"/>
    <w:rsid w:val="1C9B1BC3"/>
    <w:rsid w:val="1CA23241"/>
    <w:rsid w:val="1CC76057"/>
    <w:rsid w:val="1D524E6F"/>
    <w:rsid w:val="1D5E3816"/>
    <w:rsid w:val="1DD45081"/>
    <w:rsid w:val="1E1203A7"/>
    <w:rsid w:val="1E391DB3"/>
    <w:rsid w:val="1E527BF8"/>
    <w:rsid w:val="1EC06402"/>
    <w:rsid w:val="1EE26287"/>
    <w:rsid w:val="1FB9547E"/>
    <w:rsid w:val="1FC63802"/>
    <w:rsid w:val="1FEB32A5"/>
    <w:rsid w:val="2005602C"/>
    <w:rsid w:val="21282561"/>
    <w:rsid w:val="21313936"/>
    <w:rsid w:val="214A11C7"/>
    <w:rsid w:val="217F5286"/>
    <w:rsid w:val="21965FC2"/>
    <w:rsid w:val="219F68E6"/>
    <w:rsid w:val="21A67E6B"/>
    <w:rsid w:val="21C529BD"/>
    <w:rsid w:val="21E3598C"/>
    <w:rsid w:val="22083A4E"/>
    <w:rsid w:val="220C2BA5"/>
    <w:rsid w:val="222B5958"/>
    <w:rsid w:val="22833678"/>
    <w:rsid w:val="231952B2"/>
    <w:rsid w:val="23C33791"/>
    <w:rsid w:val="23CE5DB6"/>
    <w:rsid w:val="24DB6334"/>
    <w:rsid w:val="24EA57BE"/>
    <w:rsid w:val="24F26F29"/>
    <w:rsid w:val="24F8603D"/>
    <w:rsid w:val="25503E72"/>
    <w:rsid w:val="25764991"/>
    <w:rsid w:val="25B755A8"/>
    <w:rsid w:val="25F97F2E"/>
    <w:rsid w:val="25FF7D86"/>
    <w:rsid w:val="26181958"/>
    <w:rsid w:val="26995D74"/>
    <w:rsid w:val="26A13150"/>
    <w:rsid w:val="26EF4670"/>
    <w:rsid w:val="27041AED"/>
    <w:rsid w:val="271F40B9"/>
    <w:rsid w:val="27BC6500"/>
    <w:rsid w:val="27FA392D"/>
    <w:rsid w:val="28642123"/>
    <w:rsid w:val="288E41B3"/>
    <w:rsid w:val="28977A0D"/>
    <w:rsid w:val="28AE2B3E"/>
    <w:rsid w:val="28E76FDC"/>
    <w:rsid w:val="290175DB"/>
    <w:rsid w:val="292F44DF"/>
    <w:rsid w:val="2A121458"/>
    <w:rsid w:val="2A591232"/>
    <w:rsid w:val="2AF61758"/>
    <w:rsid w:val="2B285E99"/>
    <w:rsid w:val="2B6439F9"/>
    <w:rsid w:val="2B7778D2"/>
    <w:rsid w:val="2B856114"/>
    <w:rsid w:val="2BAF00A4"/>
    <w:rsid w:val="2C074287"/>
    <w:rsid w:val="2C0C1D39"/>
    <w:rsid w:val="2C761420"/>
    <w:rsid w:val="2C970E0A"/>
    <w:rsid w:val="2D212835"/>
    <w:rsid w:val="2D324275"/>
    <w:rsid w:val="2D7C3025"/>
    <w:rsid w:val="2E003310"/>
    <w:rsid w:val="2E0423DE"/>
    <w:rsid w:val="2E071A72"/>
    <w:rsid w:val="2E092675"/>
    <w:rsid w:val="2E491446"/>
    <w:rsid w:val="2F172D50"/>
    <w:rsid w:val="2FB3004A"/>
    <w:rsid w:val="30216C58"/>
    <w:rsid w:val="302D77A5"/>
    <w:rsid w:val="3055678F"/>
    <w:rsid w:val="30AC28B9"/>
    <w:rsid w:val="31D976DD"/>
    <w:rsid w:val="327764EB"/>
    <w:rsid w:val="328B3921"/>
    <w:rsid w:val="33747AD9"/>
    <w:rsid w:val="337E4C6F"/>
    <w:rsid w:val="3382448B"/>
    <w:rsid w:val="34596B22"/>
    <w:rsid w:val="3489748C"/>
    <w:rsid w:val="34BE699E"/>
    <w:rsid w:val="34C41862"/>
    <w:rsid w:val="3504018F"/>
    <w:rsid w:val="350807AB"/>
    <w:rsid w:val="350B5E00"/>
    <w:rsid w:val="356F43D3"/>
    <w:rsid w:val="35CC222B"/>
    <w:rsid w:val="35F76C8B"/>
    <w:rsid w:val="35F97050"/>
    <w:rsid w:val="36190F5A"/>
    <w:rsid w:val="36551602"/>
    <w:rsid w:val="373653FE"/>
    <w:rsid w:val="375F703F"/>
    <w:rsid w:val="38A72102"/>
    <w:rsid w:val="38EE0B01"/>
    <w:rsid w:val="39EC7DA7"/>
    <w:rsid w:val="3A140581"/>
    <w:rsid w:val="3A3811B3"/>
    <w:rsid w:val="3A3B3635"/>
    <w:rsid w:val="3A47143D"/>
    <w:rsid w:val="3A7E52C6"/>
    <w:rsid w:val="3A885B1B"/>
    <w:rsid w:val="3A8F302F"/>
    <w:rsid w:val="3A981E05"/>
    <w:rsid w:val="3AE534A0"/>
    <w:rsid w:val="3B07651A"/>
    <w:rsid w:val="3B427ACE"/>
    <w:rsid w:val="3B665138"/>
    <w:rsid w:val="3BAE6C11"/>
    <w:rsid w:val="3BCC2751"/>
    <w:rsid w:val="3C222383"/>
    <w:rsid w:val="3C4A76CA"/>
    <w:rsid w:val="3D425A7B"/>
    <w:rsid w:val="3D560F56"/>
    <w:rsid w:val="3D925FE0"/>
    <w:rsid w:val="3DA42A8A"/>
    <w:rsid w:val="3DF71821"/>
    <w:rsid w:val="3E6F5E93"/>
    <w:rsid w:val="3EE4431F"/>
    <w:rsid w:val="3F0C6451"/>
    <w:rsid w:val="3F357D4C"/>
    <w:rsid w:val="3F6C69B1"/>
    <w:rsid w:val="3FD845DF"/>
    <w:rsid w:val="402A305A"/>
    <w:rsid w:val="40453386"/>
    <w:rsid w:val="405668CB"/>
    <w:rsid w:val="40640609"/>
    <w:rsid w:val="40845DEA"/>
    <w:rsid w:val="41366AAF"/>
    <w:rsid w:val="41727331"/>
    <w:rsid w:val="418D6A26"/>
    <w:rsid w:val="41D6621F"/>
    <w:rsid w:val="41F0518A"/>
    <w:rsid w:val="4278456D"/>
    <w:rsid w:val="429D7C4D"/>
    <w:rsid w:val="42A521DE"/>
    <w:rsid w:val="42C56CD2"/>
    <w:rsid w:val="43421586"/>
    <w:rsid w:val="43503578"/>
    <w:rsid w:val="439E72A0"/>
    <w:rsid w:val="444E0A1A"/>
    <w:rsid w:val="44874F8D"/>
    <w:rsid w:val="44B130F4"/>
    <w:rsid w:val="44C822B2"/>
    <w:rsid w:val="44D0010B"/>
    <w:rsid w:val="452C1A37"/>
    <w:rsid w:val="45323D7E"/>
    <w:rsid w:val="453520CA"/>
    <w:rsid w:val="45467A41"/>
    <w:rsid w:val="454C1F54"/>
    <w:rsid w:val="45A04889"/>
    <w:rsid w:val="45B26678"/>
    <w:rsid w:val="46021F53"/>
    <w:rsid w:val="46221E0A"/>
    <w:rsid w:val="46965C7D"/>
    <w:rsid w:val="46FA2F8E"/>
    <w:rsid w:val="47287203"/>
    <w:rsid w:val="472E4B4E"/>
    <w:rsid w:val="4741471A"/>
    <w:rsid w:val="47534907"/>
    <w:rsid w:val="47760AF6"/>
    <w:rsid w:val="47884324"/>
    <w:rsid w:val="489F0A3A"/>
    <w:rsid w:val="48C541DB"/>
    <w:rsid w:val="48C95EC1"/>
    <w:rsid w:val="48DB1BF9"/>
    <w:rsid w:val="492F7F62"/>
    <w:rsid w:val="49891591"/>
    <w:rsid w:val="4A352B3D"/>
    <w:rsid w:val="4A3E5C0B"/>
    <w:rsid w:val="4A630034"/>
    <w:rsid w:val="4A6E6213"/>
    <w:rsid w:val="4AD16F6D"/>
    <w:rsid w:val="4B4072EA"/>
    <w:rsid w:val="4B5C741E"/>
    <w:rsid w:val="4B987323"/>
    <w:rsid w:val="4C994C92"/>
    <w:rsid w:val="4D287A01"/>
    <w:rsid w:val="4D9E2F2A"/>
    <w:rsid w:val="4DA64760"/>
    <w:rsid w:val="4DB5055A"/>
    <w:rsid w:val="4DCD26C4"/>
    <w:rsid w:val="4DDD5EE9"/>
    <w:rsid w:val="4DEC0E4B"/>
    <w:rsid w:val="4E216E96"/>
    <w:rsid w:val="4E307D4A"/>
    <w:rsid w:val="4E4018EC"/>
    <w:rsid w:val="4E8D7828"/>
    <w:rsid w:val="4EB2728F"/>
    <w:rsid w:val="4ED81819"/>
    <w:rsid w:val="4EDD38FD"/>
    <w:rsid w:val="4EF378AE"/>
    <w:rsid w:val="4F7F76BE"/>
    <w:rsid w:val="4F834E48"/>
    <w:rsid w:val="4FC14AB1"/>
    <w:rsid w:val="4FC81AFD"/>
    <w:rsid w:val="4FCD2D17"/>
    <w:rsid w:val="4FDF0590"/>
    <w:rsid w:val="4FFA6D45"/>
    <w:rsid w:val="50141FEE"/>
    <w:rsid w:val="50D06AAE"/>
    <w:rsid w:val="50E77FB4"/>
    <w:rsid w:val="50EA053D"/>
    <w:rsid w:val="51056CB1"/>
    <w:rsid w:val="51160CCC"/>
    <w:rsid w:val="51213C3C"/>
    <w:rsid w:val="51CE738D"/>
    <w:rsid w:val="520310EA"/>
    <w:rsid w:val="52453CE7"/>
    <w:rsid w:val="5263442D"/>
    <w:rsid w:val="52893EDE"/>
    <w:rsid w:val="52CE4800"/>
    <w:rsid w:val="52DD706E"/>
    <w:rsid w:val="5321342C"/>
    <w:rsid w:val="538C2DFB"/>
    <w:rsid w:val="53C22AE8"/>
    <w:rsid w:val="54065D39"/>
    <w:rsid w:val="544E2A00"/>
    <w:rsid w:val="545D4C79"/>
    <w:rsid w:val="54E424ED"/>
    <w:rsid w:val="54F85CB2"/>
    <w:rsid w:val="550C72DE"/>
    <w:rsid w:val="55103D08"/>
    <w:rsid w:val="55396632"/>
    <w:rsid w:val="561A60FB"/>
    <w:rsid w:val="56626D3B"/>
    <w:rsid w:val="5672086A"/>
    <w:rsid w:val="56A17665"/>
    <w:rsid w:val="56F2058A"/>
    <w:rsid w:val="57030451"/>
    <w:rsid w:val="57147FB9"/>
    <w:rsid w:val="5777755E"/>
    <w:rsid w:val="57786924"/>
    <w:rsid w:val="57827D28"/>
    <w:rsid w:val="578B5159"/>
    <w:rsid w:val="57A30C58"/>
    <w:rsid w:val="57DA7B88"/>
    <w:rsid w:val="58756EB9"/>
    <w:rsid w:val="58C138CB"/>
    <w:rsid w:val="58D61715"/>
    <w:rsid w:val="58DD1986"/>
    <w:rsid w:val="58F81B4E"/>
    <w:rsid w:val="5902295A"/>
    <w:rsid w:val="591112FE"/>
    <w:rsid w:val="59507C98"/>
    <w:rsid w:val="596121A6"/>
    <w:rsid w:val="59A317B3"/>
    <w:rsid w:val="59A91E1E"/>
    <w:rsid w:val="59E8512E"/>
    <w:rsid w:val="5A3A4207"/>
    <w:rsid w:val="5A95448B"/>
    <w:rsid w:val="5A9C267B"/>
    <w:rsid w:val="5B5460B9"/>
    <w:rsid w:val="5B5D40B3"/>
    <w:rsid w:val="5B7025B1"/>
    <w:rsid w:val="5BAA3836"/>
    <w:rsid w:val="5BD87887"/>
    <w:rsid w:val="5BF44F90"/>
    <w:rsid w:val="5C8073A7"/>
    <w:rsid w:val="5C8F2084"/>
    <w:rsid w:val="5CA66226"/>
    <w:rsid w:val="5CFE5AC7"/>
    <w:rsid w:val="5D0061FF"/>
    <w:rsid w:val="5D09569C"/>
    <w:rsid w:val="5D130D58"/>
    <w:rsid w:val="5DD8522C"/>
    <w:rsid w:val="5DE441D8"/>
    <w:rsid w:val="5DEC3AB3"/>
    <w:rsid w:val="5E323ADB"/>
    <w:rsid w:val="5E9C5EF4"/>
    <w:rsid w:val="5ECF1691"/>
    <w:rsid w:val="5F4C6B5F"/>
    <w:rsid w:val="5F5E5D52"/>
    <w:rsid w:val="601A464D"/>
    <w:rsid w:val="60F147DA"/>
    <w:rsid w:val="60F72880"/>
    <w:rsid w:val="615508E7"/>
    <w:rsid w:val="61DA2DBA"/>
    <w:rsid w:val="61F23C56"/>
    <w:rsid w:val="61F928B2"/>
    <w:rsid w:val="61FA1B5A"/>
    <w:rsid w:val="624207EC"/>
    <w:rsid w:val="62561CA4"/>
    <w:rsid w:val="627B3902"/>
    <w:rsid w:val="62D52673"/>
    <w:rsid w:val="62D74D60"/>
    <w:rsid w:val="62E105D1"/>
    <w:rsid w:val="63815105"/>
    <w:rsid w:val="63D83AF0"/>
    <w:rsid w:val="64633986"/>
    <w:rsid w:val="648F5B16"/>
    <w:rsid w:val="65BD6380"/>
    <w:rsid w:val="65EB661F"/>
    <w:rsid w:val="663359B6"/>
    <w:rsid w:val="666B40A1"/>
    <w:rsid w:val="669873A3"/>
    <w:rsid w:val="669F6B7C"/>
    <w:rsid w:val="66E616F9"/>
    <w:rsid w:val="687E77F6"/>
    <w:rsid w:val="68B27307"/>
    <w:rsid w:val="69244972"/>
    <w:rsid w:val="696F15A9"/>
    <w:rsid w:val="6997470C"/>
    <w:rsid w:val="69D62762"/>
    <w:rsid w:val="69E6587C"/>
    <w:rsid w:val="6A4C22C2"/>
    <w:rsid w:val="6AAF2DBD"/>
    <w:rsid w:val="6AC5131F"/>
    <w:rsid w:val="6ACD6D6F"/>
    <w:rsid w:val="6B3153C9"/>
    <w:rsid w:val="6B476522"/>
    <w:rsid w:val="6B937F01"/>
    <w:rsid w:val="6BD33EF9"/>
    <w:rsid w:val="6C007929"/>
    <w:rsid w:val="6CB20B97"/>
    <w:rsid w:val="6CED1CB3"/>
    <w:rsid w:val="6D04027A"/>
    <w:rsid w:val="6D45226A"/>
    <w:rsid w:val="6D962E2B"/>
    <w:rsid w:val="6DAC1227"/>
    <w:rsid w:val="6DC94FD2"/>
    <w:rsid w:val="6E18440B"/>
    <w:rsid w:val="6E492C2B"/>
    <w:rsid w:val="6E8A180F"/>
    <w:rsid w:val="6EBE76C9"/>
    <w:rsid w:val="6EF2535F"/>
    <w:rsid w:val="6F393E51"/>
    <w:rsid w:val="700A7902"/>
    <w:rsid w:val="70233DB7"/>
    <w:rsid w:val="70577101"/>
    <w:rsid w:val="70736769"/>
    <w:rsid w:val="7086353A"/>
    <w:rsid w:val="709D41E7"/>
    <w:rsid w:val="70A64653"/>
    <w:rsid w:val="710779B8"/>
    <w:rsid w:val="7168145F"/>
    <w:rsid w:val="718309D2"/>
    <w:rsid w:val="72695AD3"/>
    <w:rsid w:val="73495E4B"/>
    <w:rsid w:val="736475CF"/>
    <w:rsid w:val="73916848"/>
    <w:rsid w:val="73F31F2B"/>
    <w:rsid w:val="7457362D"/>
    <w:rsid w:val="74600FBD"/>
    <w:rsid w:val="74810658"/>
    <w:rsid w:val="74C11FE8"/>
    <w:rsid w:val="74D3631E"/>
    <w:rsid w:val="74E1210B"/>
    <w:rsid w:val="74F95C59"/>
    <w:rsid w:val="75252788"/>
    <w:rsid w:val="75571C31"/>
    <w:rsid w:val="757367BC"/>
    <w:rsid w:val="75877B44"/>
    <w:rsid w:val="75FC0742"/>
    <w:rsid w:val="760012B5"/>
    <w:rsid w:val="76080E13"/>
    <w:rsid w:val="7623481D"/>
    <w:rsid w:val="77093CEF"/>
    <w:rsid w:val="777D2E66"/>
    <w:rsid w:val="782627F6"/>
    <w:rsid w:val="7857720B"/>
    <w:rsid w:val="78796E9E"/>
    <w:rsid w:val="78877781"/>
    <w:rsid w:val="78882C86"/>
    <w:rsid w:val="79336CA0"/>
    <w:rsid w:val="797D3F70"/>
    <w:rsid w:val="79BF5AA1"/>
    <w:rsid w:val="7A1605F1"/>
    <w:rsid w:val="7A535D8E"/>
    <w:rsid w:val="7A8309DC"/>
    <w:rsid w:val="7AC777FB"/>
    <w:rsid w:val="7ADE1287"/>
    <w:rsid w:val="7B2E3B71"/>
    <w:rsid w:val="7B99333E"/>
    <w:rsid w:val="7C683A6F"/>
    <w:rsid w:val="7C7317A6"/>
    <w:rsid w:val="7CC3658D"/>
    <w:rsid w:val="7D9C653A"/>
    <w:rsid w:val="7DD94468"/>
    <w:rsid w:val="7EF86952"/>
    <w:rsid w:val="7F010572"/>
    <w:rsid w:val="7F1259D2"/>
    <w:rsid w:val="7F3A23A3"/>
    <w:rsid w:val="7F450245"/>
    <w:rsid w:val="7F8F0D12"/>
    <w:rsid w:val="7F9379F2"/>
    <w:rsid w:val="7FC87CAB"/>
    <w:rsid w:val="7FE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7BAAA"/>
  <w15:docId w15:val="{EB33C99C-1809-47F4-8144-7F2C9BE2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宋体"/>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spacing w:line="360" w:lineRule="auto"/>
      <w:outlineLvl w:val="3"/>
    </w:pPr>
    <w:rPr>
      <w:rFonts w:ascii="Arial" w:hAnsi="Arial"/>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uiPriority w:val="99"/>
    <w:unhideWhenUsed/>
    <w:qFormat/>
    <w:rPr>
      <w:rFonts w:ascii="宋体"/>
      <w:sz w:val="18"/>
      <w:szCs w:val="18"/>
    </w:rPr>
  </w:style>
  <w:style w:type="paragraph" w:styleId="a1">
    <w:name w:val="Normal Indent"/>
    <w:basedOn w:val="a"/>
    <w:next w:val="a"/>
    <w:uiPriority w:val="99"/>
    <w:semiHidden/>
    <w:unhideWhenUsed/>
    <w:qFormat/>
    <w:pPr>
      <w:ind w:firstLineChars="200" w:firstLine="420"/>
    </w:pPr>
  </w:style>
  <w:style w:type="paragraph" w:styleId="a5">
    <w:name w:val="Body Text"/>
    <w:basedOn w:val="a"/>
    <w:next w:val="a"/>
    <w:unhideWhenUsed/>
    <w:qFormat/>
    <w:pPr>
      <w:spacing w:after="120"/>
    </w:pPr>
  </w:style>
  <w:style w:type="paragraph" w:styleId="a6">
    <w:name w:val="Body Text Indent"/>
    <w:basedOn w:val="a"/>
    <w:next w:val="a"/>
    <w:qFormat/>
    <w:pPr>
      <w:spacing w:after="120"/>
      <w:ind w:leftChars="200" w:left="420"/>
    </w:pPr>
    <w:rPr>
      <w:rFonts w:ascii="Times New Roman" w:hAnsi="Times New Roman"/>
      <w:kern w:val="0"/>
      <w:sz w:val="20"/>
      <w:szCs w:val="24"/>
    </w:rPr>
  </w:style>
  <w:style w:type="paragraph" w:styleId="a7">
    <w:name w:val="Plain Text"/>
    <w:basedOn w:val="a"/>
    <w:next w:val="a1"/>
    <w:qFormat/>
    <w:rPr>
      <w:rFonts w:ascii="宋体" w:hAnsi="Courier New"/>
      <w:szCs w:val="20"/>
    </w:rPr>
  </w:style>
  <w:style w:type="paragraph" w:styleId="a8">
    <w:name w:val="Balloon Text"/>
    <w:basedOn w:val="a"/>
    <w:link w:val="a9"/>
    <w:uiPriority w:val="99"/>
    <w:semiHidden/>
    <w:unhideWhenUsed/>
    <w:qFormat/>
    <w:rPr>
      <w:sz w:val="18"/>
      <w:szCs w:val="18"/>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qFormat/>
    <w:pPr>
      <w:spacing w:before="100" w:beforeAutospacing="1" w:after="100" w:afterAutospacing="1"/>
    </w:pPr>
    <w:rPr>
      <w:sz w:val="24"/>
    </w:rPr>
  </w:style>
  <w:style w:type="paragraph" w:styleId="20">
    <w:name w:val="Body Text First Indent 2"/>
    <w:basedOn w:val="a"/>
    <w:next w:val="a"/>
    <w:qFormat/>
    <w:pPr>
      <w:ind w:firstLine="420"/>
    </w:pPr>
    <w:rPr>
      <w:rFonts w:ascii="Times New Roman" w:eastAsia="宋体" w:hAnsi="Times New Roman" w:cs="Times New Roman"/>
    </w:rPr>
  </w:style>
  <w:style w:type="table" w:styleId="ad">
    <w:name w:val="Table Grid"/>
    <w:basedOn w:val="a3"/>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2"/>
    <w:uiPriority w:val="20"/>
    <w:qFormat/>
    <w:rPr>
      <w:i/>
      <w:iCs/>
    </w:rPr>
  </w:style>
  <w:style w:type="character" w:styleId="af">
    <w:name w:val="Hyperlink"/>
    <w:basedOn w:val="a2"/>
    <w:uiPriority w:val="99"/>
    <w:semiHidden/>
    <w:unhideWhenUsed/>
    <w:qFormat/>
    <w:rPr>
      <w:color w:val="0000FF"/>
      <w:u w:val="single"/>
    </w:rPr>
  </w:style>
  <w:style w:type="character" w:styleId="af0">
    <w:name w:val="annotation reference"/>
    <w:unhideWhenUsed/>
    <w:qFormat/>
    <w:rPr>
      <w:sz w:val="21"/>
      <w:szCs w:val="21"/>
    </w:rPr>
  </w:style>
  <w:style w:type="paragraph" w:customStyle="1" w:styleId="af1">
    <w:name w:val="Í¼±íÕýÎÄ"/>
    <w:basedOn w:val="a"/>
    <w:next w:val="a1"/>
    <w:qFormat/>
    <w:pPr>
      <w:ind w:firstLineChars="200" w:firstLine="420"/>
    </w:pPr>
    <w:rPr>
      <w:sz w:val="24"/>
      <w:szCs w:val="2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af2">
    <w:name w:val="段"/>
    <w:next w:val="a"/>
    <w:qFormat/>
    <w:pPr>
      <w:autoSpaceDE w:val="0"/>
      <w:autoSpaceDN w:val="0"/>
      <w:ind w:firstLineChars="200" w:firstLine="200"/>
      <w:jc w:val="both"/>
    </w:pPr>
    <w:rPr>
      <w:rFonts w:ascii="宋体"/>
      <w:sz w:val="21"/>
    </w:rPr>
  </w:style>
  <w:style w:type="paragraph" w:customStyle="1" w:styleId="11">
    <w:name w:val="正文缩进1"/>
    <w:basedOn w:val="a"/>
    <w:qFormat/>
    <w:pPr>
      <w:autoSpaceDE w:val="0"/>
      <w:autoSpaceDN w:val="0"/>
      <w:adjustRightInd w:val="0"/>
      <w:ind w:firstLine="420"/>
      <w:jc w:val="left"/>
    </w:pPr>
    <w:rPr>
      <w:rFonts w:ascii="宋体" w:hAnsi="Calibri"/>
      <w:kern w:val="0"/>
      <w:sz w:val="24"/>
      <w:szCs w:val="20"/>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12">
    <w:name w:val="纯文本1"/>
    <w:basedOn w:val="a"/>
    <w:qFormat/>
    <w:rPr>
      <w:rFonts w:ascii="宋体" w:hAnsi="Courier New"/>
      <w:kern w:val="0"/>
      <w:sz w:val="20"/>
      <w:szCs w:val="20"/>
    </w:rPr>
  </w:style>
  <w:style w:type="paragraph" w:styleId="af3">
    <w:name w:val="List Paragraph"/>
    <w:basedOn w:val="a"/>
    <w:uiPriority w:val="1"/>
    <w:qFormat/>
    <w:pPr>
      <w:ind w:firstLineChars="200" w:firstLine="420"/>
    </w:pPr>
    <w:rPr>
      <w:rFonts w:ascii="Calibri" w:hAnsi="Calibri"/>
      <w:szCs w:val="22"/>
    </w:rPr>
  </w:style>
  <w:style w:type="paragraph" w:customStyle="1" w:styleId="13">
    <w:name w:val="列出段落1"/>
    <w:basedOn w:val="a"/>
    <w:qFormat/>
    <w:pPr>
      <w:ind w:firstLineChars="200" w:firstLine="420"/>
    </w:pPr>
    <w:rPr>
      <w:rFonts w:ascii="Calibri" w:hAnsi="Calibri" w:cs="Calibri"/>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0">
    <w:name w:val="标题 1 字符"/>
    <w:basedOn w:val="a2"/>
    <w:link w:val="1"/>
    <w:uiPriority w:val="9"/>
    <w:qFormat/>
    <w:rPr>
      <w:rFonts w:asciiTheme="minorHAnsi" w:eastAsiaTheme="minorEastAsia" w:hAnsiTheme="minorHAnsi" w:cs="宋体"/>
      <w:b/>
      <w:bCs/>
      <w:kern w:val="44"/>
      <w:sz w:val="44"/>
      <w:szCs w:val="44"/>
    </w:rPr>
  </w:style>
  <w:style w:type="character" w:customStyle="1" w:styleId="a9">
    <w:name w:val="批注框文本 字符"/>
    <w:basedOn w:val="a2"/>
    <w:link w:val="a8"/>
    <w:uiPriority w:val="99"/>
    <w:semiHidden/>
    <w:qFormat/>
    <w:rPr>
      <w:rFonts w:asciiTheme="minorHAnsi" w:eastAsiaTheme="minorEastAsia" w:hAnsiTheme="minorHAnsi" w:cs="宋体"/>
      <w:kern w:val="2"/>
      <w:sz w:val="18"/>
      <w:szCs w:val="18"/>
    </w:rPr>
  </w:style>
  <w:style w:type="character" w:customStyle="1" w:styleId="30">
    <w:name w:val="标题 3 字符"/>
    <w:link w:val="3"/>
    <w:qFormat/>
    <w:rPr>
      <w:rFonts w:ascii="宋体"/>
      <w:b/>
      <w:kern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贾琪峰</cp:lastModifiedBy>
  <cp:revision>3</cp:revision>
  <cp:lastPrinted>2021-04-25T00:49:00Z</cp:lastPrinted>
  <dcterms:created xsi:type="dcterms:W3CDTF">2023-09-25T00:30:00Z</dcterms:created>
  <dcterms:modified xsi:type="dcterms:W3CDTF">2023-11-03T06:27:00Z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611EE16D31654AD49B82A98FF98DCAC0</vt:lpwstr>
  </property>
</Properties>
</file>