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6CC7" w14:textId="77777777" w:rsidR="00CF05F0" w:rsidRPr="00AA7574" w:rsidRDefault="00CF05F0" w:rsidP="00CF05F0">
      <w:pPr>
        <w:widowControl/>
        <w:spacing w:line="360" w:lineRule="auto"/>
        <w:ind w:firstLineChars="196" w:firstLine="472"/>
        <w:rPr>
          <w:rFonts w:ascii="宋体" w:eastAsia="宋体" w:hAnsi="宋体" w:cs="宋体"/>
          <w:b/>
          <w:kern w:val="0"/>
          <w:sz w:val="24"/>
        </w:rPr>
      </w:pPr>
      <w:r w:rsidRPr="00AA7574">
        <w:rPr>
          <w:rFonts w:ascii="宋体" w:eastAsia="宋体" w:hAnsi="宋体" w:cs="宋体" w:hint="eastAsia"/>
          <w:b/>
          <w:kern w:val="0"/>
          <w:sz w:val="24"/>
        </w:rPr>
        <w:t>一、采购内容</w:t>
      </w:r>
    </w:p>
    <w:p w14:paraId="79D4FD42" w14:textId="77777777" w:rsidR="00CF05F0" w:rsidRPr="00AA7574" w:rsidRDefault="00CF05F0" w:rsidP="00CF05F0">
      <w:pPr>
        <w:spacing w:line="360" w:lineRule="auto"/>
        <w:ind w:firstLineChars="200" w:firstLine="480"/>
        <w:jc w:val="left"/>
        <w:outlineLvl w:val="0"/>
        <w:rPr>
          <w:rFonts w:ascii="宋体" w:eastAsia="宋体" w:hAnsi="宋体"/>
          <w:bCs/>
          <w:sz w:val="24"/>
        </w:rPr>
      </w:pPr>
      <w:r w:rsidRPr="00AA7574">
        <w:rPr>
          <w:rFonts w:ascii="宋体" w:eastAsia="宋体" w:hAnsi="宋体" w:hint="eastAsia"/>
          <w:bCs/>
          <w:sz w:val="24"/>
        </w:rPr>
        <w:t>采购清单</w:t>
      </w:r>
    </w:p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5670"/>
        <w:gridCol w:w="709"/>
        <w:gridCol w:w="912"/>
        <w:gridCol w:w="1399"/>
        <w:gridCol w:w="1710"/>
      </w:tblGrid>
      <w:tr w:rsidR="0089754E" w:rsidRPr="0089754E" w14:paraId="497D79AA" w14:textId="77777777" w:rsidTr="0089754E">
        <w:trPr>
          <w:trHeight w:val="495"/>
          <w:jc w:val="center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860C" w14:textId="77777777" w:rsidR="0089754E" w:rsidRPr="0089754E" w:rsidRDefault="0089754E" w:rsidP="0089754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9754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常州市城市照明管理处文印耗材预估</w:t>
            </w:r>
          </w:p>
        </w:tc>
      </w:tr>
      <w:tr w:rsidR="0089754E" w:rsidRPr="0089754E" w14:paraId="42F92140" w14:textId="77777777" w:rsidTr="0089754E">
        <w:trPr>
          <w:trHeight w:val="270"/>
          <w:jc w:val="center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989" w14:textId="77777777" w:rsidR="0089754E" w:rsidRPr="0089754E" w:rsidRDefault="0089754E" w:rsidP="008975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时间：2023年11月至2024年10月</w:t>
            </w:r>
          </w:p>
        </w:tc>
      </w:tr>
      <w:tr w:rsidR="0089754E" w:rsidRPr="0089754E" w14:paraId="357F9623" w14:textId="77777777" w:rsidTr="00F93C44">
        <w:trPr>
          <w:trHeight w:val="345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14:paraId="6A7D5E0D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000000" w:fill="262626"/>
            <w:noWrap/>
            <w:vAlign w:val="center"/>
            <w:hideMark/>
          </w:tcPr>
          <w:p w14:paraId="668E15B3" w14:textId="77777777" w:rsidR="0089754E" w:rsidRPr="0089754E" w:rsidRDefault="0089754E" w:rsidP="0089754E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4"/>
                <w:szCs w:val="24"/>
              </w:rPr>
            </w:pPr>
            <w:r w:rsidRPr="0089754E"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  <w:szCs w:val="24"/>
              </w:rPr>
              <w:t>单位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2F2F2"/>
            </w:tcBorders>
            <w:shd w:val="clear" w:color="000000" w:fill="262626"/>
            <w:vAlign w:val="center"/>
            <w:hideMark/>
          </w:tcPr>
          <w:p w14:paraId="73E37354" w14:textId="77777777" w:rsidR="0089754E" w:rsidRPr="0089754E" w:rsidRDefault="0089754E" w:rsidP="0089754E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4"/>
                <w:szCs w:val="24"/>
              </w:rPr>
            </w:pPr>
            <w:r w:rsidRPr="0089754E"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2F2F2"/>
            </w:tcBorders>
            <w:shd w:val="clear" w:color="000000" w:fill="262626"/>
            <w:noWrap/>
            <w:vAlign w:val="center"/>
            <w:hideMark/>
          </w:tcPr>
          <w:p w14:paraId="77CC4EA7" w14:textId="77777777" w:rsidR="0089754E" w:rsidRPr="0089754E" w:rsidRDefault="0089754E" w:rsidP="0089754E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4"/>
                <w:szCs w:val="24"/>
              </w:rPr>
            </w:pPr>
            <w:r w:rsidRPr="0089754E"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  <w:szCs w:val="24"/>
              </w:rPr>
              <w:t>单价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2F2F2"/>
            </w:tcBorders>
            <w:shd w:val="clear" w:color="000000" w:fill="262626"/>
            <w:noWrap/>
            <w:vAlign w:val="center"/>
            <w:hideMark/>
          </w:tcPr>
          <w:p w14:paraId="73F267A8" w14:textId="77777777" w:rsidR="0089754E" w:rsidRPr="0089754E" w:rsidRDefault="0089754E" w:rsidP="0089754E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4"/>
                <w:szCs w:val="24"/>
              </w:rPr>
            </w:pPr>
            <w:r w:rsidRPr="0089754E">
              <w:rPr>
                <w:rFonts w:ascii="微软雅黑" w:eastAsia="微软雅黑" w:hAnsi="微软雅黑" w:cs="宋体" w:hint="eastAsia"/>
                <w:color w:val="FFFFFF"/>
                <w:kern w:val="0"/>
                <w:sz w:val="24"/>
                <w:szCs w:val="24"/>
              </w:rPr>
              <w:t>合计金额</w:t>
            </w:r>
          </w:p>
        </w:tc>
      </w:tr>
      <w:tr w:rsidR="0089754E" w:rsidRPr="0089754E" w14:paraId="50E544D5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B29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HP192A/93A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AAEA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BB922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3D4C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1,300.00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E79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1,300.00 </w:t>
            </w:r>
          </w:p>
        </w:tc>
      </w:tr>
      <w:tr w:rsidR="0089754E" w:rsidRPr="0089754E" w14:paraId="46A3EA72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729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HP416A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红、黄、兰墨盒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D2F7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0181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F69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783.00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80D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16,443.00 </w:t>
            </w:r>
          </w:p>
        </w:tc>
      </w:tr>
      <w:tr w:rsidR="0089754E" w:rsidRPr="0089754E" w14:paraId="1DAFFF59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B72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HP416A</w:t>
            </w:r>
            <w:proofErr w:type="gramStart"/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AB2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3370A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586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863.00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5D1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8,630.00 </w:t>
            </w:r>
          </w:p>
        </w:tc>
      </w:tr>
      <w:tr w:rsidR="0089754E" w:rsidRPr="0089754E" w14:paraId="704E8DD7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CCE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HPCF219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鼓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/19A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BBA6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ADB6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1A39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695.00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741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2,085.00 </w:t>
            </w:r>
          </w:p>
        </w:tc>
      </w:tr>
      <w:tr w:rsidR="0089754E" w:rsidRPr="0089754E" w14:paraId="4553CBCA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5A28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VI C3370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红、黄、兰墨盒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D7C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C66D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2F46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845.00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495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10,140.00 </w:t>
            </w:r>
          </w:p>
        </w:tc>
      </w:tr>
      <w:tr w:rsidR="0089754E" w:rsidRPr="0089754E" w14:paraId="4E776BBF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F0C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VI C3370/VIIC2273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0F5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5A96D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CF2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755.00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EB4A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3,020.00 </w:t>
            </w:r>
          </w:p>
        </w:tc>
      </w:tr>
      <w:tr w:rsidR="0089754E" w:rsidRPr="0089754E" w14:paraId="36141DFC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D96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HP741A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红、黄、兰墨盒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/307A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D1B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E7F1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C7F2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1,863.00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5A8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39,123.00 </w:t>
            </w:r>
          </w:p>
        </w:tc>
      </w:tr>
      <w:tr w:rsidR="0089754E" w:rsidRPr="0089754E" w14:paraId="25051093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FFA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HP740A</w:t>
            </w:r>
            <w:proofErr w:type="gramStart"/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黑鼓</w:t>
            </w:r>
            <w:proofErr w:type="gramEnd"/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/307A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515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2B99C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90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1,156.00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9A0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11,560.00 </w:t>
            </w:r>
          </w:p>
        </w:tc>
      </w:tr>
      <w:tr w:rsidR="0089754E" w:rsidRPr="0089754E" w14:paraId="60DA1711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BE3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HP211A /313A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红、黄、兰墨盒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/131A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E0D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999B7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806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755.00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026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13,590.00 </w:t>
            </w:r>
          </w:p>
        </w:tc>
      </w:tr>
      <w:tr w:rsidR="0089754E" w:rsidRPr="0089754E" w14:paraId="4A8337AC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CB48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HP210A/313A</w:t>
            </w:r>
            <w:proofErr w:type="gramStart"/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黑鼓</w:t>
            </w:r>
            <w:proofErr w:type="gramEnd"/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/131A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668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1B809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0C9C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602.00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043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3,612.00 </w:t>
            </w:r>
          </w:p>
        </w:tc>
      </w:tr>
      <w:tr w:rsidR="0089754E" w:rsidRPr="0089754E" w14:paraId="51CD54FD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734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墨盒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*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CC388A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鼓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/88A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7F1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A080F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111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482.00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3D2B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4,820.00 </w:t>
            </w:r>
          </w:p>
        </w:tc>
      </w:tr>
      <w:tr w:rsidR="0089754E" w:rsidRPr="0089754E" w14:paraId="32C606E6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5ADB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财务科新增：针式打印机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EPSONLQ-630K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色带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173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CBF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60F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45.00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98B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180.00 </w:t>
            </w:r>
          </w:p>
        </w:tc>
      </w:tr>
      <w:tr w:rsidR="0089754E" w:rsidRPr="0089754E" w14:paraId="58668235" w14:textId="77777777" w:rsidTr="00F93C44">
        <w:trPr>
          <w:trHeight w:val="540"/>
          <w:jc w:val="center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7161" w14:textId="77777777" w:rsidR="0089754E" w:rsidRPr="0089754E" w:rsidRDefault="0089754E" w:rsidP="00897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F8D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AB2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A87" w14:textId="77777777" w:rsidR="0089754E" w:rsidRPr="0089754E" w:rsidRDefault="0089754E" w:rsidP="0089754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B0B" w14:textId="77777777" w:rsidR="0089754E" w:rsidRPr="0089754E" w:rsidRDefault="0089754E" w:rsidP="0089754E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￥</w:t>
            </w:r>
            <w:r w:rsidRPr="0089754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114,503.00 </w:t>
            </w:r>
          </w:p>
        </w:tc>
      </w:tr>
      <w:tr w:rsidR="0089754E" w:rsidRPr="0089754E" w14:paraId="5D0C03B9" w14:textId="77777777" w:rsidTr="0089754E">
        <w:trPr>
          <w:trHeight w:val="2220"/>
          <w:jc w:val="center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FB33D" w14:textId="77777777" w:rsidR="0089754E" w:rsidRPr="0089754E" w:rsidRDefault="0089754E" w:rsidP="0089754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需求条款：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1.本项目是年度单价采购，数量按实结算；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2.耗材更换及打印设备维修需使用原装耗材及配件；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3.如采购过程中，文印耗材超出目录范围的，单价在1000元以内，以双方协商为准；单价大于1000元的限价，需在政府采购平台购买；</w:t>
            </w:r>
            <w:r w:rsidRPr="00897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</w:t>
            </w:r>
            <w:r w:rsidRPr="009411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中标单位须附赠免费上门维修，在接到故障通知后，应在响应时间2个小时到达现场，属硬件故障原因，硬件产品由采购人提供或委托中标单位另行购买。</w:t>
            </w:r>
          </w:p>
        </w:tc>
      </w:tr>
    </w:tbl>
    <w:p w14:paraId="3EB5FD8A" w14:textId="72400126" w:rsidR="0089754E" w:rsidRDefault="0089754E">
      <w:pPr>
        <w:rPr>
          <w:rFonts w:ascii="宋体" w:eastAsia="宋体" w:hAnsi="宋体"/>
          <w:sz w:val="24"/>
          <w:szCs w:val="28"/>
        </w:rPr>
      </w:pPr>
    </w:p>
    <w:p w14:paraId="1C79166D" w14:textId="5F2B42A0" w:rsidR="0089754E" w:rsidRDefault="0089754E">
      <w:pPr>
        <w:rPr>
          <w:rFonts w:ascii="宋体" w:eastAsia="宋体" w:hAnsi="宋体"/>
          <w:sz w:val="24"/>
          <w:szCs w:val="28"/>
        </w:rPr>
      </w:pPr>
    </w:p>
    <w:p w14:paraId="19A7D143" w14:textId="5613C8B6" w:rsidR="001F3949" w:rsidRDefault="001F3949">
      <w:pPr>
        <w:rPr>
          <w:rFonts w:ascii="宋体" w:eastAsia="宋体" w:hAnsi="宋体"/>
          <w:sz w:val="24"/>
          <w:szCs w:val="28"/>
        </w:rPr>
      </w:pPr>
    </w:p>
    <w:p w14:paraId="5007D1FF" w14:textId="77777777" w:rsidR="001F3949" w:rsidRPr="001F3949" w:rsidRDefault="001F3949">
      <w:pPr>
        <w:rPr>
          <w:rFonts w:ascii="宋体" w:eastAsia="宋体" w:hAnsi="宋体"/>
          <w:sz w:val="24"/>
          <w:szCs w:val="28"/>
        </w:rPr>
      </w:pPr>
    </w:p>
    <w:p w14:paraId="7253CD7C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二、服务要求</w:t>
      </w:r>
    </w:p>
    <w:p w14:paraId="13FF1286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1.供应商应以包括项目所涉及的有关项目的所有费用进行报价，包括：货物制造、运输、保险、安装、保修等。</w:t>
      </w:r>
    </w:p>
    <w:p w14:paraId="3B76578D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2.供应商的报价应包含一切税金、设备的制造、技术资料费、包装、从卖方到买方目的地的运输、装车、保险、卸货、检验、技术服务、培训、所需零配件、安装材料等费用，以及所有根据合同或其它原因应由供应商支付的其它应缴的费用，以及可合理推断的责任和义务。</w:t>
      </w:r>
    </w:p>
    <w:p w14:paraId="460990E4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3.供应商所投货物必须是原厂原包装，通过合法渠道获得。</w:t>
      </w:r>
    </w:p>
    <w:p w14:paraId="78085E68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4.成交供应商不得转包他人，若发现转包，采购人有权终止合同，并追究相应法律责任。</w:t>
      </w:r>
    </w:p>
    <w:p w14:paraId="741AA4FA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三、交货和售后</w:t>
      </w:r>
    </w:p>
    <w:p w14:paraId="3D380BEC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/>
          <w:bCs/>
          <w:sz w:val="24"/>
          <w:szCs w:val="24"/>
        </w:rPr>
        <w:t>1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.售后服务：</w:t>
      </w:r>
    </w:p>
    <w:p w14:paraId="2A2E3560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（1）成交供应商根据采购人指定的地点现场验收中标产品，质保期为3个月，在质保期内如出现质量问题，应免费更换货物。</w:t>
      </w:r>
    </w:p>
    <w:p w14:paraId="49C27925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（2）免费质保期内货物一旦出现质量问题，成交供应商响应时间不超过1小时，售后人员应在4小时内到货物存放地点。</w:t>
      </w:r>
    </w:p>
    <w:p w14:paraId="44AE4F0B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（3）质保期内成交供应商应提供上门免费保修及提供技术支持，质保期内非因操作不当造成需要更换的货物</w:t>
      </w:r>
      <w:proofErr w:type="gramStart"/>
      <w:r w:rsidRPr="00080019">
        <w:rPr>
          <w:rFonts w:ascii="宋体" w:eastAsia="宋体" w:hAnsi="宋体" w:cs="宋体" w:hint="eastAsia"/>
          <w:bCs/>
          <w:sz w:val="24"/>
          <w:szCs w:val="24"/>
        </w:rPr>
        <w:t>由成交</w:t>
      </w:r>
      <w:proofErr w:type="gramEnd"/>
      <w:r w:rsidRPr="00080019">
        <w:rPr>
          <w:rFonts w:ascii="宋体" w:eastAsia="宋体" w:hAnsi="宋体" w:cs="宋体" w:hint="eastAsia"/>
          <w:bCs/>
          <w:sz w:val="24"/>
          <w:szCs w:val="24"/>
        </w:rPr>
        <w:t>供应商负责包换。</w:t>
      </w:r>
    </w:p>
    <w:p w14:paraId="6E1B2139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/>
          <w:bCs/>
          <w:sz w:val="24"/>
          <w:szCs w:val="24"/>
        </w:rPr>
        <w:t>2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.交货地点：采购人指定地点</w:t>
      </w:r>
    </w:p>
    <w:p w14:paraId="21D68BCF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/>
          <w:bCs/>
          <w:sz w:val="24"/>
          <w:szCs w:val="24"/>
        </w:rPr>
        <w:t>3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.交货时间：根据采购人要求</w:t>
      </w:r>
    </w:p>
    <w:p w14:paraId="3EBE40AB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四、验收标准及要求</w:t>
      </w:r>
    </w:p>
    <w:p w14:paraId="23C3AA01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（1）成交供应商交货时应同时附上采购订单明细表；</w:t>
      </w:r>
    </w:p>
    <w:p w14:paraId="245D9F96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</w:t>
      </w:r>
      <w:r w:rsidRPr="00080019">
        <w:rPr>
          <w:rFonts w:ascii="宋体" w:eastAsia="宋体" w:hAnsi="宋体" w:cs="宋体"/>
          <w:bCs/>
          <w:sz w:val="24"/>
          <w:szCs w:val="24"/>
        </w:rPr>
        <w:t>2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）产品配置必须原厂出厂时全部自带，所有设备外包装箱不得自行拆封，包装箱上所有标签等不得涂改或撕毁，否则采购单位有权拒绝验收；</w:t>
      </w:r>
    </w:p>
    <w:p w14:paraId="36C01250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</w:t>
      </w:r>
      <w:r w:rsidRPr="00080019">
        <w:rPr>
          <w:rFonts w:ascii="宋体" w:eastAsia="宋体" w:hAnsi="宋体" w:cs="宋体"/>
          <w:bCs/>
          <w:sz w:val="24"/>
          <w:szCs w:val="24"/>
        </w:rPr>
        <w:t>3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）验收时成交方须出具具有原厂质保的证明；</w:t>
      </w:r>
    </w:p>
    <w:p w14:paraId="018B5238" w14:textId="77777777" w:rsidR="00080019" w:rsidRPr="00080019" w:rsidRDefault="00080019" w:rsidP="00080019">
      <w:pPr>
        <w:widowControl/>
        <w:spacing w:line="360" w:lineRule="auto"/>
        <w:ind w:firstLineChars="196" w:firstLine="47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</w:t>
      </w:r>
      <w:r w:rsidRPr="00080019">
        <w:rPr>
          <w:rFonts w:ascii="宋体" w:eastAsia="宋体" w:hAnsi="宋体" w:cs="宋体"/>
          <w:bCs/>
          <w:sz w:val="24"/>
          <w:szCs w:val="24"/>
        </w:rPr>
        <w:t>4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）符合设备本身的规格、技术条件及乙方承诺的其它指标；</w:t>
      </w:r>
    </w:p>
    <w:p w14:paraId="58DDE8F0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五、结算要求</w:t>
      </w:r>
    </w:p>
    <w:p w14:paraId="543E1AAD" w14:textId="77777777" w:rsidR="00080019" w:rsidRPr="00080019" w:rsidRDefault="00080019" w:rsidP="00080019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（1）结算时以成交供应商的折扣报价及基准价作为结算单价，采购人验收入库数量作为结算数量。结算价格包含货物价款、包装物、装卸车费、途中运输费、途中损耗费、检测、验收费、保险费、税金等全部费用。报价有效期内，结算价格不因市场价格变化而调整。</w:t>
      </w:r>
    </w:p>
    <w:p w14:paraId="6D923BD5" w14:textId="77777777" w:rsidR="00080019" w:rsidRPr="00080019" w:rsidRDefault="00080019" w:rsidP="00080019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（2）每月15日采购人与成交供应商对截至上月最后一日</w:t>
      </w:r>
      <w:proofErr w:type="gramStart"/>
      <w:r w:rsidRPr="00080019">
        <w:rPr>
          <w:rFonts w:ascii="宋体" w:eastAsia="宋体" w:hAnsi="宋体" w:cs="宋体" w:hint="eastAsia"/>
          <w:sz w:val="24"/>
          <w:szCs w:val="24"/>
        </w:rPr>
        <w:t>止</w:t>
      </w:r>
      <w:proofErr w:type="gramEnd"/>
      <w:r w:rsidRPr="00080019">
        <w:rPr>
          <w:rFonts w:ascii="宋体" w:eastAsia="宋体" w:hAnsi="宋体" w:cs="宋体" w:hint="eastAsia"/>
          <w:sz w:val="24"/>
          <w:szCs w:val="24"/>
        </w:rPr>
        <w:t>成交供应商所供产品及其数量、金额进行对账，确认无误后，成交供应商根据采购人要求开具增值税专用发票，采购人</w:t>
      </w:r>
      <w:r w:rsidRPr="00080019">
        <w:rPr>
          <w:rFonts w:ascii="宋体" w:eastAsia="宋体" w:hAnsi="宋体" w:cs="宋体" w:hint="eastAsia"/>
          <w:sz w:val="24"/>
          <w:szCs w:val="24"/>
        </w:rPr>
        <w:lastRenderedPageBreak/>
        <w:t>收到发票后15日内支付货款。</w:t>
      </w:r>
    </w:p>
    <w:p w14:paraId="1E0E442E" w14:textId="77777777" w:rsidR="00080019" w:rsidRPr="00080019" w:rsidRDefault="00080019" w:rsidP="00080019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（3）因成交供应商提供的产品不符合合同约定和采购人要求的，采购人有权延期付款</w:t>
      </w:r>
      <w:r w:rsidRPr="00080019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245A5E79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六、服务管理</w:t>
      </w:r>
    </w:p>
    <w:p w14:paraId="39E6FF8E" w14:textId="77777777" w:rsidR="00080019" w:rsidRPr="00080019" w:rsidRDefault="00080019" w:rsidP="00080019">
      <w:pPr>
        <w:snapToGrid w:val="0"/>
        <w:spacing w:line="44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080019">
        <w:rPr>
          <w:rFonts w:ascii="宋体" w:eastAsia="宋体" w:hAnsi="宋体" w:cs="宋体"/>
          <w:bCs/>
          <w:color w:val="000000"/>
          <w:sz w:val="24"/>
          <w:szCs w:val="24"/>
        </w:rPr>
        <w:t>1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.服务期限内，采购人将采取多种举措，抓住主要环节，加强对协议供应商的监督管理，保证协议供应商的服务水平和服务质量。</w:t>
      </w:r>
    </w:p>
    <w:p w14:paraId="6DE6BBE1" w14:textId="77777777" w:rsidR="00080019" w:rsidRPr="00080019" w:rsidRDefault="00080019" w:rsidP="00080019">
      <w:pPr>
        <w:snapToGrid w:val="0"/>
        <w:spacing w:line="440" w:lineRule="exact"/>
        <w:ind w:firstLineChars="200" w:firstLine="480"/>
        <w:rPr>
          <w:rFonts w:ascii="宋体" w:eastAsia="宋体" w:hAnsi="宋体" w:cs="宋体"/>
          <w:bCs/>
          <w:color w:val="000000"/>
          <w:sz w:val="24"/>
          <w:szCs w:val="24"/>
        </w:rPr>
      </w:pPr>
      <w:r w:rsidRPr="00080019">
        <w:rPr>
          <w:rFonts w:ascii="宋体" w:eastAsia="宋体" w:hAnsi="宋体" w:cs="宋体"/>
          <w:bCs/>
          <w:color w:val="000000"/>
          <w:sz w:val="24"/>
          <w:szCs w:val="24"/>
        </w:rPr>
        <w:t>2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.违约、违规处理</w:t>
      </w:r>
    </w:p>
    <w:p w14:paraId="47C2AA03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供应商必须接受采购人的监督，采购人将以定期检查、不定期抽查、举报核查的方式，对产品品质、配送时间、服务质量、价款结算等内容进行查验监督检查。</w:t>
      </w:r>
    </w:p>
    <w:p w14:paraId="120117EC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（1）违约情形的认定</w:t>
      </w:r>
    </w:p>
    <w:p w14:paraId="4EFF829D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无正当理由拒绝配送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采</w:t>
      </w:r>
      <w:r w:rsidRPr="00080019">
        <w:rPr>
          <w:rFonts w:ascii="宋体" w:eastAsia="宋体" w:hAnsi="宋体" w:cs="宋体" w:hint="eastAsia"/>
          <w:sz w:val="24"/>
          <w:szCs w:val="24"/>
        </w:rPr>
        <w:t>，超过一次的；</w:t>
      </w:r>
    </w:p>
    <w:p w14:paraId="3B429E9F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不按合同规定提供服务或因延误配送时间影响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采购人</w:t>
      </w:r>
      <w:r w:rsidRPr="00080019">
        <w:rPr>
          <w:rFonts w:ascii="宋体" w:eastAsia="宋体" w:hAnsi="宋体" w:cs="宋体" w:hint="eastAsia"/>
          <w:sz w:val="24"/>
          <w:szCs w:val="24"/>
        </w:rPr>
        <w:t>正常使用，超过三次的；</w:t>
      </w:r>
    </w:p>
    <w:p w14:paraId="05CC0E96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未按照合同规定要求擅自抬高收费价格，超过一次的；</w:t>
      </w:r>
    </w:p>
    <w:p w14:paraId="00583549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sz w:val="24"/>
          <w:szCs w:val="24"/>
        </w:rPr>
        <w:t>所送的产品质量、品牌、规格等与</w:t>
      </w:r>
      <w:r w:rsidRPr="00080019">
        <w:rPr>
          <w:rFonts w:ascii="宋体" w:eastAsia="宋体" w:hAnsi="宋体" w:cs="宋体" w:hint="eastAsia"/>
          <w:sz w:val="24"/>
          <w:szCs w:val="24"/>
        </w:rPr>
        <w:t>承诺不符的；</w:t>
      </w:r>
    </w:p>
    <w:p w14:paraId="5300EC1D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存在假冒伪劣产品的；</w:t>
      </w:r>
    </w:p>
    <w:p w14:paraId="656EF006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被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采购人</w:t>
      </w:r>
      <w:r w:rsidRPr="00080019">
        <w:rPr>
          <w:rFonts w:ascii="宋体" w:eastAsia="宋体" w:hAnsi="宋体" w:cs="宋体" w:hint="eastAsia"/>
          <w:sz w:val="24"/>
          <w:szCs w:val="24"/>
        </w:rPr>
        <w:t>书面要求退货、换货后，仍拒不履行的；</w:t>
      </w:r>
    </w:p>
    <w:p w14:paraId="6BFAF616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擅自将配送业务转包、分包给第三人经营，经查实的；</w:t>
      </w:r>
    </w:p>
    <w:p w14:paraId="15BF9704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通过给予回扣或变相给予回扣等方式谋取不当利益，经查实的；</w:t>
      </w:r>
    </w:p>
    <w:p w14:paraId="72113304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发生质量纠纷时，拒不履行检测义务的；</w:t>
      </w:r>
    </w:p>
    <w:p w14:paraId="18DF13FF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因协议供应商原因造成安全责任事故的；</w:t>
      </w:r>
    </w:p>
    <w:p w14:paraId="410ED4B6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因协议供应商原因给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采购人</w:t>
      </w:r>
      <w:r w:rsidRPr="00080019">
        <w:rPr>
          <w:rFonts w:ascii="宋体" w:eastAsia="宋体" w:hAnsi="宋体" w:cs="宋体" w:hint="eastAsia"/>
          <w:sz w:val="24"/>
          <w:szCs w:val="24"/>
        </w:rPr>
        <w:t>造成负面社会影响，或负面舆论的；</w:t>
      </w:r>
    </w:p>
    <w:p w14:paraId="710310FF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因协议供应商原因在</w:t>
      </w:r>
      <w:r w:rsidRPr="00080019">
        <w:rPr>
          <w:rFonts w:ascii="宋体" w:eastAsia="宋体" w:hAnsi="宋体" w:cs="宋体" w:hint="eastAsia"/>
          <w:bCs/>
          <w:sz w:val="24"/>
          <w:szCs w:val="24"/>
        </w:rPr>
        <w:t>采购</w:t>
      </w:r>
      <w:proofErr w:type="gramStart"/>
      <w:r w:rsidRPr="00080019">
        <w:rPr>
          <w:rFonts w:ascii="宋体" w:eastAsia="宋体" w:hAnsi="宋体" w:cs="宋体" w:hint="eastAsia"/>
          <w:bCs/>
          <w:sz w:val="24"/>
          <w:szCs w:val="24"/>
        </w:rPr>
        <w:t>人</w:t>
      </w:r>
      <w:r w:rsidRPr="00080019">
        <w:rPr>
          <w:rFonts w:ascii="宋体" w:eastAsia="宋体" w:hAnsi="宋体" w:cs="宋体" w:hint="eastAsia"/>
          <w:sz w:val="24"/>
          <w:szCs w:val="24"/>
        </w:rPr>
        <w:t>区域</w:t>
      </w:r>
      <w:proofErr w:type="gramEnd"/>
      <w:r w:rsidRPr="00080019">
        <w:rPr>
          <w:rFonts w:ascii="宋体" w:eastAsia="宋体" w:hAnsi="宋体" w:cs="宋体" w:hint="eastAsia"/>
          <w:sz w:val="24"/>
          <w:szCs w:val="24"/>
        </w:rPr>
        <w:t>内造成安全事故，且影响恶劣的；</w:t>
      </w:r>
    </w:p>
    <w:p w14:paraId="1DB00066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其它违反法律、法规的行为。</w:t>
      </w:r>
    </w:p>
    <w:p w14:paraId="040C02FA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（2）违约处罚</w:t>
      </w:r>
    </w:p>
    <w:p w14:paraId="5BDAF3F4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在</w:t>
      </w:r>
      <w:r w:rsidRPr="00080019">
        <w:rPr>
          <w:rFonts w:ascii="宋体" w:eastAsia="宋体" w:hAnsi="宋体" w:cs="宋体" w:hint="eastAsia"/>
          <w:color w:val="000000"/>
          <w:sz w:val="24"/>
          <w:szCs w:val="24"/>
        </w:rPr>
        <w:t>服务</w:t>
      </w:r>
      <w:r w:rsidRPr="00080019">
        <w:rPr>
          <w:rFonts w:ascii="宋体" w:eastAsia="宋体" w:hAnsi="宋体" w:cs="宋体" w:hint="eastAsia"/>
          <w:sz w:val="24"/>
          <w:szCs w:val="24"/>
        </w:rPr>
        <w:t>期间，如出现违约情形之一者，经查实并报采购人后，将对违约单位作如下处理（酌情进行单项处罚或并处）：</w:t>
      </w:r>
    </w:p>
    <w:p w14:paraId="79CDCE40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采购人对供应商实行履约管理，每次从货款中扣除</w:t>
      </w:r>
      <w:r w:rsidRPr="00080019">
        <w:rPr>
          <w:rFonts w:ascii="宋体" w:eastAsia="宋体" w:hAnsi="宋体" w:cs="宋体" w:hint="eastAsia"/>
          <w:sz w:val="24"/>
          <w:szCs w:val="24"/>
        </w:rPr>
        <w:t>相应金额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；</w:t>
      </w:r>
    </w:p>
    <w:p w14:paraId="676E5BB1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对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采购</w:t>
      </w:r>
      <w:r w:rsidRPr="00080019">
        <w:rPr>
          <w:rFonts w:ascii="宋体" w:eastAsia="宋体" w:hAnsi="宋体" w:cs="宋体" w:hint="eastAsia"/>
          <w:sz w:val="24"/>
          <w:szCs w:val="24"/>
        </w:rPr>
        <w:t>人造成损失的，由违约供应商负责赔偿，因此产生的法律责任由违约单位承担；</w:t>
      </w:r>
    </w:p>
    <w:p w14:paraId="0FC08B9E" w14:textId="77777777" w:rsidR="00080019" w:rsidRPr="00080019" w:rsidRDefault="00080019" w:rsidP="00080019">
      <w:pPr>
        <w:spacing w:line="44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 w:hint="eastAsia"/>
          <w:sz w:val="24"/>
          <w:szCs w:val="24"/>
        </w:rPr>
        <w:t>情节恶劣造成严重负面影响的，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采购</w:t>
      </w:r>
      <w:r w:rsidRPr="00080019">
        <w:rPr>
          <w:rFonts w:ascii="宋体" w:eastAsia="宋体" w:hAnsi="宋体" w:cs="宋体" w:hint="eastAsia"/>
          <w:sz w:val="24"/>
          <w:szCs w:val="24"/>
        </w:rPr>
        <w:t>人将其</w:t>
      </w:r>
      <w:proofErr w:type="gramStart"/>
      <w:r w:rsidRPr="00080019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080019">
        <w:rPr>
          <w:rFonts w:ascii="宋体" w:eastAsia="宋体" w:hAnsi="宋体" w:cs="宋体" w:hint="eastAsia"/>
          <w:sz w:val="24"/>
          <w:szCs w:val="24"/>
        </w:rPr>
        <w:t>诚信行为报送采购主管部门，并将其列入政府采购黑名单。</w:t>
      </w:r>
    </w:p>
    <w:p w14:paraId="68B8D89B" w14:textId="77777777" w:rsidR="00080019" w:rsidRPr="00080019" w:rsidRDefault="00080019" w:rsidP="00080019">
      <w:pPr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080019">
        <w:rPr>
          <w:rFonts w:ascii="宋体" w:eastAsia="宋体" w:hAnsi="宋体" w:cs="宋体"/>
          <w:bCs/>
          <w:color w:val="000000"/>
          <w:sz w:val="24"/>
          <w:szCs w:val="24"/>
        </w:rPr>
        <w:t>3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.在服务期限内，若供应商未承接到采购项目，采购人不承担任何缔约过失责任或违约责任，供应商参加投标前应考虑相关风险。</w:t>
      </w:r>
    </w:p>
    <w:p w14:paraId="165A9298" w14:textId="77777777" w:rsidR="00080019" w:rsidRPr="00080019" w:rsidRDefault="00080019" w:rsidP="00080019">
      <w:pPr>
        <w:spacing w:line="440" w:lineRule="exact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 w:rsidRPr="00080019">
        <w:rPr>
          <w:rFonts w:ascii="宋体" w:eastAsia="宋体" w:hAnsi="宋体" w:cs="宋体"/>
          <w:b/>
          <w:bCs/>
          <w:color w:val="000000"/>
          <w:sz w:val="24"/>
          <w:szCs w:val="24"/>
        </w:rPr>
        <w:lastRenderedPageBreak/>
        <w:t>4</w:t>
      </w:r>
      <w:r w:rsidRPr="00080019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.本项目确定协议供应商后，采购人有权组织专家、采购人、相关监管部门代表等采取抽查的方式对其设备、人员、资质情况等进行考察核对，一旦发现弄虚作假，将取消其成交供应商的成交资格。</w:t>
      </w:r>
    </w:p>
    <w:p w14:paraId="2BB6945B" w14:textId="77777777" w:rsidR="00080019" w:rsidRPr="00080019" w:rsidRDefault="00080019" w:rsidP="00080019">
      <w:pPr>
        <w:spacing w:line="44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080019">
        <w:rPr>
          <w:rFonts w:ascii="宋体" w:eastAsia="宋体" w:hAnsi="宋体" w:cs="宋体"/>
          <w:bCs/>
          <w:color w:val="000000"/>
          <w:sz w:val="24"/>
          <w:szCs w:val="24"/>
        </w:rPr>
        <w:t>5.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本次确定的供应商实行动态管理，服务期限暂定</w:t>
      </w:r>
      <w:r w:rsidRPr="00080019">
        <w:rPr>
          <w:rFonts w:ascii="宋体" w:eastAsia="宋体" w:hAnsi="宋体" w:cs="宋体"/>
          <w:bCs/>
          <w:color w:val="000000"/>
          <w:sz w:val="24"/>
          <w:szCs w:val="24"/>
        </w:rPr>
        <w:t>1</w:t>
      </w:r>
      <w:r w:rsidRPr="00080019">
        <w:rPr>
          <w:rFonts w:ascii="宋体" w:eastAsia="宋体" w:hAnsi="宋体" w:cs="宋体" w:hint="eastAsia"/>
          <w:bCs/>
          <w:color w:val="000000"/>
          <w:sz w:val="24"/>
          <w:szCs w:val="24"/>
        </w:rPr>
        <w:t>年，以合同签订时间为准。</w:t>
      </w:r>
    </w:p>
    <w:p w14:paraId="1666374F" w14:textId="77777777" w:rsidR="00080019" w:rsidRPr="00080019" w:rsidRDefault="00080019" w:rsidP="00080019">
      <w:pPr>
        <w:widowControl/>
        <w:spacing w:line="360" w:lineRule="auto"/>
        <w:ind w:firstLineChars="196" w:firstLine="47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七、报价要求</w:t>
      </w:r>
    </w:p>
    <w:p w14:paraId="6A6499C7" w14:textId="3223EB4C" w:rsidR="00080019" w:rsidRPr="00080019" w:rsidRDefault="00080019" w:rsidP="0008001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以固定的</w:t>
      </w: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优惠折扣报价</w:t>
      </w:r>
      <w:r w:rsidRPr="00080019">
        <w:rPr>
          <w:rFonts w:ascii="宋体" w:eastAsia="宋体" w:hAnsi="宋体" w:cs="Times New Roman" w:hint="eastAsia"/>
          <w:sz w:val="24"/>
          <w:szCs w:val="24"/>
        </w:rPr>
        <w:t>。参照采购清单的单价及相关说明作为基准单价，折扣报价不得超过100%。</w:t>
      </w:r>
    </w:p>
    <w:p w14:paraId="306C5D75" w14:textId="77777777" w:rsidR="00080019" w:rsidRPr="00080019" w:rsidRDefault="00080019" w:rsidP="00080019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080019">
        <w:rPr>
          <w:rFonts w:ascii="宋体" w:eastAsia="宋体" w:hAnsi="宋体" w:cs="Times New Roman" w:hint="eastAsia"/>
          <w:b/>
          <w:bCs/>
          <w:sz w:val="24"/>
          <w:szCs w:val="24"/>
        </w:rPr>
        <w:t>结算价=基准单价*投标折扣报价*实际数量</w:t>
      </w:r>
    </w:p>
    <w:p w14:paraId="484A1623" w14:textId="77777777" w:rsidR="00080019" w:rsidRPr="00080019" w:rsidRDefault="00080019" w:rsidP="0008001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80019">
        <w:rPr>
          <w:rFonts w:ascii="宋体" w:eastAsia="宋体" w:hAnsi="宋体" w:cs="Times New Roman" w:hint="eastAsia"/>
          <w:sz w:val="24"/>
          <w:szCs w:val="24"/>
        </w:rPr>
        <w:t>供应商报价时，应综合考虑完成本项目所需的全部服务成本、企业利润、税金、人工费和政策性文件规定及合同包含的所有风险、责任等各项应有费用，最终结算以实际数量为准。</w:t>
      </w:r>
    </w:p>
    <w:p w14:paraId="6C0CDF6D" w14:textId="77777777" w:rsidR="00AA7574" w:rsidRPr="00080019" w:rsidRDefault="00AA7574">
      <w:pPr>
        <w:rPr>
          <w:rFonts w:ascii="宋体" w:eastAsia="宋体" w:hAnsi="宋体"/>
          <w:sz w:val="24"/>
          <w:szCs w:val="28"/>
        </w:rPr>
      </w:pPr>
    </w:p>
    <w:sectPr w:rsidR="00AA7574" w:rsidRPr="00080019" w:rsidSect="00CF05F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D9"/>
    <w:rsid w:val="00080019"/>
    <w:rsid w:val="001F3949"/>
    <w:rsid w:val="00263CC3"/>
    <w:rsid w:val="005B72BE"/>
    <w:rsid w:val="0087415E"/>
    <w:rsid w:val="0089754E"/>
    <w:rsid w:val="0094118E"/>
    <w:rsid w:val="00A021D9"/>
    <w:rsid w:val="00AA7574"/>
    <w:rsid w:val="00CF05F0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F038"/>
  <w15:chartTrackingRefBased/>
  <w15:docId w15:val="{68267DD1-37E8-4980-A605-28263D52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B2C3-DFE2-42AD-B526-397162B3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贾琪峰</dc:creator>
  <cp:keywords/>
  <dc:description/>
  <cp:lastModifiedBy>贾琪峰</cp:lastModifiedBy>
  <cp:revision>6</cp:revision>
  <dcterms:created xsi:type="dcterms:W3CDTF">2023-11-08T01:53:00Z</dcterms:created>
  <dcterms:modified xsi:type="dcterms:W3CDTF">2023-11-08T03:18:00Z</dcterms:modified>
</cp:coreProperties>
</file>