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snapToGrid/>
        <w:spacing w:before="260" w:beforeLines="0" w:beforeAutospacing="0" w:after="260" w:afterLines="0" w:afterAutospacing="0" w:line="700" w:lineRule="exact"/>
        <w:ind w:firstLine="0" w:firstLineChars="0"/>
        <w:jc w:val="center"/>
        <w:textAlignment w:val="auto"/>
        <w:rPr>
          <w:rFonts w:hint="eastAsia" w:ascii="方正小标宋简体" w:hAnsi="方正小标宋简体" w:eastAsia="方正小标宋简体" w:cs="方正小标宋简体"/>
          <w:b w:val="0"/>
          <w:bCs w:val="0"/>
          <w:color w:val="333333"/>
          <w:kern w:val="0"/>
          <w:sz w:val="44"/>
          <w:szCs w:val="44"/>
          <w:lang w:val="en-US" w:eastAsia="zh-CN" w:bidi="ar-SA"/>
        </w:rPr>
      </w:pPr>
      <w:r>
        <w:rPr>
          <w:rFonts w:hint="eastAsia" w:ascii="方正小标宋简体" w:hAnsi="方正小标宋简体" w:eastAsia="方正小标宋简体" w:cs="方正小标宋简体"/>
          <w:b w:val="0"/>
          <w:bCs w:val="0"/>
          <w:color w:val="333333"/>
          <w:kern w:val="0"/>
          <w:sz w:val="44"/>
          <w:szCs w:val="44"/>
          <w:lang w:val="en-US" w:eastAsia="zh-CN" w:bidi="ar-SA"/>
        </w:rPr>
        <w:t>中心城区老旧小区改造项目(三堡街至老航仪宿舍门口道路周边提升)照明工程多功能路灯技术文件</w:t>
      </w:r>
    </w:p>
    <w:p>
      <w:pPr>
        <w:pStyle w:val="4"/>
        <w:keepNext/>
        <w:keepLines/>
        <w:pageBreakBefore w:val="0"/>
        <w:widowControl w:val="0"/>
        <w:kinsoku/>
        <w:wordWrap/>
        <w:overflowPunct/>
        <w:topLinePunct w:val="0"/>
        <w:autoSpaceDE/>
        <w:autoSpaceDN/>
        <w:bidi w:val="0"/>
        <w:adjustRightInd/>
        <w:snapToGrid/>
        <w:spacing w:before="20" w:beforeLines="0" w:beforeAutospacing="0" w:after="100" w:afterLines="0" w:afterAutospacing="1" w:line="570" w:lineRule="exact"/>
        <w:ind w:left="0" w:leftChars="0" w:right="210" w:rightChars="100" w:firstLine="640" w:firstLineChars="200"/>
        <w:jc w:val="left"/>
        <w:textAlignment w:val="auto"/>
        <w:rPr>
          <w:rFonts w:hint="eastAsia" w:ascii="黑体" w:hAnsi="黑体" w:eastAsia="黑体" w:cs="黑体"/>
          <w:b w:val="0"/>
          <w:bCs w:val="0"/>
          <w:color w:val="333333"/>
          <w:kern w:val="0"/>
          <w:sz w:val="32"/>
          <w:szCs w:val="32"/>
          <w:lang w:val="en-US" w:eastAsia="zh-CN" w:bidi="ar-SA"/>
        </w:rPr>
      </w:pPr>
      <w:r>
        <w:rPr>
          <w:rFonts w:hint="eastAsia" w:ascii="黑体" w:hAnsi="黑体" w:eastAsia="黑体" w:cs="黑体"/>
          <w:b w:val="0"/>
          <w:bCs w:val="0"/>
          <w:color w:val="333333"/>
          <w:kern w:val="0"/>
          <w:sz w:val="32"/>
          <w:szCs w:val="32"/>
          <w:lang w:val="en-US" w:eastAsia="zh-CN" w:bidi="ar-SA"/>
        </w:rPr>
        <w:t>一、采购内容及清单</w:t>
      </w:r>
    </w:p>
    <w:tbl>
      <w:tblPr>
        <w:tblStyle w:val="15"/>
        <w:tblW w:w="9373" w:type="dxa"/>
        <w:jc w:val="center"/>
        <w:tblLayout w:type="fixed"/>
        <w:tblCellMar>
          <w:top w:w="15" w:type="dxa"/>
          <w:left w:w="15" w:type="dxa"/>
          <w:bottom w:w="15" w:type="dxa"/>
          <w:right w:w="15" w:type="dxa"/>
        </w:tblCellMar>
      </w:tblPr>
      <w:tblGrid>
        <w:gridCol w:w="690"/>
        <w:gridCol w:w="3397"/>
        <w:gridCol w:w="3175"/>
        <w:gridCol w:w="2111"/>
      </w:tblGrid>
      <w:tr>
        <w:tblPrEx>
          <w:tblCellMar>
            <w:top w:w="15" w:type="dxa"/>
            <w:left w:w="15" w:type="dxa"/>
            <w:bottom w:w="15" w:type="dxa"/>
            <w:right w:w="15" w:type="dxa"/>
          </w:tblCellMar>
        </w:tblPrEx>
        <w:trPr>
          <w:trHeight w:val="205" w:hRule="atLeast"/>
          <w:jc w:val="center"/>
        </w:trPr>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 xml:space="preserve">序号 </w:t>
            </w:r>
          </w:p>
        </w:tc>
        <w:tc>
          <w:tcPr>
            <w:tcW w:w="3397"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功能内容</w:t>
            </w:r>
          </w:p>
        </w:tc>
        <w:tc>
          <w:tcPr>
            <w:tcW w:w="3175" w:type="dxa"/>
            <w:vMerge w:val="restart"/>
            <w:tcBorders>
              <w:top w:val="single" w:color="000000" w:sz="4" w:space="0"/>
              <w:left w:val="single" w:color="000000" w:sz="4" w:space="0"/>
              <w:right w:val="single" w:color="auto"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型号/数量</w:t>
            </w:r>
          </w:p>
        </w:tc>
        <w:tc>
          <w:tcPr>
            <w:tcW w:w="2111" w:type="dxa"/>
            <w:vMerge w:val="restart"/>
            <w:tcBorders>
              <w:top w:val="single" w:color="000000" w:sz="4" w:space="0"/>
              <w:left w:val="single" w:color="auto" w:sz="4" w:space="0"/>
              <w:right w:val="single" w:color="000000" w:sz="4" w:space="0"/>
            </w:tcBorders>
            <w:noWrap w:val="0"/>
            <w:vAlign w:val="center"/>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材料编码</w:t>
            </w:r>
          </w:p>
        </w:tc>
      </w:tr>
      <w:tr>
        <w:tblPrEx>
          <w:tblCellMar>
            <w:top w:w="15" w:type="dxa"/>
            <w:left w:w="15" w:type="dxa"/>
            <w:bottom w:w="15" w:type="dxa"/>
            <w:right w:w="15" w:type="dxa"/>
          </w:tblCellMar>
        </w:tblPrEx>
        <w:trPr>
          <w:trHeight w:val="240" w:hRule="atLeast"/>
          <w:jc w:val="center"/>
        </w:trPr>
        <w:tc>
          <w:tcPr>
            <w:tcW w:w="69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97" w:type="dxa"/>
            <w:tcBorders>
              <w:top w:val="single" w:color="auto"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 xml:space="preserve">7KW机动车充电桩 </w:t>
            </w:r>
          </w:p>
        </w:tc>
        <w:tc>
          <w:tcPr>
            <w:tcW w:w="3175" w:type="dxa"/>
            <w:vMerge w:val="continue"/>
            <w:tcBorders>
              <w:left w:val="single" w:color="000000" w:sz="4" w:space="0"/>
              <w:bottom w:val="single" w:color="000000" w:sz="4" w:space="0"/>
              <w:right w:val="single" w:color="auto"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2111" w:type="dxa"/>
            <w:vMerge w:val="continue"/>
            <w:tcBorders>
              <w:left w:val="single" w:color="auto"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r>
      <w:tr>
        <w:tblPrEx>
          <w:tblCellMar>
            <w:top w:w="15" w:type="dxa"/>
            <w:left w:w="15" w:type="dxa"/>
            <w:bottom w:w="15" w:type="dxa"/>
            <w:right w:w="15" w:type="dxa"/>
          </w:tblCellMar>
        </w:tblPrEx>
        <w:trPr>
          <w:trHeight w:val="421"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w:t>
            </w:r>
          </w:p>
        </w:tc>
        <w:tc>
          <w:tcPr>
            <w:tcW w:w="339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w:t>
            </w:r>
          </w:p>
        </w:tc>
        <w:tc>
          <w:tcPr>
            <w:tcW w:w="3175"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多功能路灯/3（套）</w:t>
            </w:r>
          </w:p>
        </w:tc>
        <w:tc>
          <w:tcPr>
            <w:tcW w:w="2111" w:type="dxa"/>
            <w:tcBorders>
              <w:top w:val="single" w:color="000000" w:sz="4" w:space="0"/>
              <w:left w:val="single" w:color="auto" w:sz="4" w:space="0"/>
              <w:bottom w:val="single" w:color="000000" w:sz="4" w:space="0"/>
              <w:right w:val="single" w:color="000000" w:sz="4" w:space="0"/>
            </w:tcBorders>
            <w:noWrap w:val="0"/>
            <w:vAlign w:val="center"/>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0101080607000001</w:t>
            </w:r>
          </w:p>
        </w:tc>
      </w:tr>
      <w:tr>
        <w:tblPrEx>
          <w:tblCellMar>
            <w:top w:w="15" w:type="dxa"/>
            <w:left w:w="15" w:type="dxa"/>
            <w:bottom w:w="15" w:type="dxa"/>
            <w:right w:w="15" w:type="dxa"/>
          </w:tblCellMar>
        </w:tblPrEx>
        <w:trPr>
          <w:trHeight w:val="2354" w:hRule="atLeast"/>
          <w:jc w:val="center"/>
        </w:trPr>
        <w:tc>
          <w:tcPr>
            <w:tcW w:w="69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备注</w:t>
            </w:r>
          </w:p>
        </w:tc>
        <w:tc>
          <w:tcPr>
            <w:tcW w:w="8683" w:type="dxa"/>
            <w:gridSpan w:val="3"/>
            <w:tcBorders>
              <w:top w:val="single" w:color="000000" w:sz="4" w:space="0"/>
              <w:left w:val="single" w:color="000000" w:sz="4" w:space="0"/>
              <w:bottom w:val="single" w:color="000000" w:sz="4" w:space="0"/>
              <w:right w:val="single" w:color="000000" w:sz="4" w:space="0"/>
            </w:tcBorders>
            <w:noWrap w:val="0"/>
            <w:vAlign w:val="top"/>
          </w:tcPr>
          <w:p>
            <w:pPr>
              <w:widowControl/>
              <w:ind w:firstLine="600" w:firstLineChars="200"/>
              <w:jc w:val="left"/>
              <w:textAlignment w:val="center"/>
              <w:rPr>
                <w:rFonts w:hint="eastAsia" w:ascii="仿宋" w:hAnsi="仿宋" w:eastAsia="仿宋" w:cs="仿宋"/>
                <w:color w:val="333333"/>
                <w:kern w:val="0"/>
                <w:sz w:val="30"/>
                <w:szCs w:val="30"/>
                <w:lang w:val="en-US" w:eastAsia="zh-CN"/>
              </w:rPr>
            </w:pPr>
            <w:r>
              <w:rPr>
                <w:rFonts w:hint="eastAsia" w:ascii="仿宋" w:hAnsi="仿宋" w:eastAsia="仿宋" w:cs="仿宋"/>
                <w:color w:val="333333"/>
                <w:kern w:val="0"/>
                <w:sz w:val="30"/>
                <w:szCs w:val="30"/>
                <w:lang w:val="en-US" w:eastAsia="zh-CN"/>
              </w:rPr>
              <w:t>1.路灯报价中仅包含灯具、单灯控制、灯杆（含挑臂）价格。</w:t>
            </w:r>
          </w:p>
          <w:p>
            <w:pPr>
              <w:widowControl/>
              <w:ind w:firstLine="600" w:firstLineChars="200"/>
              <w:jc w:val="left"/>
              <w:textAlignment w:val="center"/>
              <w:rPr>
                <w:rFonts w:hint="eastAsia" w:ascii="仿宋" w:hAnsi="仿宋" w:eastAsia="仿宋" w:cs="仿宋"/>
                <w:color w:val="333333"/>
                <w:kern w:val="0"/>
                <w:sz w:val="30"/>
                <w:szCs w:val="30"/>
                <w:lang w:val="en-US" w:eastAsia="zh-CN"/>
              </w:rPr>
            </w:pPr>
            <w:r>
              <w:rPr>
                <w:rFonts w:hint="eastAsia" w:ascii="仿宋" w:hAnsi="仿宋" w:eastAsia="仿宋" w:cs="仿宋"/>
                <w:color w:val="333333"/>
                <w:kern w:val="0"/>
                <w:sz w:val="30"/>
                <w:szCs w:val="30"/>
                <w:lang w:val="en-US" w:eastAsia="zh-CN"/>
              </w:rPr>
              <w:t>2.灯杆、灯具、设备安装及现场施工由采购方承担（供货方需配合现场安装及调试）。</w:t>
            </w:r>
          </w:p>
          <w:p>
            <w:pPr>
              <w:widowControl/>
              <w:ind w:firstLine="600" w:firstLineChars="200"/>
              <w:jc w:val="left"/>
              <w:textAlignment w:val="center"/>
              <w:rPr>
                <w:rFonts w:hint="eastAsia" w:ascii="仿宋" w:hAnsi="仿宋" w:eastAsia="仿宋" w:cs="仿宋"/>
                <w:color w:val="333333"/>
                <w:kern w:val="0"/>
                <w:sz w:val="30"/>
                <w:szCs w:val="30"/>
                <w:lang w:val="en-US" w:eastAsia="zh-CN"/>
              </w:rPr>
            </w:pPr>
            <w:r>
              <w:rPr>
                <w:rFonts w:hint="eastAsia" w:ascii="仿宋" w:hAnsi="仿宋" w:eastAsia="仿宋" w:cs="仿宋"/>
                <w:color w:val="333333"/>
                <w:kern w:val="0"/>
                <w:sz w:val="30"/>
                <w:szCs w:val="30"/>
                <w:lang w:val="en-US" w:eastAsia="zh-CN"/>
              </w:rPr>
              <w:t>3.灯杆内灯具护套线、设备电源线，网络信号线由灯杆提供方负责。</w:t>
            </w:r>
          </w:p>
          <w:p>
            <w:pPr>
              <w:widowControl/>
              <w:ind w:firstLine="600" w:firstLineChars="200"/>
              <w:jc w:val="left"/>
              <w:textAlignment w:val="center"/>
              <w:rPr>
                <w:rFonts w:hint="eastAsia" w:ascii="仿宋" w:hAnsi="仿宋" w:eastAsia="仿宋" w:cs="仿宋"/>
                <w:color w:val="333333"/>
                <w:kern w:val="0"/>
                <w:sz w:val="30"/>
                <w:szCs w:val="30"/>
                <w:lang w:val="en-US" w:eastAsia="zh-CN"/>
              </w:rPr>
            </w:pPr>
            <w:r>
              <w:rPr>
                <w:rFonts w:hint="eastAsia" w:ascii="仿宋" w:hAnsi="仿宋" w:eastAsia="仿宋" w:cs="仿宋"/>
                <w:color w:val="333333"/>
                <w:kern w:val="0"/>
                <w:sz w:val="30"/>
                <w:szCs w:val="30"/>
                <w:lang w:val="en-US" w:eastAsia="zh-CN"/>
              </w:rPr>
              <w:t>4.具体采购数量以最终采购方订单为准。</w:t>
            </w:r>
          </w:p>
          <w:p>
            <w:pPr>
              <w:widowControl/>
              <w:ind w:firstLine="600" w:firstLineChars="200"/>
              <w:jc w:val="left"/>
              <w:textAlignment w:val="center"/>
              <w:rPr>
                <w:rFonts w:hint="eastAsia" w:ascii="仿宋" w:hAnsi="仿宋" w:eastAsia="仿宋" w:cs="仿宋"/>
                <w:color w:val="333333"/>
                <w:kern w:val="0"/>
                <w:sz w:val="30"/>
                <w:szCs w:val="30"/>
                <w:lang w:val="en-US" w:eastAsia="zh-CN"/>
              </w:rPr>
            </w:pPr>
            <w:r>
              <w:rPr>
                <w:rFonts w:hint="eastAsia" w:ascii="仿宋" w:hAnsi="仿宋" w:eastAsia="仿宋" w:cs="仿宋"/>
                <w:color w:val="333333"/>
                <w:kern w:val="0"/>
                <w:sz w:val="30"/>
                <w:szCs w:val="30"/>
                <w:lang w:val="en-US" w:eastAsia="zh-CN"/>
              </w:rPr>
              <w:t>5.杆体、灯具(含单灯控制)、多功能路灯基础、机动车充电桩需单独报价。</w:t>
            </w:r>
          </w:p>
          <w:p>
            <w:pPr>
              <w:widowControl/>
              <w:ind w:firstLine="600" w:firstLineChars="200"/>
              <w:jc w:val="left"/>
              <w:textAlignment w:val="center"/>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30"/>
                <w:szCs w:val="30"/>
                <w:lang w:val="en-US" w:eastAsia="zh-CN"/>
              </w:rPr>
              <w:t>6.上表中“√”符号为灯杆提供方需一并提供的设备。</w:t>
            </w:r>
          </w:p>
        </w:tc>
      </w:tr>
    </w:tbl>
    <w:p>
      <w:pPr>
        <w:spacing w:line="570" w:lineRule="exact"/>
        <w:ind w:firstLine="560" w:firstLineChars="200"/>
        <w:rPr>
          <w:rFonts w:ascii="仿宋" w:hAnsi="仿宋" w:eastAsia="仿宋"/>
          <w:sz w:val="28"/>
          <w:szCs w:val="28"/>
        </w:rPr>
      </w:pPr>
      <w:bookmarkStart w:id="0" w:name="_Hlk9915993"/>
      <w:r>
        <w:rPr>
          <w:rFonts w:hint="eastAsia" w:ascii="仿宋" w:hAnsi="仿宋" w:eastAsia="仿宋"/>
          <w:sz w:val="28"/>
          <w:szCs w:val="28"/>
          <w:lang w:eastAsia="zh-CN"/>
        </w:rPr>
        <w:t xml:space="preserve"> </w:t>
      </w:r>
      <w:r>
        <w:rPr>
          <w:rFonts w:hint="eastAsia" w:ascii="Times New Roman" w:hAnsi="Times New Roman" w:eastAsia="仿宋_GB2312" w:cs="Times New Roman"/>
          <w:color w:val="333333"/>
          <w:kern w:val="0"/>
          <w:sz w:val="32"/>
          <w:szCs w:val="32"/>
          <w:lang w:val="en-US" w:eastAsia="zh-CN" w:bidi="ar-SA"/>
        </w:rPr>
        <w:t>注：下文中引用的各类标准对于本文件的应用是必不可少的。凡是注日期的版本适用于本文件。凡是不注日期的引用文件，其最新版本（包括所有的修改单）适用于本文件。同时包括其他未明示的相关的最新国家及江苏省现行的技术规范及相关要求文件等。</w:t>
      </w:r>
    </w:p>
    <w:p>
      <w:pPr>
        <w:spacing w:line="570" w:lineRule="exact"/>
        <w:ind w:firstLine="640" w:firstLineChars="200"/>
        <w:rPr>
          <w:rFonts w:hint="eastAsia" w:ascii="黑体" w:hAnsi="黑体" w:eastAsia="黑体" w:cs="仿宋"/>
          <w:bCs/>
          <w:sz w:val="32"/>
          <w:szCs w:val="32"/>
          <w:lang w:val="en-US" w:eastAsia="zh-CN"/>
        </w:rPr>
      </w:pPr>
      <w:r>
        <w:rPr>
          <w:rFonts w:hint="eastAsia" w:ascii="黑体" w:hAnsi="黑体" w:eastAsia="黑体" w:cs="仿宋"/>
          <w:bCs/>
          <w:sz w:val="32"/>
          <w:szCs w:val="32"/>
          <w:lang w:val="en-US" w:eastAsia="zh-CN"/>
        </w:rPr>
        <w:t>二、技术要求</w:t>
      </w:r>
    </w:p>
    <w:p>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1.报价</w:t>
      </w:r>
      <w:r>
        <w:rPr>
          <w:rFonts w:hint="eastAsia" w:ascii="仿宋" w:hAnsi="仿宋" w:eastAsia="仿宋" w:cs="仿宋"/>
          <w:color w:val="333333"/>
          <w:kern w:val="0"/>
          <w:sz w:val="32"/>
          <w:szCs w:val="32"/>
          <w:lang w:val="en-US" w:eastAsia="zh-CN" w:bidi="ar-SA"/>
        </w:rPr>
        <w:t>时必须上传针对投标产品要查验或检测的内容见表</w:t>
      </w:r>
      <w:r>
        <w:rPr>
          <w:rFonts w:hint="eastAsia" w:ascii="Times New Roman" w:hAnsi="Times New Roman" w:eastAsia="仿宋_GB2312" w:cs="Times New Roman"/>
          <w:color w:val="333333"/>
          <w:kern w:val="0"/>
          <w:sz w:val="32"/>
          <w:szCs w:val="32"/>
          <w:lang w:val="en-US" w:eastAsia="zh-CN" w:bidi="ar-SA"/>
        </w:rPr>
        <w:t>1</w:t>
      </w:r>
      <w:r>
        <w:rPr>
          <w:rFonts w:hint="eastAsia" w:ascii="仿宋" w:hAnsi="仿宋" w:eastAsia="仿宋" w:cs="仿宋"/>
          <w:color w:val="333333"/>
          <w:kern w:val="0"/>
          <w:sz w:val="32"/>
          <w:szCs w:val="32"/>
          <w:lang w:val="en-US" w:eastAsia="zh-CN" w:bidi="ar-SA"/>
        </w:rPr>
        <w:t>（多功能路灯灯具外观、系统效能、色温、平均照度、均匀度）。</w:t>
      </w:r>
    </w:p>
    <w:p>
      <w:pPr>
        <w:ind w:left="1260" w:hanging="1260" w:hangingChars="600"/>
        <w:jc w:val="center"/>
        <w:rPr>
          <w:rFonts w:hint="eastAsia" w:ascii="仿宋" w:hAnsi="仿宋" w:eastAsia="仿宋"/>
          <w:lang w:val="en-US" w:eastAsia="zh-CN"/>
        </w:rPr>
      </w:pPr>
      <w:r>
        <w:rPr>
          <w:rFonts w:hint="eastAsia"/>
          <w:lang w:val="en-US" w:eastAsia="zh-CN"/>
        </w:rPr>
        <w:drawing>
          <wp:anchor distT="0" distB="0" distL="114300" distR="114300" simplePos="0" relativeHeight="251660288" behindDoc="0" locked="0" layoutInCell="1" allowOverlap="1">
            <wp:simplePos x="0" y="0"/>
            <wp:positionH relativeFrom="column">
              <wp:posOffset>1522730</wp:posOffset>
            </wp:positionH>
            <wp:positionV relativeFrom="paragraph">
              <wp:posOffset>133350</wp:posOffset>
            </wp:positionV>
            <wp:extent cx="2783205" cy="5586730"/>
            <wp:effectExtent l="0" t="0" r="17145" b="13970"/>
            <wp:wrapSquare wrapText="bothSides"/>
            <wp:docPr id="4" name="图片 4" descr="微信图片_2023120409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31204092812"/>
                    <pic:cNvPicPr>
                      <a:picLocks noChangeAspect="1"/>
                    </pic:cNvPicPr>
                  </pic:nvPicPr>
                  <pic:blipFill>
                    <a:blip r:embed="rId5"/>
                    <a:stretch>
                      <a:fillRect/>
                    </a:stretch>
                  </pic:blipFill>
                  <pic:spPr>
                    <a:xfrm>
                      <a:off x="0" y="0"/>
                      <a:ext cx="2783205" cy="5586730"/>
                    </a:xfrm>
                    <a:prstGeom prst="rect">
                      <a:avLst/>
                    </a:prstGeom>
                  </pic:spPr>
                </pic:pic>
              </a:graphicData>
            </a:graphic>
          </wp:anchor>
        </w:drawing>
      </w: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ind w:left="1260" w:hanging="1260" w:hangingChars="600"/>
        <w:jc w:val="center"/>
        <w:rPr>
          <w:rFonts w:hint="eastAsia"/>
          <w:lang w:val="en-US" w:eastAsia="zh-CN"/>
        </w:rPr>
      </w:pPr>
    </w:p>
    <w:p>
      <w:pPr>
        <w:jc w:val="both"/>
        <w:rPr>
          <w:rFonts w:hint="eastAsia"/>
          <w:lang w:val="en-US" w:eastAsia="zh-CN"/>
        </w:rPr>
      </w:pPr>
    </w:p>
    <w:p>
      <w:pPr>
        <w:ind w:left="1260" w:hanging="1260" w:hangingChars="600"/>
        <w:jc w:val="center"/>
        <w:rPr>
          <w:rFonts w:hint="eastAsia" w:ascii="仿宋" w:hAnsi="仿宋" w:eastAsia="仿宋" w:cs="仿宋"/>
          <w:color w:val="000000"/>
          <w:kern w:val="0"/>
          <w:sz w:val="24"/>
          <w:lang w:eastAsia="zh-CN" w:bidi="ar"/>
        </w:rPr>
      </w:pPr>
      <w:r>
        <w:rPr>
          <w:rFonts w:hint="eastAsia"/>
          <w:lang w:val="en-US" w:eastAsia="zh-CN"/>
        </w:rPr>
        <w:t xml:space="preserve"> </w:t>
      </w:r>
      <w:r>
        <w:rPr>
          <w:rFonts w:hint="eastAsia" w:ascii="仿宋" w:hAnsi="仿宋" w:eastAsia="仿宋" w:cs="仿宋"/>
          <w:color w:val="000000"/>
          <w:kern w:val="0"/>
          <w:sz w:val="24"/>
          <w:lang w:val="en-US" w:eastAsia="zh-CN" w:bidi="ar"/>
        </w:rPr>
        <w:t>多功能路</w:t>
      </w:r>
      <w:r>
        <w:rPr>
          <w:rFonts w:hint="eastAsia" w:ascii="仿宋" w:hAnsi="仿宋" w:eastAsia="仿宋" w:cs="仿宋"/>
          <w:color w:val="000000"/>
          <w:kern w:val="0"/>
          <w:sz w:val="24"/>
          <w:lang w:eastAsia="zh-CN" w:bidi="ar"/>
        </w:rPr>
        <w:t>灯示意图</w:t>
      </w:r>
    </w:p>
    <w:p>
      <w:pPr>
        <w:ind w:left="1260" w:hanging="1440" w:hangingChars="600"/>
        <w:jc w:val="center"/>
      </w:pPr>
      <w:r>
        <w:rPr>
          <w:rFonts w:hint="eastAsia" w:ascii="仿宋" w:hAnsi="仿宋" w:eastAsia="仿宋" w:cs="仿宋"/>
          <w:color w:val="000000"/>
          <w:kern w:val="0"/>
          <w:sz w:val="24"/>
          <w:lang w:val="en-US" w:eastAsia="zh-CN" w:bidi="ar"/>
        </w:rPr>
        <w:t xml:space="preserve">                                                        </w:t>
      </w:r>
    </w:p>
    <w:p>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w:t>
      </w:r>
      <w:r>
        <w:rPr>
          <w:rFonts w:hint="eastAsia" w:ascii="仿宋" w:hAnsi="仿宋" w:eastAsia="仿宋" w:cs="仿宋"/>
          <w:color w:val="333333"/>
          <w:kern w:val="0"/>
          <w:sz w:val="32"/>
          <w:szCs w:val="32"/>
          <w:lang w:val="en-US" w:eastAsia="zh-CN" w:bidi="ar-SA"/>
        </w:rPr>
        <w:t>先检表格（报价时必须上传针对投标产品要查验或检测的内容）：</w:t>
      </w:r>
      <w:r>
        <w:rPr>
          <w:rFonts w:hint="eastAsia" w:ascii="Times New Roman" w:hAnsi="Times New Roman" w:eastAsia="仿宋_GB2312" w:cs="Times New Roman"/>
          <w:color w:val="333333"/>
          <w:kern w:val="0"/>
          <w:sz w:val="32"/>
          <w:szCs w:val="32"/>
          <w:lang w:val="en-US" w:eastAsia="zh-CN" w:bidi="ar-SA"/>
        </w:rPr>
        <w:t xml:space="preserve">                             </w:t>
      </w:r>
    </w:p>
    <w:p>
      <w:pPr>
        <w:pStyle w:val="2"/>
        <w:widowControl w:val="0"/>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表1</w:t>
      </w:r>
    </w:p>
    <w:tbl>
      <w:tblPr>
        <w:tblStyle w:val="15"/>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397"/>
        <w:gridCol w:w="2279"/>
        <w:gridCol w:w="51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1454" w:type="dxa"/>
            <w:gridSpan w:val="2"/>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bookmarkStart w:id="1" w:name="_Hlk9847644"/>
            <w:r>
              <w:rPr>
                <w:rFonts w:hint="eastAsia" w:ascii="Times New Roman" w:hAnsi="Times New Roman" w:eastAsia="仿宋_GB2312" w:cs="Times New Roman"/>
                <w:color w:val="333333"/>
                <w:kern w:val="0"/>
                <w:sz w:val="24"/>
                <w:szCs w:val="24"/>
                <w:lang w:val="en-US" w:eastAsia="zh-CN"/>
              </w:rPr>
              <w:t>说 明</w:t>
            </w:r>
          </w:p>
        </w:tc>
        <w:tc>
          <w:tcPr>
            <w:tcW w:w="7381" w:type="dxa"/>
            <w:gridSpan w:val="2"/>
            <w:noWrap w:val="0"/>
            <w:vAlign w:val="center"/>
          </w:tcPr>
          <w:p>
            <w:pPr>
              <w:widowControl/>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 xml:space="preserve">    投标时技术部分必须自</w:t>
            </w:r>
            <w:r>
              <w:rPr>
                <w:rFonts w:hint="eastAsia" w:ascii="Times New Roman" w:hAnsi="Times New Roman" w:eastAsia="仿宋_GB2312" w:cs="Times New Roman"/>
                <w:color w:val="333333"/>
                <w:kern w:val="0"/>
                <w:sz w:val="24"/>
                <w:szCs w:val="24"/>
                <w:highlight w:val="none"/>
                <w:lang w:val="en-US" w:eastAsia="zh-CN"/>
              </w:rPr>
              <w:t>带的材料：①合格的国家级权威检测机构出具的LED灯具检测报告（灯具检测包含安全及光学性能）。②多功能路灯灯杆和普通路灯灯杆结构受力合格计算书各1份，所有灯杆准确的受力验算计算书（1.受力计算书中必须列明计算的环境条件，如风速，地震强度等。2.受力计算书中必须以清单的形式列明本技术文件中规定的载荷类型、数量、重量、迎风面积等计算条件。3.受力计算书中应以清单的形式列明为保证杆件结构安全所需要考虑其他载荷类型、数量、重量和迎风面积），保证灯杆强度达到要求。（灯杆结构受力需考虑预留5G基站负荷：单个基站设备迎风</w:t>
            </w:r>
            <w:r>
              <w:rPr>
                <w:rFonts w:hint="eastAsia" w:ascii="Times New Roman" w:hAnsi="Times New Roman" w:eastAsia="仿宋_GB2312" w:cs="Times New Roman"/>
                <w:color w:val="333333"/>
                <w:kern w:val="0"/>
                <w:sz w:val="24"/>
                <w:szCs w:val="24"/>
                <w:lang w:val="en-US" w:eastAsia="zh-CN"/>
              </w:rPr>
              <w:t>面积按0.5㎡计算，单个设备净重按47kg计算）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57" w:type="dxa"/>
            <w:vMerge w:val="restart"/>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外观</w:t>
            </w: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w:t>
            </w:r>
          </w:p>
        </w:tc>
        <w:tc>
          <w:tcPr>
            <w:tcW w:w="2279" w:type="dxa"/>
            <w:noWrap w:val="0"/>
            <w:vAlign w:val="center"/>
          </w:tcPr>
          <w:p>
            <w:pPr>
              <w:widowControl/>
              <w:ind w:firstLine="480" w:firstLineChars="200"/>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产品尺寸</w:t>
            </w:r>
          </w:p>
        </w:tc>
        <w:tc>
          <w:tcPr>
            <w:tcW w:w="5102" w:type="dxa"/>
            <w:noWrap w:val="0"/>
            <w:vAlign w:val="center"/>
          </w:tcPr>
          <w:p>
            <w:pPr>
              <w:widowControl/>
              <w:ind w:firstLine="480" w:firstLineChars="200"/>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详细尺寸见下文见技术文件描述。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vMerge w:val="restart"/>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2</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LED灯具</w:t>
            </w:r>
          </w:p>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整灯外壳</w:t>
            </w:r>
          </w:p>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材质及结构</w:t>
            </w:r>
          </w:p>
        </w:tc>
        <w:tc>
          <w:tcPr>
            <w:tcW w:w="5102" w:type="dxa"/>
            <w:noWrap w:val="0"/>
            <w:vAlign w:val="center"/>
          </w:tcPr>
          <w:p>
            <w:pPr>
              <w:widowControl/>
              <w:ind w:firstLine="480" w:firstLineChars="200"/>
              <w:jc w:val="left"/>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LED灯具整灯独立散热且整灯外壳为高压铸铝；具有独立的电源腔和光源腔。LED灯具与灯杆挑臂必须是分体式结构，灯具必须能独立安装和拆卸。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2279" w:type="dxa"/>
            <w:noWrap w:val="0"/>
            <w:vAlign w:val="center"/>
          </w:tcPr>
          <w:p>
            <w:pPr>
              <w:widowControl/>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灯杆材质及结构</w:t>
            </w:r>
          </w:p>
        </w:tc>
        <w:tc>
          <w:tcPr>
            <w:tcW w:w="5102" w:type="dxa"/>
            <w:noWrap w:val="0"/>
            <w:vAlign w:val="center"/>
          </w:tcPr>
          <w:p>
            <w:pPr>
              <w:widowControl/>
              <w:ind w:firstLine="480" w:firstLineChars="200"/>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多功能路灯为6063-T6铝合金型材等综合使用，卡槽式设计，预留后期功能扩展接口，后期可随意加装扩展设备，可快速加装、更换、拆卸维护便捷。顶部挑臂，底座杆件可采用Q235钢板，法兰盘材质为Q235优质钢板，附钢材生产厂家“产品质量证明书”。底座外壳材质采用纤维增强复合材质（FRP），符合GB/T3961及GB/T14206的要求。</w:t>
            </w:r>
          </w:p>
          <w:p>
            <w:pPr>
              <w:widowControl/>
              <w:ind w:firstLine="480" w:firstLineChars="200"/>
              <w:jc w:val="left"/>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普通路灯为杆体材质Q235钢板，法兰盘材质为Q235优质钢板，附钢材生产厂家“产品质量证明书”。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3</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灯杆壁厚</w:t>
            </w:r>
          </w:p>
        </w:tc>
        <w:tc>
          <w:tcPr>
            <w:tcW w:w="5102" w:type="dxa"/>
            <w:noWrap w:val="0"/>
            <w:vAlign w:val="center"/>
          </w:tcPr>
          <w:p>
            <w:pPr>
              <w:widowControl/>
              <w:ind w:firstLine="480" w:firstLineChars="200"/>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符合投标时提供的受力计算书中给出的灯杆壁厚数值。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057" w:type="dxa"/>
            <w:vMerge w:val="restart"/>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50W LED灯具安全</w:t>
            </w: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安全与试验要求</w:t>
            </w:r>
          </w:p>
        </w:tc>
        <w:tc>
          <w:tcPr>
            <w:tcW w:w="5102" w:type="dxa"/>
            <w:noWrap w:val="0"/>
            <w:vAlign w:val="center"/>
          </w:tcPr>
          <w:p>
            <w:pPr>
              <w:widowControl/>
              <w:ind w:firstLine="480" w:firstLineChars="200"/>
              <w:jc w:val="left"/>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符合GB7000.1及GB7000.203的要求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2</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防护等级</w:t>
            </w:r>
          </w:p>
        </w:tc>
        <w:tc>
          <w:tcPr>
            <w:tcW w:w="5102" w:type="dxa"/>
            <w:noWrap w:val="0"/>
            <w:vAlign w:val="center"/>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7" w:type="dxa"/>
            <w:vMerge w:val="restart"/>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50W LED灯具光学及性能</w:t>
            </w: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整灯系统功耗</w:t>
            </w:r>
          </w:p>
        </w:tc>
        <w:tc>
          <w:tcPr>
            <w:tcW w:w="5102"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≤60W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2</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系统效能</w:t>
            </w:r>
          </w:p>
        </w:tc>
        <w:tc>
          <w:tcPr>
            <w:tcW w:w="5102"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≥140lm/W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3</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单灯功率因数</w:t>
            </w:r>
          </w:p>
        </w:tc>
        <w:tc>
          <w:tcPr>
            <w:tcW w:w="5102"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≥0.95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4</w:t>
            </w:r>
          </w:p>
        </w:tc>
        <w:tc>
          <w:tcPr>
            <w:tcW w:w="2279"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色温</w:t>
            </w:r>
          </w:p>
        </w:tc>
        <w:tc>
          <w:tcPr>
            <w:tcW w:w="5102"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3000K±200K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5</w:t>
            </w:r>
          </w:p>
        </w:tc>
        <w:tc>
          <w:tcPr>
            <w:tcW w:w="2279" w:type="dxa"/>
            <w:noWrap w:val="0"/>
            <w:vAlign w:val="top"/>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平均照度E</w:t>
            </w:r>
            <w:r>
              <w:rPr>
                <w:rFonts w:hint="eastAsia" w:ascii="Times New Roman" w:hAnsi="Times New Roman" w:eastAsia="仿宋_GB2312" w:cs="Times New Roman"/>
                <w:color w:val="333333"/>
                <w:kern w:val="0"/>
                <w:sz w:val="24"/>
                <w:szCs w:val="24"/>
                <w:vertAlign w:val="subscript"/>
                <w:lang w:val="en-US" w:eastAsia="zh-CN"/>
              </w:rPr>
              <w:t>av</w:t>
            </w:r>
            <w:r>
              <w:rPr>
                <w:rFonts w:hint="eastAsia" w:ascii="Times New Roman" w:hAnsi="Times New Roman" w:eastAsia="仿宋_GB2312" w:cs="Times New Roman"/>
                <w:color w:val="333333"/>
                <w:kern w:val="0"/>
                <w:sz w:val="24"/>
                <w:szCs w:val="24"/>
                <w:lang w:val="en-US" w:eastAsia="zh-CN"/>
              </w:rPr>
              <w:t>（L</w:t>
            </w:r>
            <w:r>
              <w:rPr>
                <w:rFonts w:hint="eastAsia" w:ascii="Times New Roman" w:hAnsi="Times New Roman" w:eastAsia="仿宋_GB2312" w:cs="Times New Roman"/>
                <w:color w:val="333333"/>
                <w:kern w:val="0"/>
                <w:sz w:val="24"/>
                <w:szCs w:val="24"/>
                <w:vertAlign w:val="subscript"/>
                <w:lang w:val="en-US" w:eastAsia="zh-CN"/>
              </w:rPr>
              <w:t>x</w:t>
            </w:r>
            <w:r>
              <w:rPr>
                <w:rFonts w:hint="eastAsia" w:ascii="Times New Roman" w:hAnsi="Times New Roman" w:eastAsia="仿宋_GB2312" w:cs="Times New Roman"/>
                <w:color w:val="333333"/>
                <w:kern w:val="0"/>
                <w:sz w:val="24"/>
                <w:szCs w:val="24"/>
                <w:lang w:val="en-US" w:eastAsia="zh-CN"/>
              </w:rPr>
              <w:t>）维持值</w:t>
            </w:r>
          </w:p>
        </w:tc>
        <w:tc>
          <w:tcPr>
            <w:tcW w:w="5102" w:type="dxa"/>
            <w:noWrap w:val="0"/>
            <w:vAlign w:val="top"/>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≥10lx</w:t>
            </w:r>
          </w:p>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（在技术文件给定的安装条件下模拟得出）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57" w:type="dxa"/>
            <w:vMerge w:val="continue"/>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97" w:type="dxa"/>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6</w:t>
            </w:r>
          </w:p>
        </w:tc>
        <w:tc>
          <w:tcPr>
            <w:tcW w:w="2279" w:type="dxa"/>
            <w:noWrap w:val="0"/>
            <w:vAlign w:val="top"/>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均匀度U</w:t>
            </w:r>
            <w:r>
              <w:rPr>
                <w:rFonts w:hint="eastAsia" w:ascii="Times New Roman" w:hAnsi="Times New Roman" w:eastAsia="仿宋_GB2312" w:cs="Times New Roman"/>
                <w:color w:val="333333"/>
                <w:kern w:val="0"/>
                <w:sz w:val="24"/>
                <w:szCs w:val="24"/>
                <w:vertAlign w:val="subscript"/>
                <w:lang w:val="en-US" w:eastAsia="zh-CN"/>
              </w:rPr>
              <w:t>E</w:t>
            </w:r>
          </w:p>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最小值</w:t>
            </w:r>
          </w:p>
        </w:tc>
        <w:tc>
          <w:tcPr>
            <w:tcW w:w="5102" w:type="dxa"/>
            <w:noWrap w:val="0"/>
            <w:vAlign w:val="top"/>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≥0.3</w:t>
            </w:r>
          </w:p>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（在技术文件给定的安装条件下模拟得出）</w:t>
            </w:r>
          </w:p>
        </w:tc>
      </w:tr>
      <w:bookmarkEnd w:id="1"/>
    </w:tbl>
    <w:p>
      <w:pPr>
        <w:pStyle w:val="4"/>
        <w:keepNext/>
        <w:keepLines/>
        <w:pageBreakBefore w:val="0"/>
        <w:widowControl w:val="0"/>
        <w:kinsoku/>
        <w:wordWrap/>
        <w:overflowPunct/>
        <w:topLinePunct w:val="0"/>
        <w:autoSpaceDE/>
        <w:autoSpaceDN/>
        <w:bidi w:val="0"/>
        <w:adjustRightInd/>
        <w:snapToGrid/>
        <w:spacing w:before="20" w:beforeLines="0" w:beforeAutospacing="0" w:after="100" w:afterLines="0" w:afterAutospacing="1" w:line="570" w:lineRule="exact"/>
        <w:ind w:left="0" w:leftChars="0" w:right="210" w:rightChars="100" w:firstLine="640" w:firstLineChars="200"/>
        <w:jc w:val="left"/>
        <w:textAlignment w:val="auto"/>
        <w:rPr>
          <w:rFonts w:hint="eastAsia" w:ascii="黑体" w:hAnsi="黑体" w:eastAsia="黑体" w:cs="黑体"/>
          <w:b w:val="0"/>
          <w:bCs w:val="0"/>
          <w:color w:val="333333"/>
          <w:kern w:val="0"/>
          <w:sz w:val="32"/>
          <w:szCs w:val="32"/>
          <w:lang w:val="en-US" w:eastAsia="zh-CN" w:bidi="ar-SA"/>
        </w:rPr>
      </w:pPr>
      <w:r>
        <w:rPr>
          <w:rFonts w:hint="eastAsia" w:ascii="黑体" w:hAnsi="黑体" w:eastAsia="黑体" w:cs="黑体"/>
          <w:b w:val="0"/>
          <w:bCs w:val="0"/>
          <w:color w:val="333333"/>
          <w:kern w:val="0"/>
          <w:sz w:val="32"/>
          <w:szCs w:val="32"/>
          <w:lang w:val="en-US" w:eastAsia="zh-CN" w:bidi="ar-SA"/>
        </w:rPr>
        <w:t>三、</w:t>
      </w:r>
      <w:r>
        <w:rPr>
          <w:rFonts w:hint="eastAsia" w:ascii="Times New Roman" w:hAnsi="Times New Roman" w:eastAsia="仿宋_GB2312" w:cs="Times New Roman"/>
          <w:b w:val="0"/>
          <w:color w:val="333333"/>
          <w:kern w:val="0"/>
          <w:sz w:val="32"/>
          <w:szCs w:val="32"/>
          <w:lang w:val="en-US" w:eastAsia="zh-CN" w:bidi="ar-SA"/>
        </w:rPr>
        <w:t>50W LED</w:t>
      </w:r>
      <w:r>
        <w:rPr>
          <w:rFonts w:hint="eastAsia" w:ascii="黑体" w:hAnsi="黑体" w:eastAsia="黑体" w:cs="黑体"/>
          <w:b w:val="0"/>
          <w:bCs w:val="0"/>
          <w:color w:val="333333"/>
          <w:kern w:val="0"/>
          <w:sz w:val="32"/>
          <w:szCs w:val="32"/>
          <w:lang w:val="en-US" w:eastAsia="zh-CN" w:bidi="ar-SA"/>
        </w:rPr>
        <w:t>路灯灯头的模拟安装条件</w:t>
      </w:r>
    </w:p>
    <w:p>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bookmarkStart w:id="2" w:name="_Toc29418"/>
      <w:r>
        <w:rPr>
          <w:rFonts w:hint="eastAsia" w:ascii="Times New Roman" w:hAnsi="Times New Roman" w:eastAsia="仿宋_GB2312" w:cs="Times New Roman"/>
          <w:color w:val="333333"/>
          <w:kern w:val="0"/>
          <w:sz w:val="32"/>
          <w:szCs w:val="32"/>
          <w:lang w:val="en-US" w:eastAsia="zh-CN" w:bidi="ar-SA"/>
        </w:rPr>
        <w:t>安装条件：</w:t>
      </w:r>
      <w:bookmarkEnd w:id="2"/>
    </w:p>
    <w:tbl>
      <w:tblPr>
        <w:tblStyle w:val="15"/>
        <w:tblW w:w="8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3330"/>
        <w:gridCol w:w="4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restart"/>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 xml:space="preserve"> 灯</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具</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系</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统</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安</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装</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条</w:t>
            </w:r>
            <w:r>
              <w:rPr>
                <w:rFonts w:hint="eastAsia" w:ascii="Times New Roman" w:hAnsi="Times New Roman" w:eastAsia="仿宋_GB2312" w:cs="Times New Roman"/>
                <w:color w:val="333333"/>
                <w:kern w:val="0"/>
                <w:sz w:val="24"/>
                <w:szCs w:val="24"/>
                <w:lang w:val="en-US" w:eastAsia="zh-CN"/>
              </w:rPr>
              <w:br w:type="textWrapping"/>
            </w:r>
            <w:r>
              <w:rPr>
                <w:rFonts w:hint="eastAsia" w:ascii="Times New Roman" w:hAnsi="Times New Roman" w:eastAsia="仿宋_GB2312" w:cs="Times New Roman"/>
                <w:color w:val="333333"/>
                <w:kern w:val="0"/>
                <w:sz w:val="24"/>
                <w:szCs w:val="24"/>
                <w:lang w:val="en-US" w:eastAsia="zh-CN"/>
              </w:rPr>
              <w:t xml:space="preserve"> 件</w:t>
            </w: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道路类别：</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支路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道路宽度 (m)：</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道路表面材料</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灯具布置方式</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单侧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灯具安装高度h(m)</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灯杆的安装间距S(m)</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灯杆与路沿的距离(m)</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灯臂长度（m）</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灯具仰角（度）</w:t>
            </w:r>
          </w:p>
        </w:tc>
        <w:tc>
          <w:tcPr>
            <w:tcW w:w="4160" w:type="dxa"/>
            <w:shd w:val="clear" w:color="auto" w:fill="FFFFFF"/>
            <w:noWrap w:val="0"/>
            <w:vAlign w:val="center"/>
          </w:tcPr>
          <w:p>
            <w:pPr>
              <w:widowControl/>
              <w:jc w:val="center"/>
              <w:textAlignment w:val="center"/>
              <w:rPr>
                <w:rFonts w:hint="default"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1345" w:type="dxa"/>
            <w:vMerge w:val="continue"/>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p>
        </w:tc>
        <w:tc>
          <w:tcPr>
            <w:tcW w:w="333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灯具维护系数</w:t>
            </w:r>
          </w:p>
        </w:tc>
        <w:tc>
          <w:tcPr>
            <w:tcW w:w="4160" w:type="dxa"/>
            <w:shd w:val="clear" w:color="auto" w:fill="FFFFFF"/>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rPr>
            </w:pPr>
            <w:r>
              <w:rPr>
                <w:rFonts w:hint="eastAsia" w:ascii="Times New Roman" w:hAnsi="Times New Roman" w:eastAsia="仿宋_GB2312" w:cs="Times New Roman"/>
                <w:color w:val="333333"/>
                <w:kern w:val="0"/>
                <w:sz w:val="24"/>
                <w:szCs w:val="24"/>
                <w:lang w:val="en-US" w:eastAsia="zh-CN"/>
              </w:rPr>
              <w:t>0.7</w:t>
            </w:r>
          </w:p>
        </w:tc>
      </w:tr>
      <w:bookmarkEnd w:id="0"/>
    </w:tbl>
    <w:p>
      <w:pPr>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注：在上述道路模拟安装条件下照明需满足以下要求：</w:t>
      </w:r>
    </w:p>
    <w:p>
      <w:pPr>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1.路面平均照度E</w:t>
      </w:r>
      <w:r>
        <w:rPr>
          <w:rFonts w:hint="eastAsia" w:ascii="Times New Roman" w:hAnsi="Times New Roman" w:eastAsia="仿宋_GB2312" w:cs="Times New Roman"/>
          <w:color w:val="333333"/>
          <w:kern w:val="0"/>
          <w:sz w:val="32"/>
          <w:szCs w:val="32"/>
          <w:vertAlign w:val="subscript"/>
          <w:lang w:val="en-US" w:eastAsia="zh-CN" w:bidi="ar-SA"/>
        </w:rPr>
        <w:t>av</w:t>
      </w:r>
      <w:r>
        <w:rPr>
          <w:rFonts w:hint="eastAsia" w:ascii="Times New Roman" w:hAnsi="Times New Roman" w:eastAsia="仿宋_GB2312" w:cs="Times New Roman"/>
          <w:color w:val="333333"/>
          <w:kern w:val="0"/>
          <w:sz w:val="32"/>
          <w:szCs w:val="32"/>
          <w:lang w:val="en-US" w:eastAsia="zh-CN" w:bidi="ar-SA"/>
        </w:rPr>
        <w:t>（L</w:t>
      </w:r>
      <w:r>
        <w:rPr>
          <w:rFonts w:hint="eastAsia" w:ascii="Times New Roman" w:hAnsi="Times New Roman" w:eastAsia="仿宋_GB2312" w:cs="Times New Roman"/>
          <w:color w:val="333333"/>
          <w:kern w:val="0"/>
          <w:sz w:val="32"/>
          <w:szCs w:val="32"/>
          <w:vertAlign w:val="subscript"/>
          <w:lang w:val="en-US" w:eastAsia="zh-CN" w:bidi="ar-SA"/>
        </w:rPr>
        <w:t>X</w:t>
      </w:r>
      <w:r>
        <w:rPr>
          <w:rFonts w:hint="eastAsia" w:ascii="Times New Roman" w:hAnsi="Times New Roman" w:eastAsia="仿宋_GB2312" w:cs="Times New Roman"/>
          <w:color w:val="333333"/>
          <w:kern w:val="0"/>
          <w:sz w:val="32"/>
          <w:szCs w:val="32"/>
          <w:lang w:val="en-US" w:eastAsia="zh-CN" w:bidi="ar-SA"/>
        </w:rPr>
        <w:t>）维持值不低于10lx。</w:t>
      </w:r>
    </w:p>
    <w:p>
      <w:pPr>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Times New Roman" w:hAnsi="Times New Roman" w:eastAsia="仿宋_GB2312" w:cs="Times New Roman"/>
          <w:color w:val="333333"/>
          <w:kern w:val="0"/>
          <w:sz w:val="32"/>
          <w:szCs w:val="32"/>
          <w:lang w:val="en-US" w:eastAsia="zh-CN" w:bidi="ar-SA"/>
        </w:rPr>
        <w:t>2.照度均匀度U</w:t>
      </w:r>
      <w:r>
        <w:rPr>
          <w:rFonts w:hint="eastAsia" w:ascii="Times New Roman" w:hAnsi="Times New Roman" w:eastAsia="仿宋_GB2312" w:cs="Times New Roman"/>
          <w:color w:val="333333"/>
          <w:kern w:val="0"/>
          <w:sz w:val="32"/>
          <w:szCs w:val="32"/>
          <w:vertAlign w:val="subscript"/>
          <w:lang w:val="en-US" w:eastAsia="zh-CN" w:bidi="ar-SA"/>
        </w:rPr>
        <w:t>E</w:t>
      </w:r>
      <w:r>
        <w:rPr>
          <w:rFonts w:hint="eastAsia" w:ascii="Times New Roman" w:hAnsi="Times New Roman" w:eastAsia="仿宋_GB2312" w:cs="Times New Roman"/>
          <w:color w:val="333333"/>
          <w:kern w:val="0"/>
          <w:sz w:val="32"/>
          <w:szCs w:val="32"/>
          <w:lang w:val="en-US" w:eastAsia="zh-CN" w:bidi="ar-SA"/>
        </w:rPr>
        <w:t>最小值不低于0.3。</w:t>
      </w:r>
    </w:p>
    <w:p>
      <w:pPr>
        <w:pStyle w:val="4"/>
        <w:keepNext/>
        <w:keepLines/>
        <w:pageBreakBefore w:val="0"/>
        <w:widowControl w:val="0"/>
        <w:kinsoku/>
        <w:wordWrap/>
        <w:overflowPunct/>
        <w:topLinePunct w:val="0"/>
        <w:autoSpaceDE/>
        <w:autoSpaceDN/>
        <w:bidi w:val="0"/>
        <w:adjustRightInd/>
        <w:snapToGrid/>
        <w:spacing w:before="20" w:beforeLines="0" w:beforeAutospacing="0" w:after="100" w:afterLines="0" w:afterAutospacing="1" w:line="570" w:lineRule="exact"/>
        <w:ind w:left="0" w:leftChars="0" w:right="210" w:rightChars="100" w:firstLine="640" w:firstLineChars="200"/>
        <w:jc w:val="left"/>
        <w:textAlignment w:val="auto"/>
        <w:rPr>
          <w:rFonts w:hint="eastAsia" w:ascii="黑体" w:hAnsi="黑体" w:eastAsia="黑体" w:cs="黑体"/>
          <w:b w:val="0"/>
          <w:bCs w:val="0"/>
          <w:color w:val="333333"/>
          <w:kern w:val="0"/>
          <w:sz w:val="32"/>
          <w:szCs w:val="32"/>
          <w:lang w:val="en-US" w:eastAsia="zh-CN" w:bidi="ar-SA"/>
        </w:rPr>
      </w:pPr>
      <w:r>
        <w:rPr>
          <w:rFonts w:hint="eastAsia" w:ascii="黑体" w:hAnsi="黑体" w:eastAsia="黑体" w:cs="黑体"/>
          <w:b w:val="0"/>
          <w:bCs w:val="0"/>
          <w:color w:val="333333"/>
          <w:kern w:val="0"/>
          <w:sz w:val="32"/>
          <w:szCs w:val="32"/>
          <w:lang w:val="en-US" w:eastAsia="zh-CN" w:bidi="ar-SA"/>
        </w:rPr>
        <w:t>四、产品技术要求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本次招标采购的多功能路灯和普通路灯应符合以下技术标准：</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（一）灯具的一般要求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1.提供灯具安装说明书。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2.灯具含光源、控制装置、单灯控制器及一切其他所必备的附件。</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3.所有灯具（含光源、控制装置、单灯控制器）质保五年。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4.除特殊要求外，灯具尺寸公差按照GB-T1804的精度M级别标准执行，其中安装公差和位置公差按照精度F级别标准执行。</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5.灯具必须配置与采购单位提供的灯杆相匹配的连接件及防坠落装置（防坠落装置要求见下文）。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6.应具备所投标灯具的CQC认证证书及报告。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7.应具备所投标灯具使用的浪涌保护器、驱动电源的3C认证证书。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8.必须保证每种型号灯罩不少于10套整灯、电源及配件20套作为备品备件的维修周转。</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9.必须符合的各类标准：</w:t>
      </w:r>
      <w:bookmarkStart w:id="3" w:name="OLE_LINK29"/>
      <w:r>
        <w:rPr>
          <w:rFonts w:hint="eastAsia" w:ascii="Times New Roman" w:hAnsi="Times New Roman" w:eastAsia="仿宋_GB2312" w:cs="Times New Roman"/>
          <w:color w:val="333333"/>
          <w:kern w:val="0"/>
          <w:sz w:val="32"/>
          <w:szCs w:val="32"/>
          <w:lang w:val="en-US" w:eastAsia="zh-CN" w:bidi="ar-SA"/>
        </w:rPr>
        <w:t>（灯具必须符合下列文件中的条款，凡是不注日期的引用文件，其最新版本适用于本标准。）</w:t>
      </w:r>
    </w:p>
    <w:bookmarkEnd w:id="3"/>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 《灯具第1部分：一般要求与试验》GB 7000.1。</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 《灯具第2-3部分特殊要求:道路与街路照明灯具》GB 7000.203。</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9.3 《均匀色空间和色差公式》GB/T 7921。</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9.4 《电磁兼容限值谐波电流发射限值(设备每相输入电流≤16A)》GB 17625.1。</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9.5 《电气照明和类似设备的无线电骚扰特性的限值和测量方法》GB 17743。</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9.6 《电磁兼容试验和测量技术浪涌（冲击）抗扰度试验》GB/T 17626.5。</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9.7 《一般照明设备电磁兼容抗扰度要求》GB/T 18595。</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9.8 《灯具分布光度测量的一般要求》GB/T 9468。</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9.9 《电工电子产品环境试验第2部分试验方法试验Ka：盐雾》GB/T 2423.17。</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9.10 《道路与街路照明灯具性能要求》GB/T 24827。</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9.11 《灯的控制装置第14部分：LED模块用直流或交流电子控制装置的特殊要求》GB 19510.14。</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9.12 《投光灯具安全要求》GB 7000.7。</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9.13 《普通照明用LED模块性能要求》GB/T 24823。</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9.14 《LED城市道路照明应用技术要求》GB/T 31832。</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 w:hAnsi="仿宋" w:eastAsia="仿宋" w:cs="仿宋"/>
          <w:sz w:val="32"/>
          <w:szCs w:val="32"/>
        </w:rPr>
      </w:pPr>
      <w:r>
        <w:rPr>
          <w:rFonts w:hint="eastAsia" w:ascii="Times New Roman" w:hAnsi="Times New Roman" w:eastAsia="仿宋_GB2312" w:cs="Times New Roman"/>
          <w:color w:val="333333"/>
          <w:kern w:val="0"/>
          <w:sz w:val="32"/>
          <w:szCs w:val="32"/>
          <w:lang w:val="en-US" w:eastAsia="zh-CN" w:bidi="ar-SA"/>
        </w:rPr>
        <w:t>其他国家及江苏省现行相关标准规范、图集等。</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bookmarkStart w:id="4" w:name="_Toc13658"/>
      <w:bookmarkStart w:id="5" w:name="_Toc7894"/>
      <w:bookmarkStart w:id="6" w:name="_Toc24921"/>
      <w:bookmarkStart w:id="7" w:name="_Toc17599"/>
      <w:bookmarkStart w:id="8" w:name="_Toc18214"/>
      <w:bookmarkStart w:id="9" w:name="_Toc6439"/>
      <w:r>
        <w:rPr>
          <w:rFonts w:hint="eastAsia" w:ascii="楷体" w:hAnsi="楷体" w:eastAsia="楷体" w:cs="楷体"/>
          <w:sz w:val="32"/>
          <w:szCs w:val="32"/>
          <w:lang w:val="en-US" w:eastAsia="zh-CN"/>
        </w:rPr>
        <w:t>（二）安全要求</w:t>
      </w:r>
      <w:bookmarkEnd w:id="4"/>
      <w:bookmarkEnd w:id="5"/>
      <w:bookmarkEnd w:id="6"/>
      <w:bookmarkEnd w:id="7"/>
      <w:bookmarkEnd w:id="8"/>
      <w:bookmarkEnd w:id="9"/>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10" w:name="_Toc4423"/>
      <w:bookmarkStart w:id="11" w:name="_Toc18494"/>
      <w:r>
        <w:rPr>
          <w:rFonts w:hint="eastAsia" w:ascii="Times New Roman" w:hAnsi="Times New Roman" w:eastAsia="仿宋_GB2312" w:cs="Times New Roman"/>
          <w:color w:val="333333"/>
          <w:kern w:val="0"/>
          <w:sz w:val="32"/>
          <w:szCs w:val="32"/>
          <w:lang w:val="en-US" w:eastAsia="zh-CN" w:bidi="ar-SA"/>
        </w:rPr>
        <w:t>2.1 灯具应符合相关国标的要求。</w:t>
      </w:r>
      <w:bookmarkEnd w:id="10"/>
      <w:bookmarkEnd w:id="11"/>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12" w:name="_Toc958"/>
      <w:bookmarkStart w:id="13" w:name="_Toc7531"/>
      <w:bookmarkStart w:id="14" w:name="_Toc10338"/>
      <w:bookmarkStart w:id="15" w:name="_Toc30365"/>
      <w:bookmarkStart w:id="16" w:name="_Toc1181"/>
      <w:bookmarkStart w:id="17" w:name="_Toc19932"/>
      <w:r>
        <w:rPr>
          <w:rFonts w:hint="eastAsia" w:ascii="Times New Roman" w:hAnsi="Times New Roman" w:eastAsia="仿宋_GB2312" w:cs="Times New Roman"/>
          <w:color w:val="333333"/>
          <w:kern w:val="0"/>
          <w:sz w:val="32"/>
          <w:szCs w:val="32"/>
          <w:lang w:val="en-US" w:eastAsia="zh-CN" w:bidi="ar-SA"/>
        </w:rPr>
        <w:t>2.2 外观质量：</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（1）LED路灯灯头外形尺寸应满足下列要求：</w:t>
      </w:r>
    </w:p>
    <w:p>
      <w:pPr>
        <w:spacing w:line="570"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300mm≤长度≤950mm,150mm≤宽度≤450mm，60mm≤厚度≤200mm（不含单灯控制器）；同时要求灯具的长宽比要求长:宽≧1.2。外形应与与灯杆预留孔相匹配，保障安装和维护。</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（2）灯具外壳构造设计宜具备自清洁功能，以防污物堆积和便于清洗；无损伤、变形、涂层剥落，玻璃罩应无气泡、明显划痕和裂纹等缺陷。</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（3）LED路灯灯头的整灯重量不超过16kg。</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2.3 材料、功率要求：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（1）灯具所采用的电线(缆)、LED和其他电子部件均应符合相应的国家标准或行业标准的规定要求。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（2）灯具的插销、铰链、螺钉和其他外部构件应用不锈钢、铝合金等制成。</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（3）灯具密封件应耐温、耐老化和耐道路上可能出现的腐蚀性气体，并应方便更换。</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2.4 结构要求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（1）灯具应安装方便，安装角度应能灵活调节。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（2）灯具电源线穿线设计合理，便于灯具更换。</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（3）灯具应有特设的导线出(入)口密封装置，该装置为不锈钢材料。</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（4）灯具内应有电源接线端子，接线端子应有符合国家相关标准的接线标识（L、N、PE），外部接线和内部接线穿过硬质材料时应有保护措施。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2.5 电磁兼容等要求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 灯具的无线电骚扰特性应符合GB 17743的要求。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 灯具电磁兼容抗扰度应符合GB/T 18595 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（3）灯具的输入电流谐波应符合GB l7625.1的要求。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（4）LED电子控制装置应采用高压输出的LED电子控制装置，输出电流不超过1.5A。并应符合GB 19510.14的规定。</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（5）LED灯具的蓝光控制应符合GB 7000.1的规定。</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2.6 耐腐蚀性</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灯具应具有良好的耐腐蚀性能；灯具喷塑涂层的附着力应符合GB/T 9286的要求，硬度应符合GB/T 6739的要求，冲击强度应符合GB/T 1732的要求；灯具上的电镀或化学覆盖件，覆盖层应符合QB/T3741中Ⅲ类使用条件的要求。灯具灯体材质表面应有耐腐蚀、抗破坏处理手段，处理工艺需达10年使用寿命。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2.7灯具内接线应按下图所示，单灯控制器应自带相应保护开关。</w:t>
      </w:r>
    </w:p>
    <w:p>
      <w:pPr>
        <w:spacing w:line="360" w:lineRule="auto"/>
        <w:outlineLvl w:val="1"/>
        <w:rPr>
          <w:rFonts w:hint="eastAsia" w:ascii="仿宋" w:hAnsi="仿宋" w:eastAsia="仿宋"/>
          <w:kern w:val="44"/>
          <w:sz w:val="28"/>
          <w:szCs w:val="28"/>
        </w:rPr>
      </w:pPr>
      <w:r>
        <w:rPr>
          <w:rFonts w:hint="eastAsia" w:ascii="仿宋" w:hAnsi="仿宋" w:eastAsia="仿宋" w:cs="仿宋"/>
          <w:b/>
          <w:bCs/>
          <w:kern w:val="0"/>
          <w:sz w:val="32"/>
          <w:szCs w:val="32"/>
        </w:rPr>
        <w:drawing>
          <wp:anchor distT="0" distB="0" distL="114300" distR="114300" simplePos="0" relativeHeight="251659264" behindDoc="0" locked="0" layoutInCell="1" allowOverlap="1">
            <wp:simplePos x="0" y="0"/>
            <wp:positionH relativeFrom="column">
              <wp:posOffset>1252220</wp:posOffset>
            </wp:positionH>
            <wp:positionV relativeFrom="paragraph">
              <wp:posOffset>106680</wp:posOffset>
            </wp:positionV>
            <wp:extent cx="3152140" cy="1340485"/>
            <wp:effectExtent l="0" t="0" r="0" b="0"/>
            <wp:wrapTopAndBottom/>
            <wp:docPr id="1" name="图片 2" descr="3d0de58a21069dc53ad4d44a7aed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3d0de58a21069dc53ad4d44a7aed668"/>
                    <pic:cNvPicPr>
                      <a:picLocks noChangeAspect="1"/>
                    </pic:cNvPicPr>
                  </pic:nvPicPr>
                  <pic:blipFill>
                    <a:blip r:embed="rId6"/>
                    <a:stretch>
                      <a:fillRect/>
                    </a:stretch>
                  </pic:blipFill>
                  <pic:spPr>
                    <a:xfrm>
                      <a:off x="0" y="0"/>
                      <a:ext cx="3152140" cy="1340485"/>
                    </a:xfrm>
                    <a:prstGeom prst="rect">
                      <a:avLst/>
                    </a:prstGeom>
                    <a:noFill/>
                    <a:ln>
                      <a:noFill/>
                    </a:ln>
                  </pic:spPr>
                </pic:pic>
              </a:graphicData>
            </a:graphic>
          </wp:anchor>
        </w:drawing>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2.8 150w以下LED灯具配置熔断器规格为4A。</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2.9 振动及冲击试验</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2.9.1振动测试：在小于共振频率2Hz的频率上，响应加速度大于1.5G的情况下，XYZ三轴各100000次振动。试验后样品外观无损伤，并能正常工作。</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2.9.2 冲击测试：最恶劣方向上需承受2次11ms 30G的冲击，灯具功能正常；承受1次11ms 50G的冲击，灯具不可发生断裂破损等影响安全的损伤。</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2.10 防碰撞试验</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2.10.1 灯具应符合GB/T 20138 电器设备外壳对外界机械碰撞的防护等级≥IK08。</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（三）对LED路灯灯头的具体要求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 有针对感应雷击及静电的专用防护元件，器件性能符合IEC61000-4（Level 4）的检测标准。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 灯具控制装置必须符合国家相关标准。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18" w:name="OLE_LINK38"/>
      <w:r>
        <w:rPr>
          <w:rFonts w:hint="eastAsia" w:ascii="Times New Roman" w:hAnsi="Times New Roman" w:eastAsia="仿宋_GB2312" w:cs="Times New Roman"/>
          <w:color w:val="333333"/>
          <w:kern w:val="0"/>
          <w:sz w:val="32"/>
          <w:szCs w:val="32"/>
          <w:lang w:val="en-US" w:eastAsia="zh-CN" w:bidi="ar-SA"/>
        </w:rPr>
        <w:t>3.3 灯具外壳应采用优质高压铸铝一次压铸制成</w:t>
      </w:r>
      <w:bookmarkEnd w:id="18"/>
      <w:r>
        <w:rPr>
          <w:rFonts w:hint="eastAsia" w:ascii="Times New Roman" w:hAnsi="Times New Roman" w:eastAsia="仿宋_GB2312" w:cs="Times New Roman"/>
          <w:color w:val="333333"/>
          <w:kern w:val="0"/>
          <w:sz w:val="32"/>
          <w:szCs w:val="32"/>
          <w:lang w:val="en-US" w:eastAsia="zh-CN" w:bidi="ar-SA"/>
        </w:rPr>
        <w:t>，具有良好的耐气候性能，表面应能承受机械压力和盐雾、汽车废气及清洗剂的腐蚀。灯具表面整齐光滑，厚度均匀，无破损、无裂痕，整体感无色差。</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3.4 要求灯具自洁性好，颜色为白色（RAL9016）、灰色（RAL7016）、黑色（RAL9011）或松绿纱纹色（由招标人提供样板色），如有需要可根据招标人要求修改调整。</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3.5 采用全结构散热设计，灯壳可以辅助LED模块散热，有效降低LED芯片的结温。散热设计要先进合理，灯具适应温度：-25℃～+50℃。</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3.6 螺丝、螺母等相关附件要求采用不锈钢材质（不锈钢304）。</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3.7 灯具紧固螺栓应使用10mm外六角螺栓。</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3.8 内部导线应根据灯具功率选配，符合相关规范要求。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3.9 驱动电源应内置在灯具电源腔内，与光源模组间连接可靠，便于维护，整体美观。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3.10 灯具的浪涌保护器应独立设置，并安装在灯具内，电压保护水平Up输出值应小于控制装置的抗浪涌电压，且不应大于2KV，接线应具有防误接措施。共模抗浪涌电压不应低于10KV，差模抗浪涌电压不应低于5KV。</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3.11 电器元件均符合GB14048电器元件国标要求。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3.12 LED灯具的寿命应不小于50000h。 LED灯具在正常工作6000h的光通维持率不应小于98%，正常工作12000h的光通量维持率不应小于90%，正常工作25000h的光通量维持率不应小于83%，正常工作40000h的光通量维持率不应小于75%，正常工作50000h的光通量维持率不应小于70%。同时灯具在正常工作12000h内年损坏率不应高于1%，12000h~50000h内年损坏率不应高于3%。</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3.13 LED灯具的全寿命周期内的色温应为3000K±200K。</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（1）初始色温在额定相关色温范围内，3万小时色温与初设色温的偏移不超过±200K。</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（2）5万小时，要求在不同方向上的色品坐标与其加权平均值偏差在GB/T7921规定的CIE1976均匀色度标尺图中，不应大于0.007。</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（3）5万小时，要求色品坐标与初设值的偏差在GB/T7921规定的CIE1976均匀色度标尺图中，不应大于0.012。</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3.14 灯具建议配置呼吸器。</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3.15 灯具工作电压：AC190V～260V/50～60Hz。</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3.16 灯具连同单灯控制器在内整体防护等级为IP65。防护性能采用硅橡胶密封圈实现，不能使用胶水密封。</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3.17 电器绝缘等级：Class I。</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3.18 每一个独立的LED光源应具有多层透镜进行二次配光以确保灯具的配光适合路灯应用以及确保更大的灯杆间距和照明均匀度。</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3.19 灯具的设计应确保电源和LED模组能在现场的灯杆上替换，内部接线使用快接插头；灯具的壳体(上框和下盖)开闭紧固应设计成用旋钮或不锈钢搭扣进行紧固以确保日常维护的方便，实现无需工具维护。</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3.20 灯具采用60mm直径的安装接口，50W LED路灯灯头应能根据业主要求提供40mm直径的安装接口（需为标准结构件）。</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3.21 灯具应有独立的电源腔，电源的电磁干扰不会对光源产生影响、散热相互隔离、维护密封更可靠，并应为上开盖方式。</w:t>
      </w:r>
    </w:p>
    <w:p>
      <w:pPr>
        <w:spacing w:line="570" w:lineRule="exact"/>
        <w:ind w:firstLine="640" w:firstLineChars="200"/>
        <w:rPr>
          <w:rFonts w:hint="eastAsia" w:ascii="仿宋" w:hAnsi="仿宋" w:eastAsia="仿宋" w:cs="仿宋"/>
          <w:sz w:val="32"/>
          <w:szCs w:val="32"/>
        </w:rPr>
      </w:pPr>
      <w:r>
        <w:rPr>
          <w:rFonts w:hint="eastAsia" w:ascii="Times New Roman" w:hAnsi="Times New Roman" w:eastAsia="仿宋_GB2312" w:cs="Times New Roman"/>
          <w:color w:val="333333"/>
          <w:kern w:val="0"/>
          <w:sz w:val="32"/>
          <w:szCs w:val="32"/>
          <w:lang w:val="en-US" w:eastAsia="zh-CN" w:bidi="ar-SA"/>
        </w:rPr>
        <w:t>3.22 电源腔应有足够的安装空间，保证各品牌驱动电源的可替换。</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3.23  LED灯具控制要求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3.23.1 单灯控制器应与LED灯具为一体且可拆卸，禁止单灯控制器与灯具分离，灯具控制方式可采用1-10V模拟或DALI数字等调光方式，具备接收调光命令进行调光和根据查询命令反馈相关电气参数的功能，灯具响应时间应不大于5s。灯具应能纳入常州市城市照明管理处现有城市照明单灯控制平台并接受管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3.23.2 单灯控制器宜与灯具为同一品牌，且宜具备符合单灯控制方式的CQC认证报告。</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3.24 当单灯控制器发生故障时，LED灯具应能正常工作。</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3.25 应可根据业主要求提供不同配光形式的灯具，并在灯具内进行特殊标识，标识应牢固，不变色、褪色。</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3.26 灯具的上盖应该有防风的措施，在常州市50年以来最大风力下，不应被风开启或吹脱。</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（四）对光源及芯片的要求</w:t>
      </w:r>
      <w:bookmarkEnd w:id="12"/>
      <w:bookmarkEnd w:id="13"/>
      <w:bookmarkEnd w:id="14"/>
      <w:bookmarkEnd w:id="15"/>
      <w:bookmarkEnd w:id="16"/>
      <w:bookmarkEnd w:id="17"/>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19" w:name="_Hlk9915864"/>
      <w:r>
        <w:rPr>
          <w:rFonts w:hint="eastAsia" w:ascii="Times New Roman" w:hAnsi="Times New Roman" w:eastAsia="仿宋_GB2312" w:cs="Times New Roman"/>
          <w:color w:val="333333"/>
          <w:kern w:val="0"/>
          <w:sz w:val="32"/>
          <w:szCs w:val="32"/>
          <w:lang w:val="en-US" w:eastAsia="zh-CN" w:bidi="ar-SA"/>
        </w:rPr>
        <w:t>4.1 采用全模块化结构设计，每个LED模块具有独立的散热、防水和配光，可随意组合。</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4.2 LED推荐采用Philips Lumileds、Cree、OSRAM、Nichia原厂封装芯片，不得采用集成式芯片，交货前须附原厂供货证明。</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4.3 LED光源光效≥150lm/w，色温为3000K±200K，显色指数≥70，LED光源寿命≥50000h。</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（五）对驱动电源的要求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可接220V/50HZ交流电压，经驱动电源转换，输出直流电压与LED负载相匹配，并为LED提供恒定直流电流驱动。提供完善的保护，如输入电压不足、过电压保护、输出开路与短路保护等。驱动电源在额定电压±20%范围内应正常工作。驱动电源推荐采用MEAN WELL、茂硕、英飞特、飞利浦等品牌，交货前须附原厂供货证明。同时需通过国家强制性产品认证。驱动电源防护等级不到低于IP65。</w:t>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（六）对灯具防坠落装置（含防坠落钢丝绳）技术要求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1.灯具必须配置与采购单位提供的灯杆相匹配的连接件及防坠落装置。汽车等外力撞击灯杆时灯具不会坠落在地，保证安全。防坠落装置安装于合理位置（如下图）。</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2.钢丝绳材质：304不锈钢。</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3.钢丝绳直径：≥3mm。</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4.钢丝绳长度：露出灯具部分≥500mm。</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5.钢丝绳拉力：≥500kg。</w:t>
      </w:r>
    </w:p>
    <w:p>
      <w:pPr>
        <w:spacing w:line="570" w:lineRule="exact"/>
        <w:ind w:firstLine="640" w:firstLineChars="200"/>
        <w:rPr>
          <w:rFonts w:hint="eastAsia" w:ascii="仿宋" w:hAnsi="仿宋" w:eastAsia="仿宋"/>
          <w:kern w:val="44"/>
          <w:sz w:val="28"/>
          <w:szCs w:val="28"/>
          <w:lang w:val="en-US" w:eastAsia="zh-CN"/>
        </w:rPr>
      </w:pPr>
      <w:r>
        <w:rPr>
          <w:rFonts w:hint="eastAsia" w:ascii="Times New Roman" w:hAnsi="Times New Roman" w:eastAsia="仿宋_GB2312" w:cs="Times New Roman"/>
          <w:color w:val="333333"/>
          <w:kern w:val="0"/>
          <w:sz w:val="32"/>
          <w:szCs w:val="32"/>
          <w:lang w:val="en-US" w:eastAsia="zh-CN" w:bidi="ar-SA"/>
        </w:rPr>
        <w:t>6.钢丝绳两端固定方式：固定式(M8不锈钢螺丝可固定)。</w:t>
      </w:r>
    </w:p>
    <w:p>
      <w:pPr>
        <w:spacing w:line="360" w:lineRule="auto"/>
        <w:jc w:val="center"/>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drawing>
          <wp:inline distT="0" distB="0" distL="114300" distR="114300">
            <wp:extent cx="1895475" cy="1162050"/>
            <wp:effectExtent l="0" t="0" r="9525" b="0"/>
            <wp:docPr id="11" name="图片 11" descr="be6b8e42fd96e23cf60ae8508fef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be6b8e42fd96e23cf60ae8508fef197"/>
                    <pic:cNvPicPr>
                      <a:picLocks noChangeAspect="1"/>
                    </pic:cNvPicPr>
                  </pic:nvPicPr>
                  <pic:blipFill>
                    <a:blip r:embed="rId7"/>
                    <a:stretch>
                      <a:fillRect/>
                    </a:stretch>
                  </pic:blipFill>
                  <pic:spPr>
                    <a:xfrm>
                      <a:off x="0" y="0"/>
                      <a:ext cx="1895475" cy="1162050"/>
                    </a:xfrm>
                    <a:prstGeom prst="rect">
                      <a:avLst/>
                    </a:prstGeom>
                  </pic:spPr>
                </pic:pic>
              </a:graphicData>
            </a:graphic>
          </wp:inline>
        </w:drawing>
      </w:r>
    </w:p>
    <w:p>
      <w:pPr>
        <w:keepNext w:val="0"/>
        <w:keepLines w:val="0"/>
        <w:widowControl/>
        <w:suppressLineNumbers w:val="0"/>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钢丝绳与灯杆连接示意图</w:t>
      </w:r>
    </w:p>
    <w:p>
      <w:pPr>
        <w:spacing w:line="360" w:lineRule="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drawing>
          <wp:inline distT="0" distB="0" distL="114300" distR="114300">
            <wp:extent cx="2573020" cy="1537335"/>
            <wp:effectExtent l="0" t="0" r="17780" b="5715"/>
            <wp:docPr id="3" name="图片 3" descr="2cd419adfc4cb65e4cfe86509c45c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cd419adfc4cb65e4cfe86509c45c2d"/>
                    <pic:cNvPicPr>
                      <a:picLocks noChangeAspect="1"/>
                    </pic:cNvPicPr>
                  </pic:nvPicPr>
                  <pic:blipFill>
                    <a:blip r:embed="rId8"/>
                    <a:stretch>
                      <a:fillRect/>
                    </a:stretch>
                  </pic:blipFill>
                  <pic:spPr>
                    <a:xfrm>
                      <a:off x="0" y="0"/>
                      <a:ext cx="2573020" cy="1537335"/>
                    </a:xfrm>
                    <a:prstGeom prst="rect">
                      <a:avLst/>
                    </a:prstGeom>
                  </pic:spPr>
                </pic:pic>
              </a:graphicData>
            </a:graphic>
          </wp:inline>
        </w:drawing>
      </w:r>
      <w:r>
        <w:rPr>
          <w:rFonts w:hint="eastAsia" w:ascii="楷体" w:hAnsi="楷体" w:eastAsia="楷体" w:cs="楷体"/>
          <w:sz w:val="32"/>
          <w:szCs w:val="32"/>
          <w:lang w:val="en-US" w:eastAsia="zh-CN"/>
        </w:rPr>
        <w:drawing>
          <wp:inline distT="0" distB="0" distL="114300" distR="114300">
            <wp:extent cx="2383790" cy="1529715"/>
            <wp:effectExtent l="0" t="0" r="16510" b="13335"/>
            <wp:docPr id="2" name="图片 2" descr="e23a825fb8f57dcf8a3ee9c203c43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23a825fb8f57dcf8a3ee9c203c431b"/>
                    <pic:cNvPicPr>
                      <a:picLocks noChangeAspect="1"/>
                    </pic:cNvPicPr>
                  </pic:nvPicPr>
                  <pic:blipFill>
                    <a:blip r:embed="rId9"/>
                    <a:stretch>
                      <a:fillRect/>
                    </a:stretch>
                  </pic:blipFill>
                  <pic:spPr>
                    <a:xfrm>
                      <a:off x="0" y="0"/>
                      <a:ext cx="2383790" cy="1529715"/>
                    </a:xfrm>
                    <a:prstGeom prst="rect">
                      <a:avLst/>
                    </a:prstGeom>
                  </pic:spPr>
                </pic:pic>
              </a:graphicData>
            </a:graphic>
          </wp:inline>
        </w:drawing>
      </w:r>
    </w:p>
    <w:p>
      <w:pPr>
        <w:keepNext w:val="0"/>
        <w:keepLines w:val="0"/>
        <w:widowControl/>
        <w:suppressLineNumbers w:val="0"/>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防坠落装置及安装示意图</w:t>
      </w:r>
    </w:p>
    <w:p>
      <w:pPr>
        <w:keepNext w:val="0"/>
        <w:keepLines w:val="0"/>
        <w:widowControl/>
        <w:suppressLineNumbers w:val="0"/>
        <w:jc w:val="center"/>
        <w:rPr>
          <w:rFonts w:hint="eastAsia" w:ascii="仿宋" w:hAnsi="仿宋" w:eastAsia="仿宋" w:cs="仿宋"/>
          <w:color w:val="000000"/>
          <w:kern w:val="0"/>
          <w:sz w:val="24"/>
          <w:lang w:val="en-US" w:eastAsia="zh-CN" w:bidi="ar"/>
        </w:rPr>
      </w:pPr>
    </w:p>
    <w:p>
      <w:pPr>
        <w:spacing w:line="360" w:lineRule="auto"/>
        <w:ind w:firstLine="640" w:firstLineChars="200"/>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（七）灯具外观图（仅供参考）</w:t>
      </w:r>
    </w:p>
    <w:p>
      <w:pPr>
        <w:spacing w:line="360" w:lineRule="auto"/>
        <w:ind w:firstLine="420" w:firstLineChars="200"/>
        <w:rPr>
          <w:rFonts w:hint="eastAsia" w:ascii="仿宋" w:hAnsi="仿宋" w:eastAsia="仿宋"/>
          <w:kern w:val="44"/>
          <w:sz w:val="28"/>
          <w:szCs w:val="28"/>
          <w:lang w:val="en-US" w:eastAsia="zh-CN"/>
        </w:rPr>
      </w:pPr>
      <w:r>
        <w:rPr>
          <w:rFonts w:hint="eastAsia"/>
          <w:lang w:val="en-US" w:eastAsia="zh-CN"/>
        </w:rPr>
        <w:t xml:space="preserve">                       </w:t>
      </w:r>
      <w:r>
        <w:drawing>
          <wp:inline distT="0" distB="0" distL="114300" distR="114300">
            <wp:extent cx="2055495" cy="1011555"/>
            <wp:effectExtent l="0" t="0" r="0" b="0"/>
            <wp:docPr id="6"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5"/>
                    <pic:cNvPicPr>
                      <a:picLocks noChangeAspect="1"/>
                    </pic:cNvPicPr>
                  </pic:nvPicPr>
                  <pic:blipFill>
                    <a:blip r:embed="rId10"/>
                    <a:stretch>
                      <a:fillRect/>
                    </a:stretch>
                  </pic:blipFill>
                  <pic:spPr>
                    <a:xfrm>
                      <a:off x="0" y="0"/>
                      <a:ext cx="2055495" cy="1011555"/>
                    </a:xfrm>
                    <a:prstGeom prst="rect">
                      <a:avLst/>
                    </a:prstGeom>
                    <a:noFill/>
                    <a:ln>
                      <a:noFill/>
                    </a:ln>
                  </pic:spPr>
                </pic:pic>
              </a:graphicData>
            </a:graphic>
          </wp:inline>
        </w:drawing>
      </w:r>
    </w:p>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（八）灯杆基本要求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 灯杆高度和外形详见灯杆图纸（门板开孔位置需考虑现场覆土问题，预留一定高度）。</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8.2 材质要求：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8.2.1 灯杆材质：</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多功能路灯为6063-T6铝合金型材等综合使用，底部杆件可采用钢杆，卡槽式设计，预留后期功能扩展接口，后期通过计算后加装扩展设备，可快速加装、更换、拆卸维护便捷。具体尺寸和厚度根据计算书计算确定。</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（2）普通路灯为杆体材质Q235钢板，法兰盘材质为Q235优质钢板，附钢材生产厂家“产品质量证明书”。</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具体尺寸和厚度根据计算书计算确定。</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8.2.2 加工工艺要求：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多功能路灯灯杆为组合灯杆，钢结构生产为焊接结构；铝合金材质与钢结构的连接必须采用插接的方式，严禁出现铝合金材质与Q235钢板焊接的工艺；铝合金生产满足挤压、焊接、热处理、表面处理的国标要求生产，复合材料采用RTM工艺，并符合国标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（2）普通路灯灯杆必须采用自动埋弧焊接工艺。整个杆体应无任何一处漏焊，焊缝平整，表面光滑，不允许有横向焊缝，不允许有横向变形，无任何焊接缺陷。焊接工艺符合国家标准。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8.2.3 热浸锌防腐处理层厚度δ≥70μm，灯杆必须弯好后浸锌。</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8.2.4 表面处理要求：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（1）复合材料表面采用抗紫外线油漆。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（2）灯臂采用喷塑或汽车漆，喷塑表面涂层平均厚度应达到75um 以上。</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喷塑涂层的附着力应达到GB/T 9286 规定的0 级要求。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喷塑涂层的硬度应按GB/T 6739规定，并达到2H要求。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喷塑涂层的冲击强度不小于1kg/50cm，并符合GB/T 1732 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 xml:space="preserve">杆体采用抛丸处理，多功能路灯腔体内部采用抽屉式设计。  </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8.3颜色要求：RAL7012。可根据采购单位要求更换其他颜色。</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8.4需能抵御50年一遇大风天气（风压为0.4KN/㎡）。</w:t>
      </w:r>
    </w:p>
    <w:p>
      <w:pPr>
        <w:spacing w:line="570" w:lineRule="exact"/>
        <w:ind w:firstLine="640" w:firstLineChars="200"/>
        <w:rPr>
          <w:rFonts w:hint="default" w:ascii="Times New Roman" w:hAnsi="Times New Roman" w:eastAsia="仿宋_GB2312" w:cs="Times New Roman"/>
          <w:color w:val="333333"/>
          <w:kern w:val="0"/>
          <w:sz w:val="32"/>
          <w:szCs w:val="32"/>
          <w:highlight w:val="none"/>
          <w:lang w:val="en-US" w:eastAsia="zh-CN" w:bidi="ar-SA"/>
        </w:rPr>
      </w:pPr>
      <w:r>
        <w:rPr>
          <w:rFonts w:hint="eastAsia" w:ascii="Times New Roman" w:hAnsi="Times New Roman" w:eastAsia="仿宋_GB2312" w:cs="Times New Roman"/>
          <w:color w:val="333333"/>
          <w:kern w:val="0"/>
          <w:sz w:val="32"/>
          <w:szCs w:val="32"/>
          <w:highlight w:val="none"/>
          <w:lang w:val="en-US" w:eastAsia="zh-CN" w:bidi="ar-SA"/>
        </w:rPr>
        <w:t>8.5挑臂部分开孔，预留尺寸符合灯具灯具安装要求。</w:t>
      </w:r>
    </w:p>
    <w:p>
      <w:pPr>
        <w:spacing w:line="570" w:lineRule="exact"/>
        <w:ind w:firstLine="640" w:firstLineChars="200"/>
        <w:rPr>
          <w:rFonts w:hint="eastAsia" w:ascii="Times New Roman" w:hAnsi="Times New Roman" w:eastAsia="仿宋_GB2312" w:cs="Times New Roman"/>
          <w:color w:val="333333"/>
          <w:kern w:val="0"/>
          <w:sz w:val="32"/>
          <w:szCs w:val="32"/>
          <w:highlight w:val="none"/>
          <w:lang w:val="en-US" w:eastAsia="zh-CN" w:bidi="ar-SA"/>
        </w:rPr>
      </w:pPr>
      <w:r>
        <w:rPr>
          <w:rFonts w:hint="eastAsia" w:ascii="Times New Roman" w:hAnsi="Times New Roman" w:eastAsia="仿宋_GB2312" w:cs="Times New Roman"/>
          <w:color w:val="333333"/>
          <w:kern w:val="0"/>
          <w:sz w:val="32"/>
          <w:szCs w:val="32"/>
          <w:highlight w:val="none"/>
          <w:lang w:val="en-US" w:eastAsia="zh-CN" w:bidi="ar-SA"/>
        </w:rPr>
        <w:t>8.6灯杆制作图仅为示意，投标方投标时需提供相应灯杆强度（包含灯杆基础）计算说明书。（计算说明</w:t>
      </w:r>
      <w:bookmarkStart w:id="30" w:name="_GoBack"/>
      <w:bookmarkEnd w:id="30"/>
      <w:r>
        <w:rPr>
          <w:rFonts w:hint="eastAsia" w:ascii="Times New Roman" w:hAnsi="Times New Roman" w:eastAsia="仿宋_GB2312" w:cs="Times New Roman"/>
          <w:color w:val="333333"/>
          <w:kern w:val="0"/>
          <w:sz w:val="32"/>
          <w:szCs w:val="32"/>
          <w:highlight w:val="none"/>
          <w:lang w:val="en-US" w:eastAsia="zh-CN" w:bidi="ar-SA"/>
        </w:rPr>
        <w:t>书引用文件准确，计算无误）。</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8.7多功能路灯基础(基础螺栓尺寸及位置需与灯杆法兰底板尺寸一致，螺纹高出法兰长度不少于15cm，要求灯杆安装校平后，螺丝预留长度可以满足双螺母的可靠固定)：采用埋入式柱脚独立基础,基础设计等级应达到丙级;常州地区基本风压为0.40kN/㎡,基本雪压为0.35kN/㎡,抗震设防烈度为7度,设计地震分组为第一组。同时提供详尽灯杆基础制作工艺图，保证安全可靠。</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8.8多功能路灯灯杆底部法兰厚度20mm，不允许有加强筋，顶部预留法兰结构，法兰厚度8mm，普通路灯灯杆底部法兰厚度15mm，不允许有加强筋，顶部预留法兰结构，法兰厚度8mm。</w:t>
      </w:r>
    </w:p>
    <w:p>
      <w:pPr>
        <w:spacing w:line="570"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8.9套接固定螺栓用沉头螺栓。</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8.10、支架</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20" w:name="_Toc360438796"/>
      <w:bookmarkStart w:id="21" w:name="_Toc360434103"/>
      <w:bookmarkStart w:id="22" w:name="_Toc363124886"/>
      <w:r>
        <w:rPr>
          <w:rFonts w:hint="eastAsia" w:ascii="Times New Roman" w:hAnsi="Times New Roman" w:eastAsia="仿宋_GB2312" w:cs="Times New Roman"/>
          <w:color w:val="333333"/>
          <w:kern w:val="0"/>
          <w:sz w:val="32"/>
          <w:szCs w:val="32"/>
          <w:lang w:val="en-US" w:eastAsia="zh-CN" w:bidi="ar-SA"/>
        </w:rPr>
        <w:t>8.10.1 多功能路灯灯杆支架的采用</w:t>
      </w:r>
      <w:bookmarkEnd w:id="20"/>
      <w:bookmarkEnd w:id="21"/>
      <w:bookmarkEnd w:id="22"/>
      <w:r>
        <w:rPr>
          <w:rFonts w:hint="eastAsia" w:ascii="Times New Roman" w:hAnsi="Times New Roman" w:eastAsia="仿宋_GB2312" w:cs="Times New Roman"/>
          <w:color w:val="333333"/>
          <w:kern w:val="0"/>
          <w:sz w:val="32"/>
          <w:szCs w:val="32"/>
          <w:lang w:val="en-US" w:eastAsia="zh-CN" w:bidi="ar-SA"/>
        </w:rPr>
        <w:t>铝合金材料，并结合各部分的表面处理。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8.10.2防腐寿命达20年以上。</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8.10.3颜色与灯杆匹配；与灯杆连接处光滑、自然、浑然一体。</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 xml:space="preserve">8.10.4支架连接件能够在180°内灵活旋转可调，可在任意角度固定。 </w:t>
      </w:r>
      <w:bookmarkEnd w:id="19"/>
      <w:bookmarkStart w:id="23" w:name="_Toc3899127"/>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8.10.5支架连接件应满足不同功能设备的相关荷载、尺寸等要求。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8.10.6支架按每套灯4个计算，由中标厂家提供。</w:t>
      </w:r>
    </w:p>
    <w:p>
      <w:pPr>
        <w:pStyle w:val="33"/>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（九）单灯控制系统的技术要求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24" w:name="_Toc360434105"/>
      <w:bookmarkStart w:id="25" w:name="_Toc363124888"/>
      <w:bookmarkStart w:id="26" w:name="_Toc360438798"/>
      <w:r>
        <w:rPr>
          <w:rFonts w:hint="eastAsia" w:ascii="Times New Roman" w:hAnsi="Times New Roman" w:eastAsia="仿宋_GB2312" w:cs="Times New Roman"/>
          <w:color w:val="333333"/>
          <w:kern w:val="0"/>
          <w:sz w:val="32"/>
          <w:szCs w:val="32"/>
          <w:lang w:val="en-US" w:eastAsia="zh-CN" w:bidi="ar-SA"/>
        </w:rPr>
        <w:t>9.1 基本要求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9.1.1 提供单灯控制器安装说明书及接线图。</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9.1.2 单灯控制器应包含一切所必备的附件。</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9.1.3 单灯控制器质保五年。</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9.1.4 除特殊要求外，尺寸公差按照GB-T 1804的精度M级别标准执行，其中安装公差和位置公差按照精度F级别标准执行。</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9.1.5 必须符合的各类标准：（单灯控制器必须符合下列文件中的条款，凡是不注日期的引用文件，其最新版本适用于本标准。）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（1）GB/T 2421 电工电子产品环境试验第1部分：总则。</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（2）GB/T 2423 电工电子产品环境试验第2部分：试验方法。</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（3）GB/T 4208 外壳防护等级（IP 代码）。</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（4）GB/T 13729 远动终端设备。</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（5）CJJ/T 227 城市照明自动控制系统技术规范。</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 安全要求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9.2.1 单灯控制器应符合相关现行标准的要求。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9.2.2 单灯控制器尺寸应满足下列要求（不含天线）：长度≤150mm、宽度≤85mm、厚度≤45mm。</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9.2.3 单灯控制器所采用的电线(缆)和其他电子部件均应符合相应的国家标准或行业标准的规定要求。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9.2.4 单灯控制器的外壳应有足够的强度，外物撞击造成的变形不应影响其正常工作。</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9.2.5 单灯控制器外壳采用的非金属材料应符合GB/T 5169.11的阻燃要求。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9.2.6 单灯控制器的外部构件应用不锈钢、铝合金等制成。</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9.2.7 单灯控制器应有符合国家相关标准的接线标识（L、N、PE），外部接线和内部接线穿过硬质材料时应有保护措施。</w:t>
      </w:r>
    </w:p>
    <w:p>
      <w:pPr>
        <w:numPr>
          <w:ilvl w:val="0"/>
          <w:numId w:val="0"/>
        </w:num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9.2.8电磁兼容等要求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（1）单灯控制器的无线电骚扰特性应符合GB 17743的要求。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（2）单灯控制器的电磁兼容抗扰度应符合GB/T 18595 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（3）单灯控制器的输入电流谐波应符合GB l7625.1的要求。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9.2.9单灯控制器在下列条件下应能正常工作</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（1）工作电压：AC220V，电压波动范围：-20%～+20%。</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（2）大气压力：80～106kPa（海拔4000m及以下）。</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（3）工作温度: -40°C～+70°C。</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（4）工作湿度: 20～95﹪（非冷凝）。</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9.2.10 单灯控制器防护等级应不低于IP65。</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9.2.11 电器绝缘等级：Class I。</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9.2.12 单灯控制器的浪涌防护等级应不小于3级，差模、共模抗浪涌电压都不应低于3KV。</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9.3 性能要求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（1）单灯控制器应能纳入常州市城市照明管理处城市照明单灯控制平台并接受管理。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（2）单灯控制器应满足常州市城市照明管理处的单灯控制器(终端控制器）接口通信协议规约的要求（详见附件）。</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单灯控制器应采用NB-IoT或4G通信方式（由招标单位的订单确认），同时包括采用常州市范围内通信运营商eSIM卡，同时须以常州市城市照明管理处、常州市城市照明工程有限公司实名开卡。在质保期（5年）内，eSIM卡的通信资费由中标人负责，中标人需承诺在中标后向甲方提供与运营商签订的5年期通信资费协议，同时协议内需明确卡超过套餐流量不停机继续可用。NB-IoT数据流量应满足不小于0.5小时/次的通信频次，且同时保证发生故障时的实时告警数据传输。4G数据流量应满足实时在线的通信频次，且同时保证发生故障时的实时告警数据传输。</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（4）单灯控制器与平台主动通信时，应按配置的延时时间执行延迟操作，延迟时间可接受平台的配置。</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（5）单灯控制器在运行期间，应能够随时接受平台的配置、查询或者控制；应能够在发现故障（按设定）的情况下，主动向平台实时报警。</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（6）设备与平台失去通讯时，应不影响灯具正常照明，单灯控制器应按配置方案自主运行。</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7）单灯控制器应贴有二维码，二维码信息应包括灯具信息（编号、型号、功率、品牌、调光方案等）、单灯控制器信息（地址、编号、类型、品牌、ICCID号、IMEI号、IMSI号等）及灯杆信息（经纬度、灯杆编号、灯杆类型等）。</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（8）单灯控制器安装后的单灯定位、系统录入及调试工作由采购方负责。</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（9）单灯控制器在自身故障的情况下不得导致光源、电器的损坏。</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（10）实时控制时，NB-IoT单灯控制器与路灯控制中心通信响应时间应小于15s，4G单灯控制器与路灯控制中心通信应能实时响应。</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（11）通电之后，NB-IoT单灯控制器应满足在10s之内上线的要求，4G单灯控制器应能保持在线。</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 xml:space="preserve">（12）实时控制指令不得影响设备每日自主调光任务的执行(例:设备已配置每晚21:00执行30%调光任务，当在21:00之前收到了实时控制指令开关调光后，不得取消当晚21:00的30%调光任务)。 </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9.4 功能要求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9.4.1基本功能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（1）灯具在得电运行时，应处在缺省亮灯状态；单灯控制器故障不影响亮灯。</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（2）应具有对所管辖的照明灯具进行按配置自主控制（周期性按需开、关灯）功能和平台实时指令控制(开、关灯)功能,所有控制操作均应实时向平台报告。</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（3）应能按控制平台的远程控制命令执行灯具的开、关或调光控制操作，并实时回复平台。</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（4）通信参数、告警参数，地理位置参数等）配置功能，配置参数应具备掉电保护功能。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（5）具有路灯运行数据的实时采集功能，数据内容包括灯具功率、电流、电压、功率因数等。</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（6）根据通信协议设定的各种事件的报警阈值，单灯控制器应主动实时监测和分析，发生事件应向平台实时上报；事件包括灯具过载、过压、欠压、灯具故障或损坏等异常事件。</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（7）应具备自测试、自诊断功能，在出现死机、模块工作异常但没有损坏情况下，控制器应自主完成自恢复工作。</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（8）应能够随时接收平台远程查询和控制，并实时给出响应。</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（9）应具备接受初始化命令后重置设备的功能。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（10）应具备程序远程升级能力，可通过平台实现软件远程可控、安全授权升级。</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应有本地状态指示，指示控制器电源、通信等工作状态。</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（11）管辖复数灯具的单灯控制器应具备可实现单套灯具的故障报警功能。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9.4.2调光功能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（1）应具有对所管辖的照明灯具进行按配置自主控制（初始调光、周期性按需调光）功能和平台实时指令控制(调光)功能,所有控制操作均需实时向平台报告。</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（2）单灯控制器在得电运行后，应自动执行初始化工作，并按配置对灯具执行初始调光。</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（3）调光方式可采用1-10V模拟或DALI数字等调光方式，具备接收调光命令进行调光和根据查询命令反馈相关电气参数的功能，响应时间应不大于5s。</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9.4.3漏电监测功能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（1）应具备漏电流、漏电压等的监测功能。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（2）漏电监测单元应集成于单灯控制器中，不得设置外挂设备。</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9.5 安装要求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9.5.1单灯控制器及熔断器应能在灯具预留孔位上安装，孔位尺寸参考灯具尺寸图。</w:t>
      </w:r>
    </w:p>
    <w:bookmarkEnd w:id="24"/>
    <w:bookmarkEnd w:id="25"/>
    <w:bookmarkEnd w:id="26"/>
    <w:p>
      <w:pPr>
        <w:pageBreakBefore w:val="0"/>
        <w:kinsoku/>
        <w:wordWrap/>
        <w:overflowPunct/>
        <w:topLinePunct w:val="0"/>
        <w:autoSpaceDE/>
        <w:autoSpaceDN/>
        <w:bidi w:val="0"/>
        <w:adjustRightInd/>
        <w:snapToGrid/>
        <w:spacing w:line="57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（十）电器设备</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灯杆集成电器设备技术指表及功能指标应符合下表要求；</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10.1 机动车充电桩</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1"/>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10.1.1 遵循标准</w:t>
      </w:r>
    </w:p>
    <w:tbl>
      <w:tblPr>
        <w:tblStyle w:val="38"/>
        <w:tblpPr w:leftFromText="180" w:rightFromText="180" w:vertAnchor="text" w:horzAnchor="page" w:tblpX="1769" w:tblpY="340"/>
        <w:tblOverlap w:val="never"/>
        <w:tblW w:w="8438"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Layout w:type="fixed"/>
        <w:tblCellMar>
          <w:top w:w="0" w:type="dxa"/>
          <w:left w:w="0" w:type="dxa"/>
          <w:bottom w:w="0" w:type="dxa"/>
          <w:right w:w="0" w:type="dxa"/>
        </w:tblCellMar>
      </w:tblPr>
      <w:tblGrid>
        <w:gridCol w:w="803"/>
        <w:gridCol w:w="2268"/>
        <w:gridCol w:w="536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bottom w:val="single" w:color="000000" w:sz="4" w:space="0"/>
              <w:right w:val="single" w:color="000000" w:sz="4" w:space="0"/>
            </w:tcBorders>
            <w:shd w:val="clear" w:color="auto" w:fill="auto"/>
            <w:noWrap w:val="0"/>
            <w:vAlign w:val="top"/>
          </w:tcPr>
          <w:p>
            <w:pPr>
              <w:pStyle w:val="31"/>
              <w:spacing w:before="138"/>
              <w:ind w:right="17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序号</w:t>
            </w:r>
          </w:p>
        </w:tc>
        <w:tc>
          <w:tcPr>
            <w:tcW w:w="2268" w:type="dxa"/>
            <w:tcBorders>
              <w:left w:val="single" w:color="000000" w:sz="4" w:space="0"/>
              <w:bottom w:val="single" w:color="000000" w:sz="4" w:space="0"/>
              <w:right w:val="single" w:color="000000" w:sz="4" w:space="0"/>
            </w:tcBorders>
            <w:shd w:val="clear" w:color="auto" w:fill="auto"/>
            <w:noWrap w:val="0"/>
            <w:vAlign w:val="top"/>
          </w:tcPr>
          <w:p>
            <w:pPr>
              <w:pStyle w:val="31"/>
              <w:spacing w:before="13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标准号</w:t>
            </w:r>
          </w:p>
        </w:tc>
        <w:tc>
          <w:tcPr>
            <w:tcW w:w="5367" w:type="dxa"/>
            <w:tcBorders>
              <w:left w:val="single" w:color="000000" w:sz="4" w:space="0"/>
              <w:bottom w:val="single" w:color="000000" w:sz="4" w:space="0"/>
            </w:tcBorders>
            <w:shd w:val="clear" w:color="auto" w:fill="auto"/>
            <w:noWrap w:val="0"/>
            <w:vAlign w:val="top"/>
          </w:tcPr>
          <w:p>
            <w:pPr>
              <w:pStyle w:val="31"/>
              <w:spacing w:before="138"/>
              <w:ind w:right="253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 xml:space="preserve">               标准名称</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10"/>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10"/>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18487.1</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1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电动汽车传导充电系统 第 1 部分：通用要求</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10"/>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2</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10"/>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20234.2</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1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电动汽车传导充电用连接装置 第 1 部分：通用要求</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10"/>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3</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10"/>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20234.2</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1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电动汽车传导充电用连接装置 第 2 部分：交流充电接口</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215"/>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4</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215"/>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27930</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59" w:line="242" w:lineRule="auto"/>
              <w:ind w:right="9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电动汽车非车载传导式充电机与电池管理系统之间的通信协议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5</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19596</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电动汽车术语</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6</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17618</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信息技术设备抗扰度限值和测量方法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7</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 9254</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信息技术设备的无线电骚扰限值和测量方法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8</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 4208</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外壳防护等级（IP 代码）</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36"/>
              <w:ind w:right="27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9</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36"/>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DL/T 645</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36"/>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多功能电能表通信协议</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10</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GB9286</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色漆和清漆 漆膜的划格试验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11</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 6587.4</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电子测量仪器振动试验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12</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 6587.5</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电子测量仪器冲击试验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13</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13384</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机电产品包装通用技术条件</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14</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17626.2</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电磁兼容 试验和测量技术 静电放电抗扰度试验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07"/>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15</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07"/>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17626.3</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07"/>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电磁兼容 试验和测量技术 射频电磁场辐射抗扰度试验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41"/>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16</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41"/>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17626.4</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41"/>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电磁兼容 试验和测量技术 电快速瞬变脉冲群抗扰度试验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bottom w:val="single" w:color="000000" w:sz="4" w:space="0"/>
              <w:right w:val="single" w:color="000000" w:sz="4" w:space="0"/>
            </w:tcBorders>
            <w:shd w:val="clear" w:color="auto" w:fill="auto"/>
            <w:noWrap w:val="0"/>
            <w:vAlign w:val="top"/>
          </w:tcPr>
          <w:p>
            <w:pPr>
              <w:pStyle w:val="31"/>
              <w:spacing w:before="115"/>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17</w:t>
            </w:r>
          </w:p>
        </w:tc>
        <w:tc>
          <w:tcPr>
            <w:tcW w:w="2268"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pPr>
              <w:pStyle w:val="31"/>
              <w:spacing w:before="115"/>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17626.5</w:t>
            </w:r>
          </w:p>
        </w:tc>
        <w:tc>
          <w:tcPr>
            <w:tcW w:w="5367" w:type="dxa"/>
            <w:tcBorders>
              <w:top w:val="single" w:color="000000" w:sz="4" w:space="0"/>
              <w:left w:val="single" w:color="000000" w:sz="4" w:space="0"/>
              <w:bottom w:val="single" w:color="000000" w:sz="4" w:space="0"/>
            </w:tcBorders>
            <w:shd w:val="clear" w:color="auto" w:fill="auto"/>
            <w:noWrap w:val="0"/>
            <w:vAlign w:val="top"/>
          </w:tcPr>
          <w:p>
            <w:pPr>
              <w:pStyle w:val="31"/>
              <w:spacing w:before="115"/>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电磁兼容 试验和测量技术 浪涌（冲击）抗扰度试验</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shd w:val="clear" w:color="auto" w:fill="auto"/>
          <w:tblCellMar>
            <w:top w:w="0" w:type="dxa"/>
            <w:left w:w="0" w:type="dxa"/>
            <w:bottom w:w="0" w:type="dxa"/>
            <w:right w:w="0" w:type="dxa"/>
          </w:tblCellMar>
        </w:tblPrEx>
        <w:trPr>
          <w:trHeight w:val="510" w:hRule="atLeast"/>
        </w:trPr>
        <w:tc>
          <w:tcPr>
            <w:tcW w:w="803" w:type="dxa"/>
            <w:tcBorders>
              <w:top w:val="single" w:color="000000" w:sz="4" w:space="0"/>
              <w:right w:val="single" w:color="000000" w:sz="4" w:space="0"/>
            </w:tcBorders>
            <w:shd w:val="clear" w:color="auto" w:fill="auto"/>
            <w:noWrap w:val="0"/>
            <w:vAlign w:val="top"/>
          </w:tcPr>
          <w:p>
            <w:pPr>
              <w:pStyle w:val="31"/>
              <w:spacing w:before="184"/>
              <w:ind w:right="21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18</w:t>
            </w:r>
          </w:p>
        </w:tc>
        <w:tc>
          <w:tcPr>
            <w:tcW w:w="2268" w:type="dxa"/>
            <w:tcBorders>
              <w:top w:val="single" w:color="000000" w:sz="4" w:space="0"/>
              <w:left w:val="single" w:color="000000" w:sz="4" w:space="0"/>
              <w:right w:val="single" w:color="000000" w:sz="4" w:space="0"/>
            </w:tcBorders>
            <w:shd w:val="clear" w:color="auto" w:fill="auto"/>
            <w:noWrap w:val="0"/>
            <w:vAlign w:val="top"/>
          </w:tcPr>
          <w:p>
            <w:pPr>
              <w:pStyle w:val="31"/>
              <w:spacing w:before="184"/>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17626.6</w:t>
            </w:r>
          </w:p>
        </w:tc>
        <w:tc>
          <w:tcPr>
            <w:tcW w:w="5367" w:type="dxa"/>
            <w:tcBorders>
              <w:top w:val="single" w:color="000000" w:sz="4" w:space="0"/>
              <w:left w:val="single" w:color="000000" w:sz="4" w:space="0"/>
            </w:tcBorders>
            <w:shd w:val="clear" w:color="auto" w:fill="auto"/>
            <w:noWrap w:val="0"/>
            <w:vAlign w:val="top"/>
          </w:tcPr>
          <w:p>
            <w:pPr>
              <w:pStyle w:val="31"/>
              <w:spacing w:before="184"/>
              <w:ind w:right="-29"/>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电磁兼容 试验和测量技术 射频场感应的传导骚扰抗扰度</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10.5.2 技术参数要求</w:t>
      </w:r>
    </w:p>
    <w:tbl>
      <w:tblPr>
        <w:tblStyle w:val="15"/>
        <w:tblW w:w="8415" w:type="dxa"/>
        <w:tblInd w:w="-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91"/>
        <w:gridCol w:w="3008"/>
        <w:gridCol w:w="43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04" w:hRule="atLeast"/>
        </w:trPr>
        <w:tc>
          <w:tcPr>
            <w:tcW w:w="1091" w:type="dxa"/>
            <w:shd w:val="clear" w:color="auto" w:fill="auto"/>
            <w:noWrap w:val="0"/>
            <w:vAlign w:val="top"/>
          </w:tcPr>
          <w:p>
            <w:pPr>
              <w:pStyle w:val="31"/>
              <w:spacing w:before="6"/>
              <w:jc w:val="left"/>
              <w:rPr>
                <w:rFonts w:hint="eastAsia" w:ascii="Times New Roman" w:hAnsi="Times New Roman" w:eastAsia="仿宋_GB2312" w:cs="Times New Roman"/>
                <w:color w:val="333333"/>
                <w:kern w:val="0"/>
                <w:sz w:val="24"/>
                <w:szCs w:val="24"/>
                <w:lang w:val="en-US" w:eastAsia="zh-CN" w:bidi="ar-SA"/>
              </w:rPr>
            </w:pPr>
          </w:p>
          <w:p>
            <w:pPr>
              <w:pStyle w:val="31"/>
              <w:ind w:left="132"/>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 xml:space="preserve"> </w:t>
            </w:r>
          </w:p>
        </w:tc>
        <w:tc>
          <w:tcPr>
            <w:tcW w:w="3008" w:type="dxa"/>
            <w:shd w:val="clear" w:color="auto" w:fill="auto"/>
            <w:noWrap w:val="0"/>
            <w:vAlign w:val="top"/>
          </w:tcPr>
          <w:p>
            <w:pPr>
              <w:pStyle w:val="31"/>
              <w:spacing w:before="6"/>
              <w:jc w:val="left"/>
              <w:rPr>
                <w:rFonts w:hint="eastAsia" w:ascii="Times New Roman" w:hAnsi="Times New Roman" w:eastAsia="仿宋_GB2312" w:cs="Times New Roman"/>
                <w:color w:val="333333"/>
                <w:kern w:val="0"/>
                <w:sz w:val="24"/>
                <w:szCs w:val="24"/>
                <w:lang w:val="en-US" w:eastAsia="zh-CN" w:bidi="ar-SA"/>
              </w:rPr>
            </w:pPr>
          </w:p>
          <w:p>
            <w:pPr>
              <w:pStyle w:val="31"/>
              <w:ind w:left="244" w:right="116"/>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 xml:space="preserve">项目名称 </w:t>
            </w:r>
          </w:p>
        </w:tc>
        <w:tc>
          <w:tcPr>
            <w:tcW w:w="4316" w:type="dxa"/>
            <w:shd w:val="clear" w:color="auto" w:fill="auto"/>
            <w:noWrap w:val="0"/>
            <w:vAlign w:val="top"/>
          </w:tcPr>
          <w:p>
            <w:pPr>
              <w:pStyle w:val="31"/>
              <w:spacing w:before="6"/>
              <w:jc w:val="left"/>
              <w:rPr>
                <w:rFonts w:hint="eastAsia" w:ascii="Times New Roman" w:hAnsi="Times New Roman" w:eastAsia="仿宋_GB2312" w:cs="Times New Roman"/>
                <w:color w:val="333333"/>
                <w:kern w:val="0"/>
                <w:sz w:val="24"/>
                <w:szCs w:val="24"/>
                <w:lang w:val="en-US" w:eastAsia="zh-CN" w:bidi="ar-SA"/>
              </w:rPr>
            </w:pPr>
          </w:p>
          <w:p>
            <w:pPr>
              <w:pStyle w:val="31"/>
              <w:ind w:left="1706" w:right="1575"/>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 xml:space="preserve">技术指标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restart"/>
            <w:shd w:val="clear" w:color="auto" w:fill="auto"/>
            <w:noWrap w:val="0"/>
            <w:vAlign w:val="center"/>
          </w:tcPr>
          <w:p>
            <w:pPr>
              <w:pStyle w:val="31"/>
              <w:ind w:left="16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电气参数</w:t>
            </w:r>
          </w:p>
        </w:tc>
        <w:tc>
          <w:tcPr>
            <w:tcW w:w="3008" w:type="dxa"/>
            <w:shd w:val="clear" w:color="auto" w:fill="auto"/>
            <w:noWrap w:val="0"/>
            <w:vAlign w:val="center"/>
          </w:tcPr>
          <w:p>
            <w:pPr>
              <w:pStyle w:val="31"/>
              <w:spacing w:before="165"/>
              <w:ind w:left="244" w:right="116"/>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额定输入电压</w:t>
            </w:r>
          </w:p>
        </w:tc>
        <w:tc>
          <w:tcPr>
            <w:tcW w:w="4316" w:type="dxa"/>
            <w:shd w:val="clear" w:color="auto" w:fill="auto"/>
            <w:noWrap w:val="0"/>
            <w:vAlign w:val="center"/>
          </w:tcPr>
          <w:p>
            <w:pPr>
              <w:pStyle w:val="31"/>
              <w:spacing w:before="165"/>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AC220V±20%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最大功率</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7KW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额定工作电流</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32A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输入频率</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50Hz±1Hz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额定输出电压</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AC220V±20%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额定输出电流</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32A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待机功耗</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&lt;6W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restart"/>
            <w:shd w:val="clear" w:color="auto" w:fill="auto"/>
            <w:noWrap w:val="0"/>
            <w:vAlign w:val="center"/>
          </w:tcPr>
          <w:p>
            <w:pPr>
              <w:pStyle w:val="31"/>
              <w:ind w:left="16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环境指标</w:t>
            </w:r>
          </w:p>
        </w:tc>
        <w:tc>
          <w:tcPr>
            <w:tcW w:w="3008" w:type="dxa"/>
            <w:shd w:val="clear" w:color="auto" w:fill="auto"/>
            <w:noWrap w:val="0"/>
            <w:vAlign w:val="center"/>
          </w:tcPr>
          <w:p>
            <w:pPr>
              <w:pStyle w:val="31"/>
              <w:spacing w:before="112" w:line="306" w:lineRule="exact"/>
              <w:ind w:left="244" w:right="116"/>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适用场景</w:t>
            </w:r>
          </w:p>
        </w:tc>
        <w:tc>
          <w:tcPr>
            <w:tcW w:w="4316" w:type="dxa"/>
            <w:shd w:val="clear" w:color="auto" w:fill="auto"/>
            <w:noWrap w:val="0"/>
            <w:vAlign w:val="center"/>
          </w:tcPr>
          <w:p>
            <w:pPr>
              <w:pStyle w:val="31"/>
              <w:spacing w:before="112" w:line="306" w:lineRule="exact"/>
              <w:ind w:left="1706" w:right="1575"/>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户内/户外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工作温度</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-30℃～+55℃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工作湿度</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5%~95%无凝露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工作海拔</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&lt;2000m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防护等级</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IP54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冷却方式</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自然冷却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85"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安规认证</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20234、NB\T 33008、NB\T 33002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MTBF</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100,000 小时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restart"/>
            <w:shd w:val="clear" w:color="auto" w:fill="auto"/>
            <w:noWrap w:val="0"/>
            <w:vAlign w:val="center"/>
          </w:tcPr>
          <w:p>
            <w:pPr>
              <w:pStyle w:val="31"/>
              <w:ind w:left="16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外观结构</w:t>
            </w:r>
          </w:p>
        </w:tc>
        <w:tc>
          <w:tcPr>
            <w:tcW w:w="3008" w:type="dxa"/>
            <w:shd w:val="clear" w:color="auto" w:fill="auto"/>
            <w:noWrap w:val="0"/>
            <w:vAlign w:val="center"/>
          </w:tcPr>
          <w:p>
            <w:pPr>
              <w:pStyle w:val="31"/>
              <w:spacing w:before="160"/>
              <w:ind w:left="244" w:right="116"/>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外壳材质</w:t>
            </w:r>
          </w:p>
        </w:tc>
        <w:tc>
          <w:tcPr>
            <w:tcW w:w="4316" w:type="dxa"/>
            <w:shd w:val="clear" w:color="auto" w:fill="auto"/>
            <w:noWrap w:val="0"/>
            <w:vAlign w:val="center"/>
          </w:tcPr>
          <w:p>
            <w:pPr>
              <w:pStyle w:val="31"/>
              <w:spacing w:before="160"/>
              <w:ind w:left="1706" w:right="1575"/>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镀锌钣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设备尺寸</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400</w:t>
            </w:r>
            <w:r>
              <w:rPr>
                <w:rFonts w:hint="default" w:ascii="Times New Roman" w:hAnsi="Times New Roman" w:eastAsia="仿宋_GB2312" w:cs="Times New Roman"/>
                <w:color w:val="333333"/>
                <w:kern w:val="0"/>
                <w:sz w:val="24"/>
                <w:szCs w:val="24"/>
                <w:lang w:val="en-US" w:eastAsia="zh-CN" w:bidi="ar-SA"/>
              </w:rPr>
              <w:t>×</w:t>
            </w:r>
            <w:r>
              <w:rPr>
                <w:rFonts w:hint="eastAsia" w:ascii="Times New Roman" w:hAnsi="Times New Roman" w:eastAsia="仿宋_GB2312" w:cs="Times New Roman"/>
                <w:color w:val="333333"/>
                <w:kern w:val="0"/>
                <w:sz w:val="24"/>
                <w:szCs w:val="24"/>
                <w:lang w:val="en-US" w:eastAsia="zh-CN" w:bidi="ar-SA"/>
              </w:rPr>
              <w:t>130</w:t>
            </w:r>
            <w:r>
              <w:rPr>
                <w:rFonts w:hint="default" w:ascii="Times New Roman" w:hAnsi="Times New Roman" w:eastAsia="仿宋_GB2312" w:cs="Times New Roman"/>
                <w:color w:val="333333"/>
                <w:kern w:val="0"/>
                <w:sz w:val="24"/>
                <w:szCs w:val="24"/>
                <w:lang w:val="en-US" w:eastAsia="zh-CN" w:bidi="ar-SA"/>
              </w:rPr>
              <w:t>×</w:t>
            </w:r>
            <w:r>
              <w:rPr>
                <w:rFonts w:hint="eastAsia" w:ascii="Times New Roman" w:hAnsi="Times New Roman" w:eastAsia="仿宋_GB2312" w:cs="Times New Roman"/>
                <w:color w:val="333333"/>
                <w:kern w:val="0"/>
                <w:sz w:val="24"/>
                <w:szCs w:val="24"/>
                <w:lang w:val="en-US" w:eastAsia="zh-CN" w:bidi="ar-SA"/>
              </w:rPr>
              <w:t>100mm(L</w:t>
            </w:r>
            <w:r>
              <w:rPr>
                <w:rFonts w:hint="default" w:ascii="Times New Roman" w:hAnsi="Times New Roman" w:eastAsia="仿宋_GB2312" w:cs="Times New Roman"/>
                <w:color w:val="333333"/>
                <w:kern w:val="0"/>
                <w:sz w:val="24"/>
                <w:szCs w:val="24"/>
                <w:lang w:val="en-US" w:eastAsia="zh-CN" w:bidi="ar-SA"/>
              </w:rPr>
              <w:t>×</w:t>
            </w:r>
            <w:r>
              <w:rPr>
                <w:rFonts w:hint="eastAsia" w:ascii="Times New Roman" w:hAnsi="Times New Roman" w:eastAsia="仿宋_GB2312" w:cs="Times New Roman"/>
                <w:color w:val="333333"/>
                <w:kern w:val="0"/>
                <w:sz w:val="24"/>
                <w:szCs w:val="24"/>
                <w:lang w:val="en-US" w:eastAsia="zh-CN" w:bidi="ar-SA"/>
              </w:rPr>
              <w:t>W</w:t>
            </w:r>
            <w:r>
              <w:rPr>
                <w:rFonts w:hint="default" w:ascii="Times New Roman" w:hAnsi="Times New Roman" w:eastAsia="仿宋_GB2312" w:cs="Times New Roman"/>
                <w:color w:val="333333"/>
                <w:kern w:val="0"/>
                <w:sz w:val="24"/>
                <w:szCs w:val="24"/>
                <w:lang w:val="en-US" w:eastAsia="zh-CN" w:bidi="ar-SA"/>
              </w:rPr>
              <w:t>×</w:t>
            </w:r>
            <w:r>
              <w:rPr>
                <w:rFonts w:hint="eastAsia" w:ascii="Times New Roman" w:hAnsi="Times New Roman" w:eastAsia="仿宋_GB2312" w:cs="Times New Roman"/>
                <w:color w:val="333333"/>
                <w:kern w:val="0"/>
                <w:sz w:val="24"/>
                <w:szCs w:val="24"/>
                <w:lang w:val="en-US" w:eastAsia="zh-CN" w:bidi="ar-SA"/>
              </w:rPr>
              <w:t>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安装方式</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嵌入式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07"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走线方式</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下进下出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9"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设备重量</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&lt;6.4 kg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9" w:hRule="atLeast"/>
        </w:trPr>
        <w:tc>
          <w:tcPr>
            <w:tcW w:w="1091" w:type="dxa"/>
            <w:vMerge w:val="continue"/>
            <w:tcBorders>
              <w:top w:val="nil"/>
            </w:tcBorders>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p>
        </w:tc>
        <w:tc>
          <w:tcPr>
            <w:tcW w:w="3008"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输出接口</w:t>
            </w:r>
          </w:p>
        </w:tc>
        <w:tc>
          <w:tcPr>
            <w:tcW w:w="4316" w:type="dxa"/>
            <w:shd w:val="clear" w:color="auto" w:fill="auto"/>
            <w:noWrap w:val="0"/>
            <w:vAlign w:val="center"/>
          </w:tcPr>
          <w:p>
            <w:pPr>
              <w:widowControl/>
              <w:jc w:val="center"/>
              <w:textAlignment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GB/T 20234.2 B 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shd w:val="clear" w:color="auto" w:fill="auto"/>
            <w:noWrap w:val="0"/>
            <w:vAlign w:val="center"/>
          </w:tcPr>
          <w:p>
            <w:pPr>
              <w:pStyle w:val="31"/>
              <w:ind w:left="200" w:right="6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安全设计</w:t>
            </w:r>
          </w:p>
        </w:tc>
        <w:tc>
          <w:tcPr>
            <w:tcW w:w="7324" w:type="dxa"/>
            <w:gridSpan w:val="2"/>
            <w:shd w:val="clear" w:color="auto" w:fill="auto"/>
            <w:noWrap w:val="0"/>
            <w:vAlign w:val="center"/>
          </w:tcPr>
          <w:p>
            <w:pPr>
              <w:pStyle w:val="31"/>
              <w:spacing w:line="440" w:lineRule="exact"/>
              <w:ind w:left="849" w:right="119" w:hanging="720"/>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过压保护、欠压保护、过流保护、短路保护、漏电保护、接地保护、过温保护、低温保护、防雷保护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90" w:hRule="atLeast"/>
        </w:trPr>
        <w:tc>
          <w:tcPr>
            <w:tcW w:w="1091" w:type="dxa"/>
            <w:shd w:val="clear" w:color="auto" w:fill="auto"/>
            <w:noWrap w:val="0"/>
            <w:vAlign w:val="center"/>
          </w:tcPr>
          <w:p>
            <w:pPr>
              <w:pStyle w:val="31"/>
              <w:ind w:left="200" w:right="68"/>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功能设计</w:t>
            </w:r>
          </w:p>
        </w:tc>
        <w:tc>
          <w:tcPr>
            <w:tcW w:w="7324" w:type="dxa"/>
            <w:gridSpan w:val="2"/>
            <w:shd w:val="clear" w:color="auto" w:fill="auto"/>
            <w:noWrap w:val="0"/>
            <w:vAlign w:val="center"/>
          </w:tcPr>
          <w:p>
            <w:pPr>
              <w:pStyle w:val="31"/>
              <w:spacing w:line="440" w:lineRule="exact"/>
              <w:ind w:left="2049" w:right="20" w:hanging="1942"/>
              <w:jc w:val="center"/>
              <w:rPr>
                <w:rFonts w:hint="eastAsia" w:ascii="Times New Roman" w:hAnsi="Times New Roman" w:eastAsia="仿宋_GB2312" w:cs="Times New Roman"/>
                <w:color w:val="333333"/>
                <w:kern w:val="0"/>
                <w:sz w:val="24"/>
                <w:szCs w:val="24"/>
                <w:lang w:val="en-US" w:eastAsia="zh-CN" w:bidi="ar-SA"/>
              </w:rPr>
            </w:pPr>
            <w:r>
              <w:rPr>
                <w:rFonts w:hint="eastAsia" w:ascii="Times New Roman" w:hAnsi="Times New Roman" w:eastAsia="仿宋_GB2312" w:cs="Times New Roman"/>
                <w:color w:val="333333"/>
                <w:kern w:val="0"/>
                <w:sz w:val="24"/>
                <w:szCs w:val="24"/>
                <w:lang w:val="en-US" w:eastAsia="zh-CN" w:bidi="ar-SA"/>
              </w:rPr>
              <w:t>CAN通讯、以太网联网、4G联网、移动支付、微信公众号、后台监控。</w:t>
            </w:r>
          </w:p>
        </w:tc>
      </w:tr>
    </w:tbl>
    <w:p>
      <w:pPr>
        <w:keepNext w:val="0"/>
        <w:keepLines w:val="0"/>
        <w:pageBreakBefore/>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color w:val="FF0000"/>
          <w:kern w:val="44"/>
          <w:sz w:val="28"/>
          <w:szCs w:val="28"/>
          <w:lang w:val="en-US" w:eastAsia="zh-CN" w:bidi="ar-SA"/>
        </w:rPr>
      </w:pPr>
      <w:r>
        <w:rPr>
          <w:rFonts w:hint="eastAsia" w:ascii="仿宋" w:hAnsi="仿宋" w:eastAsia="仿宋"/>
          <w:color w:val="FF0000"/>
          <w:kern w:val="44"/>
          <w:sz w:val="28"/>
          <w:szCs w:val="28"/>
          <w:lang w:val="en-US" w:eastAsia="zh-CN" w:bidi="ar-SA"/>
        </w:rPr>
        <w:drawing>
          <wp:inline distT="0" distB="0" distL="114300" distR="114300">
            <wp:extent cx="5267325" cy="3205480"/>
            <wp:effectExtent l="0" t="0" r="9525" b="13970"/>
            <wp:docPr id="5" name="图片 5" descr="1701660037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01660037442"/>
                    <pic:cNvPicPr>
                      <a:picLocks noChangeAspect="1"/>
                    </pic:cNvPicPr>
                  </pic:nvPicPr>
                  <pic:blipFill>
                    <a:blip r:embed="rId11"/>
                    <a:stretch>
                      <a:fillRect/>
                    </a:stretch>
                  </pic:blipFill>
                  <pic:spPr>
                    <a:xfrm>
                      <a:off x="0" y="0"/>
                      <a:ext cx="5267325" cy="3205480"/>
                    </a:xfrm>
                    <a:prstGeom prst="rect">
                      <a:avLst/>
                    </a:prstGeom>
                  </pic:spPr>
                </pic:pic>
              </a:graphicData>
            </a:graphic>
          </wp:inline>
        </w:drawing>
      </w:r>
    </w:p>
    <w:p>
      <w:pPr>
        <w:pStyle w:val="7"/>
        <w:spacing w:line="276" w:lineRule="auto"/>
        <w:jc w:val="center"/>
        <w:rPr>
          <w:rFonts w:hint="default"/>
          <w:sz w:val="24"/>
          <w:szCs w:val="24"/>
          <w:lang w:val="en-US" w:eastAsia="zh-CN"/>
        </w:rPr>
      </w:pPr>
      <w:r>
        <w:rPr>
          <w:rFonts w:hint="eastAsia" w:ascii="Times New Roman" w:hAnsi="Times New Roman" w:eastAsia="仿宋_GB2312" w:cs="Times New Roman"/>
          <w:color w:val="333333"/>
          <w:kern w:val="0"/>
          <w:sz w:val="24"/>
          <w:szCs w:val="24"/>
          <w:lang w:val="en-US" w:eastAsia="zh-CN" w:bidi="ar-SA"/>
        </w:rPr>
        <w:t>7KW</w:t>
      </w:r>
      <w:r>
        <w:rPr>
          <w:rFonts w:hint="eastAsia" w:ascii="仿宋" w:hAnsi="仿宋" w:eastAsia="仿宋"/>
          <w:sz w:val="24"/>
          <w:szCs w:val="24"/>
          <w:lang w:val="en-US" w:eastAsia="zh-CN"/>
        </w:rPr>
        <w:t>机动车充电桩模块</w:t>
      </w:r>
      <w:r>
        <w:rPr>
          <w:rFonts w:hint="eastAsia" w:ascii="仿宋" w:hAnsi="仿宋" w:eastAsia="仿宋"/>
          <w:sz w:val="24"/>
          <w:szCs w:val="24"/>
        </w:rPr>
        <w:t>外观图</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10.5.3设备管理平台的数据格式及数据接口需可根据业主要求订制。</w:t>
      </w:r>
    </w:p>
    <w:p>
      <w:pPr>
        <w:spacing w:line="570"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10.5.4充电桩要带一根充电枪，</w:t>
      </w:r>
      <w:r>
        <w:rPr>
          <w:rFonts w:hint="default" w:ascii="Times New Roman" w:hAnsi="Times New Roman" w:eastAsia="仿宋_GB2312" w:cs="Times New Roman"/>
          <w:color w:val="333333"/>
          <w:kern w:val="0"/>
          <w:sz w:val="32"/>
          <w:szCs w:val="32"/>
          <w:lang w:val="en-US" w:eastAsia="zh-CN" w:bidi="ar-SA"/>
        </w:rPr>
        <w:t>根据</w:t>
      </w:r>
      <w:r>
        <w:rPr>
          <w:rFonts w:hint="eastAsia" w:ascii="Times New Roman" w:hAnsi="Times New Roman" w:eastAsia="仿宋_GB2312" w:cs="Times New Roman"/>
          <w:color w:val="333333"/>
          <w:kern w:val="0"/>
          <w:sz w:val="32"/>
          <w:szCs w:val="32"/>
          <w:lang w:val="en-US" w:eastAsia="zh-CN" w:bidi="ar-SA"/>
        </w:rPr>
        <w:t>国标</w:t>
      </w:r>
      <w:r>
        <w:rPr>
          <w:rFonts w:hint="default" w:ascii="Times New Roman" w:hAnsi="Times New Roman" w:eastAsia="仿宋_GB2312" w:cs="Times New Roman"/>
          <w:color w:val="333333"/>
          <w:kern w:val="0"/>
          <w:sz w:val="32"/>
          <w:szCs w:val="32"/>
          <w:lang w:val="en-US" w:eastAsia="zh-CN" w:bidi="ar-SA"/>
        </w:rPr>
        <w:t>要求，</w:t>
      </w:r>
      <w:r>
        <w:rPr>
          <w:rFonts w:hint="eastAsia" w:ascii="Times New Roman" w:hAnsi="Times New Roman" w:eastAsia="仿宋_GB2312" w:cs="Times New Roman"/>
          <w:color w:val="333333"/>
          <w:kern w:val="0"/>
          <w:sz w:val="32"/>
          <w:szCs w:val="32"/>
          <w:lang w:val="en-US" w:eastAsia="zh-CN" w:bidi="ar-SA"/>
        </w:rPr>
        <w:t>需能</w:t>
      </w:r>
      <w:r>
        <w:rPr>
          <w:rFonts w:hint="default" w:ascii="Times New Roman" w:hAnsi="Times New Roman" w:eastAsia="仿宋_GB2312" w:cs="Times New Roman"/>
          <w:color w:val="333333"/>
          <w:kern w:val="0"/>
          <w:sz w:val="32"/>
          <w:szCs w:val="32"/>
          <w:lang w:val="en-US" w:eastAsia="zh-CN" w:bidi="ar-SA"/>
        </w:rPr>
        <w:t>兼容新旧标准</w:t>
      </w:r>
      <w:r>
        <w:rPr>
          <w:rFonts w:hint="eastAsia" w:ascii="Times New Roman" w:hAnsi="Times New Roman" w:eastAsia="仿宋_GB2312" w:cs="Times New Roman"/>
          <w:color w:val="333333"/>
          <w:kern w:val="0"/>
          <w:sz w:val="32"/>
          <w:szCs w:val="32"/>
          <w:lang w:val="en-US" w:eastAsia="zh-CN" w:bidi="ar-SA"/>
        </w:rPr>
        <w:t>机动车</w:t>
      </w:r>
      <w:r>
        <w:rPr>
          <w:rFonts w:hint="default" w:ascii="Times New Roman" w:hAnsi="Times New Roman" w:eastAsia="仿宋_GB2312" w:cs="Times New Roman"/>
          <w:color w:val="333333"/>
          <w:kern w:val="0"/>
          <w:sz w:val="32"/>
          <w:szCs w:val="32"/>
          <w:lang w:val="en-US" w:eastAsia="zh-CN" w:bidi="ar-SA"/>
        </w:rPr>
        <w:t>充电。</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10.5.5制定相关应急预案，如有意外事故发生应采取紧急处理措施，防止事故扩大化。</w:t>
      </w:r>
    </w:p>
    <w:p>
      <w:pPr>
        <w:spacing w:line="570"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10.5.6当</w:t>
      </w:r>
      <w:r>
        <w:rPr>
          <w:rFonts w:hint="default" w:ascii="Times New Roman" w:hAnsi="Times New Roman" w:eastAsia="仿宋_GB2312" w:cs="Times New Roman"/>
          <w:color w:val="333333"/>
          <w:kern w:val="0"/>
          <w:sz w:val="32"/>
          <w:szCs w:val="32"/>
          <w:lang w:val="en-US" w:eastAsia="zh-CN" w:bidi="ar-SA"/>
        </w:rPr>
        <w:t>使用移动端（微信公众号或者扫码）控制充电</w:t>
      </w:r>
      <w:r>
        <w:rPr>
          <w:rFonts w:hint="eastAsia" w:ascii="Times New Roman" w:hAnsi="Times New Roman" w:eastAsia="仿宋_GB2312" w:cs="Times New Roman"/>
          <w:color w:val="333333"/>
          <w:kern w:val="0"/>
          <w:sz w:val="32"/>
          <w:szCs w:val="32"/>
          <w:lang w:val="en-US" w:eastAsia="zh-CN" w:bidi="ar-SA"/>
        </w:rPr>
        <w:t>时</w:t>
      </w:r>
      <w:r>
        <w:rPr>
          <w:rFonts w:hint="default" w:ascii="Times New Roman" w:hAnsi="Times New Roman" w:eastAsia="仿宋_GB2312" w:cs="Times New Roman"/>
          <w:color w:val="333333"/>
          <w:kern w:val="0"/>
          <w:sz w:val="32"/>
          <w:szCs w:val="32"/>
          <w:lang w:val="en-US" w:eastAsia="zh-CN" w:bidi="ar-SA"/>
        </w:rPr>
        <w:t>：当结束充电，拔出充电枪后，系统会自动结算本次的充电费用，并推送详细的充电数据（包括充电时长，充电量，充电费用）到车主绑定的微信公众号上。车主可以通过消费清单查看历史消费记录与账户资金的变动情况。</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10.5.7机动车充电桩模块的后台软件的需具备维护升级功能，配套管理平台需具有定期采集机动车充电桩模块使用情况的功能，并进行统计和汇总。</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p>
    <w:p>
      <w:pPr>
        <w:pStyle w:val="4"/>
        <w:keepNext/>
        <w:keepLines/>
        <w:pageBreakBefore w:val="0"/>
        <w:widowControl w:val="0"/>
        <w:kinsoku/>
        <w:wordWrap/>
        <w:overflowPunct/>
        <w:topLinePunct w:val="0"/>
        <w:autoSpaceDE/>
        <w:autoSpaceDN/>
        <w:bidi w:val="0"/>
        <w:adjustRightInd/>
        <w:snapToGrid/>
        <w:spacing w:before="20" w:beforeLines="0" w:beforeAutospacing="0" w:after="100" w:afterLines="0" w:afterAutospacing="1" w:line="570" w:lineRule="exact"/>
        <w:ind w:left="0" w:leftChars="0" w:right="210" w:rightChars="100" w:firstLine="640" w:firstLineChars="200"/>
        <w:jc w:val="left"/>
        <w:textAlignment w:val="auto"/>
        <w:rPr>
          <w:rFonts w:hint="eastAsia" w:ascii="黑体" w:hAnsi="黑体" w:eastAsia="黑体" w:cs="黑体"/>
          <w:b w:val="0"/>
          <w:bCs w:val="0"/>
          <w:color w:val="333333"/>
          <w:kern w:val="0"/>
          <w:sz w:val="32"/>
          <w:szCs w:val="32"/>
          <w:lang w:val="en-US" w:eastAsia="zh-CN" w:bidi="ar-SA"/>
        </w:rPr>
      </w:pPr>
      <w:r>
        <w:rPr>
          <w:rFonts w:hint="eastAsia" w:ascii="黑体" w:hAnsi="黑体" w:eastAsia="黑体" w:cs="黑体"/>
          <w:b w:val="0"/>
          <w:bCs w:val="0"/>
          <w:color w:val="333333"/>
          <w:kern w:val="0"/>
          <w:sz w:val="32"/>
          <w:szCs w:val="32"/>
          <w:lang w:val="en-US" w:eastAsia="zh-CN" w:bidi="ar-SA"/>
        </w:rPr>
        <w:t>五、多功能路灯管理系统软件要求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1.系统方案符合招标方当前及未来发展要求，并提出合理建议。</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2.灯杆配装设备的所有业务功能实现集成化管理，并实现设备间的联动功能。</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3.系统应能兼容并接入常州市现有路灯照明运行平台及监控系统。</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4.系统支持多级部署模式。</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5.系统支持主流设备的接入，对设备的支持性应具备通用性和可替代性。</w:t>
      </w:r>
    </w:p>
    <w:bookmarkEnd w:id="23"/>
    <w:p>
      <w:pPr>
        <w:pStyle w:val="4"/>
        <w:keepNext/>
        <w:keepLines/>
        <w:pageBreakBefore w:val="0"/>
        <w:widowControl w:val="0"/>
        <w:kinsoku/>
        <w:wordWrap/>
        <w:overflowPunct/>
        <w:topLinePunct w:val="0"/>
        <w:autoSpaceDE/>
        <w:autoSpaceDN/>
        <w:bidi w:val="0"/>
        <w:adjustRightInd/>
        <w:snapToGrid/>
        <w:spacing w:before="20" w:beforeLines="0" w:beforeAutospacing="0" w:after="100" w:afterLines="0" w:afterAutospacing="1" w:line="570" w:lineRule="exact"/>
        <w:ind w:left="0" w:leftChars="0" w:right="210" w:rightChars="100" w:firstLine="640" w:firstLineChars="200"/>
        <w:jc w:val="left"/>
        <w:textAlignment w:val="auto"/>
        <w:rPr>
          <w:rFonts w:hint="eastAsia" w:ascii="黑体" w:hAnsi="黑体" w:eastAsia="黑体" w:cs="黑体"/>
          <w:b w:val="0"/>
          <w:bCs w:val="0"/>
          <w:color w:val="333333"/>
          <w:kern w:val="0"/>
          <w:sz w:val="32"/>
          <w:szCs w:val="32"/>
          <w:lang w:val="en-US" w:eastAsia="zh-CN" w:bidi="ar-SA"/>
        </w:rPr>
      </w:pPr>
      <w:r>
        <w:rPr>
          <w:rFonts w:hint="eastAsia" w:ascii="黑体" w:hAnsi="黑体" w:eastAsia="黑体" w:cs="黑体"/>
          <w:b w:val="0"/>
          <w:bCs w:val="0"/>
          <w:color w:val="333333"/>
          <w:kern w:val="0"/>
          <w:sz w:val="32"/>
          <w:szCs w:val="32"/>
          <w:lang w:val="en-US" w:eastAsia="zh-CN" w:bidi="ar-SA"/>
        </w:rPr>
        <w:t>六、其他</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1.灯杆质保10年；LED灯具质保5年；电器设备元件质保2年。（自完成安装调试并且通过竣工验收之日起算）</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2.所有的防水按照各元器件的使用要求。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3.中标单位需配合现场安装，并提供技术支持。</w:t>
      </w:r>
      <w:bookmarkStart w:id="27" w:name="_Hlk9915923"/>
    </w:p>
    <w:p>
      <w:pPr>
        <w:spacing w:line="570" w:lineRule="exact"/>
        <w:ind w:firstLine="640" w:firstLineChars="200"/>
        <w:rPr>
          <w:rFonts w:hint="default"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4.灯基础现场已安装，中标灯杆需根据现场预埋基础深化灯杆设计。</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5.灯杆允许公差详见附件2。</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6.运输包装标准详见附件3。</w:t>
      </w:r>
    </w:p>
    <w:p>
      <w:pPr>
        <w:spacing w:line="570" w:lineRule="exact"/>
        <w:ind w:firstLine="640" w:firstLineChars="200"/>
        <w:rPr>
          <w:rFonts w:hint="eastAsia" w:ascii="仿宋" w:hAnsi="仿宋" w:eastAsia="仿宋" w:cs="仿宋"/>
          <w:sz w:val="28"/>
          <w:szCs w:val="28"/>
        </w:rPr>
      </w:pPr>
      <w:r>
        <w:rPr>
          <w:rFonts w:hint="eastAsia" w:ascii="Times New Roman" w:hAnsi="Times New Roman" w:eastAsia="仿宋_GB2312" w:cs="Times New Roman"/>
          <w:color w:val="333333"/>
          <w:kern w:val="0"/>
          <w:sz w:val="32"/>
          <w:szCs w:val="32"/>
          <w:lang w:val="en-US" w:eastAsia="zh-CN" w:bidi="ar-SA"/>
        </w:rPr>
        <w:t>7.中标后灯杆需要检测的内容详见附件4</w:t>
      </w:r>
      <w:bookmarkEnd w:id="27"/>
      <w:r>
        <w:rPr>
          <w:rFonts w:hint="eastAsia" w:ascii="Times New Roman" w:hAnsi="Times New Roman" w:eastAsia="仿宋_GB2312" w:cs="Times New Roman"/>
          <w:color w:val="333333"/>
          <w:kern w:val="0"/>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Style w:val="30"/>
          <w:rFonts w:hint="eastAsia" w:ascii="黑体" w:hAnsi="黑体" w:cs="Times New Roman"/>
          <w:b w:val="0"/>
          <w:bCs/>
          <w:szCs w:val="32"/>
          <w:lang w:val="en-US" w:eastAsia="zh-CN"/>
        </w:rPr>
      </w:pPr>
      <w:bookmarkStart w:id="28" w:name="_Toc92188555"/>
      <w:r>
        <w:rPr>
          <w:rStyle w:val="30"/>
          <w:rFonts w:hint="eastAsia" w:ascii="黑体" w:hAnsi="黑体" w:cs="Times New Roman"/>
          <w:b w:val="0"/>
          <w:bCs/>
          <w:szCs w:val="32"/>
          <w:lang w:val="en-US" w:eastAsia="zh-CN"/>
        </w:rPr>
        <w:t xml:space="preserve"> 八、运输与包装</w:t>
      </w:r>
      <w:bookmarkEnd w:id="28"/>
    </w:p>
    <w:p>
      <w:pPr>
        <w:spacing w:line="570" w:lineRule="exact"/>
        <w:ind w:firstLine="640" w:firstLineChars="200"/>
        <w:rPr>
          <w:rFonts w:hint="eastAsia" w:ascii="楷体" w:hAnsi="楷体" w:eastAsia="楷体" w:cs="仿宋"/>
          <w:sz w:val="32"/>
          <w:szCs w:val="32"/>
          <w:lang w:val="en-US" w:eastAsia="zh-CN"/>
        </w:rPr>
      </w:pPr>
      <w:r>
        <w:rPr>
          <w:rFonts w:hint="eastAsia" w:ascii="楷体" w:hAnsi="楷体" w:eastAsia="楷体" w:cs="仿宋"/>
          <w:sz w:val="32"/>
          <w:szCs w:val="32"/>
          <w:lang w:val="en-US" w:eastAsia="zh-CN"/>
        </w:rPr>
        <w:t>（一）基本设备及常用材料</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1．行车、叉车、各种规格的胶合板垫木</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2．带塑料保护套的钢丝绳、紧固拉钩套件、花兰螺丝、捆绑器、钢钉</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3．晴纶卷、橡胶板、稻草绳、钢制打包带</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4．发泡塑料（喷塑杆专用）</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5．尼龙绳（用于替代目前喷塑杆包装中使用的草绳）</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6．胶合板配件箱、木料切割机</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7．镀锌螺丝及螺母（用于小部件固定）</w:t>
      </w:r>
    </w:p>
    <w:p>
      <w:pPr>
        <w:spacing w:line="570" w:lineRule="exact"/>
        <w:ind w:firstLine="640" w:firstLineChars="200"/>
        <w:rPr>
          <w:rFonts w:hint="eastAsia" w:ascii="楷体" w:hAnsi="楷体" w:eastAsia="楷体" w:cs="仿宋"/>
          <w:sz w:val="32"/>
          <w:szCs w:val="32"/>
          <w:lang w:val="en-US" w:eastAsia="zh-CN"/>
        </w:rPr>
      </w:pPr>
      <w:r>
        <w:rPr>
          <w:rFonts w:hint="eastAsia" w:ascii="楷体" w:hAnsi="楷体" w:eastAsia="楷体" w:cs="仿宋"/>
          <w:sz w:val="32"/>
          <w:szCs w:val="32"/>
          <w:lang w:val="en-US" w:eastAsia="zh-CN"/>
        </w:rPr>
        <w:t>（二）杆体包装和装箱</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1．喷塑杆直杆打包标准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单根杆打包，直杆底部约300mm长度及直杆顶部放垫木处约300mm长度先用发泡塑料包裹1层，后用稻草绳紧密绕一圈，最后整根用晴纶卷包裹1层。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整体打包的基本原则是3×4（层和列根据车辆和灯杆的实际情况调整），推荐使用掉头打包，每包以12根为准。每层4根，掉头各放2根，第二层、第三层同样堆放。也可以使用单头打包方式，每层4根，第二层、第三层同样堆放。打包时，每层杆体之间在底板处和杆体之间的间隙需要用适当厚度的胶合板隔开。在打包处用晴纶卷包好，再用镀锌铁皮打包带来收紧、固定；捆装包装件每件长度小于或等于6m，每捆捆扎道数不少于4道，长度大于6m的捆装件，每件捆扎道数不少于5道，捆扎应整齐牢固。</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2．喷塑杆自弯杆的打包标准：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单根杆打包，杆顶部约300mm长度，杆底部约300mm长度，起弯处约1m长度（起弯点上下各500mm），用发泡塑料先包裹1层，后用稻草绳紧密绕一圈，最后整根用晴纶卷包裹1层。</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整体打包的基本原则是4×4（层和列根据车辆和灯杆的实际情况调整），单头打包，每包以16根为准。每层4根，第二层、第三层同样堆放，打包时，每层杆体之间在底板处和杆体之间的间隙需要用适当厚度的胶合板隔开。在打包处用晴纶卷包好，再用镀锌铁皮打包带来收紧、固定，每包杆体杆体的打包数是根据杆体长度来决定：10米以下（包含10米）的打3道、12米以下（包含12米）的打4道，14米以下（包含14米）的打5道，依次类推。</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3．装车及固定</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（1）首先是检查运输工具或容器的完好性；将集车内清理干净、确定工具或容器完好后方可开始装货。发运前确认待发货物的质量完好、外观清洁、管内无异物。</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 xml:space="preserve">（2）在车底部将方形垫木、捆绑器和带塑料保护套的钢丝绳依次排列好。各材料的使用数量及放置位置：按长度方向上每排杆段两个；垫木垫在距离杆子端口约2.0～3.0米处，捆绑器和钢丝绳根据实际情况调整错开到相应的位置。      </w:t>
      </w:r>
    </w:p>
    <w:p>
      <w:pPr>
        <w:spacing w:line="570" w:lineRule="exact"/>
        <w:ind w:firstLine="640" w:firstLineChars="200"/>
        <w:rPr>
          <w:rFonts w:hint="eastAsia" w:ascii="楷体" w:hAnsi="楷体" w:eastAsia="楷体" w:cs="仿宋"/>
          <w:sz w:val="32"/>
          <w:szCs w:val="32"/>
          <w:lang w:val="en-US" w:eastAsia="zh-CN"/>
        </w:rPr>
      </w:pPr>
      <w:r>
        <w:rPr>
          <w:rFonts w:hint="eastAsia" w:ascii="楷体" w:hAnsi="楷体" w:eastAsia="楷体" w:cs="仿宋"/>
          <w:sz w:val="32"/>
          <w:szCs w:val="32"/>
          <w:lang w:val="en-US" w:eastAsia="zh-CN"/>
        </w:rPr>
        <w:t>（三）卸杆</w:t>
      </w:r>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bookmarkStart w:id="29" w:name="_Toc92188556"/>
      <w:r>
        <w:rPr>
          <w:rFonts w:hint="eastAsia" w:ascii="Times New Roman" w:hAnsi="Times New Roman" w:eastAsia="仿宋_GB2312" w:cs="Times New Roman"/>
          <w:color w:val="333333"/>
          <w:kern w:val="0"/>
          <w:sz w:val="32"/>
          <w:szCs w:val="32"/>
          <w:lang w:val="en-US" w:eastAsia="zh-CN" w:bidi="ar-SA"/>
        </w:rPr>
        <w:t>根据杆体长度预先放置3处泡沫块，灯杆卸下后放置于泡沫块上，不能与地面直接接触。</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Style w:val="30"/>
          <w:rFonts w:hint="eastAsia" w:ascii="黑体" w:hAnsi="黑体" w:cs="Times New Roman"/>
          <w:b w:val="0"/>
          <w:bCs/>
          <w:szCs w:val="32"/>
          <w:lang w:val="en-US" w:eastAsia="zh-CN"/>
        </w:rPr>
      </w:pPr>
      <w:r>
        <w:rPr>
          <w:rStyle w:val="30"/>
          <w:rFonts w:hint="eastAsia" w:ascii="黑体" w:hAnsi="黑体" w:cs="Times New Roman"/>
          <w:b w:val="0"/>
          <w:bCs/>
          <w:szCs w:val="32"/>
          <w:lang w:val="en-US" w:eastAsia="zh-CN"/>
        </w:rPr>
        <w:t>十、检测要求</w:t>
      </w:r>
      <w:bookmarkEnd w:id="29"/>
    </w:p>
    <w:p>
      <w:pPr>
        <w:spacing w:line="570" w:lineRule="exact"/>
        <w:ind w:firstLine="640" w:firstLineChars="200"/>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中标供货后，采购单位将随机抽取一次涂料产品进行送检，检测费用由中标单位承担，检测要求需满足技术文件的要求。如不满足，采购单位将退回中标单位全部产品并自行去除更换，同时取消中标单位的中标资格，且中标单位需承担由此产生的所有费用和损失。</w:t>
      </w:r>
    </w:p>
    <w:p>
      <w:pPr>
        <w:spacing w:line="57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灯杆尺寸公差表</w:t>
      </w:r>
    </w:p>
    <w:tbl>
      <w:tblPr>
        <w:tblStyle w:val="15"/>
        <w:tblW w:w="5000" w:type="pct"/>
        <w:tblInd w:w="0" w:type="dxa"/>
        <w:tblLayout w:type="autofit"/>
        <w:tblCellMar>
          <w:top w:w="0" w:type="dxa"/>
          <w:left w:w="108" w:type="dxa"/>
          <w:bottom w:w="0" w:type="dxa"/>
          <w:right w:w="108" w:type="dxa"/>
        </w:tblCellMar>
      </w:tblPr>
      <w:tblGrid>
        <w:gridCol w:w="1250"/>
        <w:gridCol w:w="2180"/>
        <w:gridCol w:w="5630"/>
      </w:tblGrid>
      <w:tr>
        <w:tblPrEx>
          <w:tblCellMar>
            <w:top w:w="0" w:type="dxa"/>
            <w:left w:w="108" w:type="dxa"/>
            <w:bottom w:w="0" w:type="dxa"/>
            <w:right w:w="108" w:type="dxa"/>
          </w:tblCellMar>
        </w:tblPrEx>
        <w:trPr>
          <w:trHeight w:val="391" w:hRule="atLeast"/>
        </w:trPr>
        <w:tc>
          <w:tcPr>
            <w:tcW w:w="5000" w:type="pct"/>
            <w:gridSpan w:val="3"/>
            <w:tcBorders>
              <w:top w:val="single" w:color="auto" w:sz="4" w:space="0"/>
              <w:left w:val="single" w:color="auto" w:sz="4" w:space="0"/>
              <w:bottom w:val="single" w:color="auto" w:sz="4" w:space="0"/>
              <w:right w:val="single" w:color="000000" w:sz="4" w:space="0"/>
            </w:tcBorders>
            <w:noWrap w:val="0"/>
            <w:vAlign w:val="center"/>
          </w:tcPr>
          <w:p>
            <w:pPr>
              <w:widowControl/>
              <w:spacing w:line="570" w:lineRule="exact"/>
              <w:ind w:firstLine="640" w:firstLineChars="200"/>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灯杆技术要求</w:t>
            </w:r>
          </w:p>
        </w:tc>
      </w:tr>
      <w:tr>
        <w:tblPrEx>
          <w:tblCellMar>
            <w:top w:w="0" w:type="dxa"/>
            <w:left w:w="108" w:type="dxa"/>
            <w:bottom w:w="0" w:type="dxa"/>
            <w:right w:w="108" w:type="dxa"/>
          </w:tblCellMar>
        </w:tblPrEx>
        <w:trPr>
          <w:trHeight w:val="391" w:hRule="atLeast"/>
        </w:trPr>
        <w:tc>
          <w:tcPr>
            <w:tcW w:w="690" w:type="pct"/>
            <w:tcBorders>
              <w:top w:val="nil"/>
              <w:left w:val="single" w:color="auto" w:sz="4" w:space="0"/>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序号</w:t>
            </w:r>
          </w:p>
        </w:tc>
        <w:tc>
          <w:tcPr>
            <w:tcW w:w="1203" w:type="pct"/>
            <w:tcBorders>
              <w:top w:val="nil"/>
              <w:left w:val="nil"/>
              <w:bottom w:val="single" w:color="auto" w:sz="4" w:space="0"/>
              <w:right w:val="single" w:color="auto" w:sz="4" w:space="0"/>
            </w:tcBorders>
            <w:noWrap w:val="0"/>
            <w:vAlign w:val="center"/>
          </w:tcPr>
          <w:p>
            <w:pPr>
              <w:widowControl/>
              <w:spacing w:line="480" w:lineRule="exact"/>
              <w:ind w:firstLine="640"/>
              <w:jc w:val="both"/>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项目</w:t>
            </w:r>
          </w:p>
        </w:tc>
        <w:tc>
          <w:tcPr>
            <w:tcW w:w="3108" w:type="pct"/>
            <w:tcBorders>
              <w:top w:val="nil"/>
              <w:left w:val="nil"/>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允许公差</w:t>
            </w:r>
          </w:p>
        </w:tc>
      </w:tr>
      <w:tr>
        <w:tblPrEx>
          <w:tblCellMar>
            <w:top w:w="0" w:type="dxa"/>
            <w:left w:w="108" w:type="dxa"/>
            <w:bottom w:w="0" w:type="dxa"/>
            <w:right w:w="108" w:type="dxa"/>
          </w:tblCellMar>
        </w:tblPrEx>
        <w:trPr>
          <w:trHeight w:val="597" w:hRule="atLeast"/>
        </w:trPr>
        <w:tc>
          <w:tcPr>
            <w:tcW w:w="690" w:type="pct"/>
            <w:tcBorders>
              <w:top w:val="nil"/>
              <w:left w:val="single" w:color="auto" w:sz="4" w:space="0"/>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1</w:t>
            </w:r>
          </w:p>
        </w:tc>
        <w:tc>
          <w:tcPr>
            <w:tcW w:w="1203" w:type="pct"/>
            <w:tcBorders>
              <w:top w:val="nil"/>
              <w:left w:val="nil"/>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灯杆高度</w:t>
            </w:r>
          </w:p>
        </w:tc>
        <w:tc>
          <w:tcPr>
            <w:tcW w:w="3108" w:type="pct"/>
            <w:tcBorders>
              <w:top w:val="nil"/>
              <w:left w:val="nil"/>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±0.1%</w:t>
            </w:r>
          </w:p>
        </w:tc>
      </w:tr>
      <w:tr>
        <w:tblPrEx>
          <w:tblCellMar>
            <w:top w:w="0" w:type="dxa"/>
            <w:left w:w="108" w:type="dxa"/>
            <w:bottom w:w="0" w:type="dxa"/>
            <w:right w:w="108" w:type="dxa"/>
          </w:tblCellMar>
        </w:tblPrEx>
        <w:trPr>
          <w:trHeight w:val="475" w:hRule="atLeast"/>
        </w:trPr>
        <w:tc>
          <w:tcPr>
            <w:tcW w:w="690" w:type="pct"/>
            <w:tcBorders>
              <w:top w:val="nil"/>
              <w:left w:val="single" w:color="auto" w:sz="4" w:space="0"/>
              <w:bottom w:val="single" w:color="auto" w:sz="4" w:space="0"/>
              <w:right w:val="single" w:color="auto" w:sz="4" w:space="0"/>
            </w:tcBorders>
            <w:noWrap w:val="0"/>
            <w:vAlign w:val="center"/>
          </w:tcPr>
          <w:p>
            <w:pPr>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2</w:t>
            </w:r>
          </w:p>
        </w:tc>
        <w:tc>
          <w:tcPr>
            <w:tcW w:w="1203" w:type="pct"/>
            <w:tcBorders>
              <w:top w:val="nil"/>
              <w:left w:val="nil"/>
              <w:bottom w:val="single" w:color="auto" w:sz="4" w:space="0"/>
              <w:right w:val="single" w:color="auto" w:sz="4" w:space="0"/>
            </w:tcBorders>
            <w:noWrap w:val="0"/>
            <w:vAlign w:val="center"/>
          </w:tcPr>
          <w:p>
            <w:pPr>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挑臂长度</w:t>
            </w:r>
          </w:p>
        </w:tc>
        <w:tc>
          <w:tcPr>
            <w:tcW w:w="3108" w:type="pct"/>
            <w:tcBorders>
              <w:top w:val="nil"/>
              <w:left w:val="nil"/>
              <w:bottom w:val="single" w:color="auto" w:sz="4" w:space="0"/>
              <w:right w:val="single" w:color="auto" w:sz="4" w:space="0"/>
            </w:tcBorders>
            <w:noWrap w:val="0"/>
            <w:vAlign w:val="center"/>
          </w:tcPr>
          <w:p>
            <w:pPr>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±0.1%</w:t>
            </w:r>
          </w:p>
        </w:tc>
      </w:tr>
      <w:tr>
        <w:tblPrEx>
          <w:tblCellMar>
            <w:top w:w="0" w:type="dxa"/>
            <w:left w:w="108" w:type="dxa"/>
            <w:bottom w:w="0" w:type="dxa"/>
            <w:right w:w="108" w:type="dxa"/>
          </w:tblCellMar>
        </w:tblPrEx>
        <w:trPr>
          <w:trHeight w:val="485" w:hRule="atLeast"/>
        </w:trPr>
        <w:tc>
          <w:tcPr>
            <w:tcW w:w="690" w:type="pct"/>
            <w:tcBorders>
              <w:top w:val="nil"/>
              <w:left w:val="single" w:color="auto" w:sz="4" w:space="0"/>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3</w:t>
            </w:r>
          </w:p>
        </w:tc>
        <w:tc>
          <w:tcPr>
            <w:tcW w:w="1203" w:type="pct"/>
            <w:tcBorders>
              <w:top w:val="nil"/>
              <w:left w:val="nil"/>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灯具仰角</w:t>
            </w:r>
          </w:p>
        </w:tc>
        <w:tc>
          <w:tcPr>
            <w:tcW w:w="3108" w:type="pct"/>
            <w:tcBorders>
              <w:top w:val="nil"/>
              <w:left w:val="nil"/>
              <w:bottom w:val="single" w:color="auto" w:sz="4" w:space="0"/>
              <w:right w:val="single" w:color="auto" w:sz="4" w:space="0"/>
            </w:tcBorders>
            <w:noWrap w:val="0"/>
            <w:vAlign w:val="center"/>
          </w:tcPr>
          <w:p>
            <w:pPr>
              <w:widowControl/>
              <w:spacing w:line="480" w:lineRule="exact"/>
              <w:jc w:val="center"/>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2"/>
                <w:szCs w:val="32"/>
                <w:lang w:val="en-US" w:eastAsia="zh-CN" w:bidi="ar-SA"/>
              </w:rPr>
              <w:t>±0.5°</w:t>
            </w:r>
          </w:p>
        </w:tc>
      </w:tr>
      <w:tr>
        <w:tblPrEx>
          <w:tblCellMar>
            <w:top w:w="0" w:type="dxa"/>
            <w:left w:w="108" w:type="dxa"/>
            <w:bottom w:w="0" w:type="dxa"/>
            <w:right w:w="108" w:type="dxa"/>
          </w:tblCellMar>
        </w:tblPrEx>
        <w:trPr>
          <w:trHeight w:val="1208"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hint="eastAsia" w:ascii="Times New Roman" w:hAnsi="Times New Roman" w:eastAsia="仿宋_GB2312" w:cs="Times New Roman"/>
                <w:color w:val="333333"/>
                <w:kern w:val="0"/>
                <w:sz w:val="32"/>
                <w:szCs w:val="32"/>
                <w:lang w:val="en-US" w:eastAsia="zh-CN" w:bidi="ar-SA"/>
              </w:rPr>
            </w:pPr>
            <w:r>
              <w:rPr>
                <w:rFonts w:hint="eastAsia" w:ascii="Times New Roman" w:hAnsi="Times New Roman" w:eastAsia="仿宋_GB2312" w:cs="Times New Roman"/>
                <w:color w:val="333333"/>
                <w:kern w:val="0"/>
                <w:sz w:val="30"/>
                <w:szCs w:val="30"/>
                <w:lang w:val="en-US" w:eastAsia="zh-CN" w:bidi="ar-SA"/>
              </w:rPr>
              <w:t>要求说明：除上述公差要求外，其他未标注公差按GB/T 1804</w:t>
            </w:r>
            <w:r>
              <w:rPr>
                <w:rFonts w:hint="eastAsia" w:eastAsia="仿宋_GB2312" w:cs="Times New Roman"/>
                <w:color w:val="333333"/>
                <w:kern w:val="0"/>
                <w:sz w:val="30"/>
                <w:szCs w:val="30"/>
                <w:lang w:val="en-US" w:eastAsia="zh-CN" w:bidi="ar-SA"/>
              </w:rPr>
              <w:t xml:space="preserve"> </w:t>
            </w:r>
            <w:r>
              <w:rPr>
                <w:rFonts w:hint="eastAsia" w:ascii="Times New Roman" w:hAnsi="Times New Roman" w:eastAsia="仿宋_GB2312" w:cs="Times New Roman"/>
                <w:color w:val="333333"/>
                <w:kern w:val="0"/>
                <w:sz w:val="30"/>
                <w:szCs w:val="30"/>
                <w:lang w:val="en-US" w:eastAsia="zh-CN" w:bidi="ar-SA"/>
              </w:rPr>
              <w:t>m级标准执行，位置公差和安装公差按GB/T 1804</w:t>
            </w:r>
            <w:r>
              <w:rPr>
                <w:rFonts w:hint="eastAsia" w:eastAsia="仿宋_GB2312" w:cs="Times New Roman"/>
                <w:color w:val="333333"/>
                <w:kern w:val="0"/>
                <w:sz w:val="30"/>
                <w:szCs w:val="30"/>
                <w:lang w:val="en-US" w:eastAsia="zh-CN" w:bidi="ar-SA"/>
              </w:rPr>
              <w:t xml:space="preserve"> </w:t>
            </w:r>
            <w:r>
              <w:rPr>
                <w:rFonts w:hint="eastAsia" w:ascii="Times New Roman" w:hAnsi="Times New Roman" w:eastAsia="仿宋_GB2312" w:cs="Times New Roman"/>
                <w:color w:val="333333"/>
                <w:kern w:val="0"/>
                <w:sz w:val="30"/>
                <w:szCs w:val="30"/>
                <w:lang w:val="en-US" w:eastAsia="zh-CN" w:bidi="ar-SA"/>
              </w:rPr>
              <w:t>f级标准执行。钢板厚度公差按 GB/T 708标准执行。</w:t>
            </w:r>
          </w:p>
        </w:tc>
      </w:tr>
    </w:tbl>
    <w:p>
      <w:pPr>
        <w:rPr>
          <w:rFonts w:hint="eastAsia" w:ascii="Times New Roman" w:hAnsi="Times New Roman" w:eastAsia="仿宋_GB2312" w:cs="Times New Roman"/>
          <w:color w:val="333333"/>
          <w:kern w:val="0"/>
          <w:sz w:val="32"/>
          <w:szCs w:val="32"/>
          <w:lang w:val="en-US" w:eastAsia="zh-CN" w:bidi="ar-SA"/>
        </w:rPr>
      </w:pPr>
    </w:p>
    <w:p>
      <w:pPr>
        <w:rPr>
          <w:rFonts w:hint="eastAsia" w:ascii="Times New Roman" w:hAnsi="Times New Roman" w:eastAsia="仿宋_GB2312" w:cs="Times New Roman"/>
          <w:color w:val="333333"/>
          <w:kern w:val="0"/>
          <w:sz w:val="32"/>
          <w:szCs w:val="32"/>
          <w:lang w:val="en-US" w:eastAsia="zh-CN" w:bidi="ar-SA"/>
        </w:rPr>
      </w:pPr>
    </w:p>
    <w:sectPr>
      <w:footerReference r:id="rId3" w:type="default"/>
      <w:pgSz w:w="11906" w:h="16838"/>
      <w:pgMar w:top="2098" w:right="1531" w:bottom="1984" w:left="1531"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32</w:t>
                          </w:r>
                          <w:r>
                            <w:rPr>
                              <w:rFonts w:hint="eastAsia"/>
                              <w:sz w:val="18"/>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g8LiMkBAACa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y&#10;zPr0AWpMuw+YmIZ3fsCtmf2Azkx7UNHmLxIiGEd1z1d15ZCIyI/Wq/W6wpDA2HxBfPbwPERI76W3&#10;JBsNjTi+oio/fYQ0ps4puZrzd9qYMkLj/nEgZvaw3PvYY7bSsB8mQnvfnpFPj5NvqMNFp8R8cChs&#10;XpLZiLOxn41jiPrQlS3K9SDcHhM2UXrLFUbYqTCOrLCb1ivvxON7yXr4pb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uDwuIyQEAAJoDAAAOAAAAAAAAAAEAIAAAAB4BAABkcnMvZTJvRG9j&#10;LnhtbFBLBQYAAAAABgAGAFkBAABZ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32</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1YTJmNDNiOTJkNzA0MWEwZWY3ZGUzYWVhMmY3MDIifQ=="/>
  </w:docVars>
  <w:rsids>
    <w:rsidRoot w:val="00172A27"/>
    <w:rsid w:val="00012DAD"/>
    <w:rsid w:val="00013A22"/>
    <w:rsid w:val="00014FDB"/>
    <w:rsid w:val="00016510"/>
    <w:rsid w:val="00020A20"/>
    <w:rsid w:val="000255F9"/>
    <w:rsid w:val="00030155"/>
    <w:rsid w:val="000416C9"/>
    <w:rsid w:val="000502BD"/>
    <w:rsid w:val="00071372"/>
    <w:rsid w:val="000C1FF9"/>
    <w:rsid w:val="000D0B5B"/>
    <w:rsid w:val="000D509E"/>
    <w:rsid w:val="000D7DA2"/>
    <w:rsid w:val="0010144E"/>
    <w:rsid w:val="0012196B"/>
    <w:rsid w:val="001341A6"/>
    <w:rsid w:val="001441A2"/>
    <w:rsid w:val="001475CC"/>
    <w:rsid w:val="001505F6"/>
    <w:rsid w:val="0015420F"/>
    <w:rsid w:val="00156695"/>
    <w:rsid w:val="00190966"/>
    <w:rsid w:val="001A6350"/>
    <w:rsid w:val="001A6CC7"/>
    <w:rsid w:val="001D562A"/>
    <w:rsid w:val="001F47EF"/>
    <w:rsid w:val="0020528C"/>
    <w:rsid w:val="0021516E"/>
    <w:rsid w:val="00224767"/>
    <w:rsid w:val="0022546B"/>
    <w:rsid w:val="002411D6"/>
    <w:rsid w:val="0026139D"/>
    <w:rsid w:val="002618CE"/>
    <w:rsid w:val="00281058"/>
    <w:rsid w:val="00283E94"/>
    <w:rsid w:val="00293A12"/>
    <w:rsid w:val="002B77E1"/>
    <w:rsid w:val="00303384"/>
    <w:rsid w:val="00311680"/>
    <w:rsid w:val="00323594"/>
    <w:rsid w:val="00332B92"/>
    <w:rsid w:val="0033587E"/>
    <w:rsid w:val="0037330C"/>
    <w:rsid w:val="00394242"/>
    <w:rsid w:val="003B26AC"/>
    <w:rsid w:val="003B2DDE"/>
    <w:rsid w:val="003C7DCC"/>
    <w:rsid w:val="004079CA"/>
    <w:rsid w:val="00412A5F"/>
    <w:rsid w:val="0045220C"/>
    <w:rsid w:val="004A1A2C"/>
    <w:rsid w:val="00511680"/>
    <w:rsid w:val="00534EC4"/>
    <w:rsid w:val="00536676"/>
    <w:rsid w:val="0054264B"/>
    <w:rsid w:val="00545682"/>
    <w:rsid w:val="0054659D"/>
    <w:rsid w:val="00550B38"/>
    <w:rsid w:val="005B4BE6"/>
    <w:rsid w:val="005E19D1"/>
    <w:rsid w:val="006209D8"/>
    <w:rsid w:val="00620EF1"/>
    <w:rsid w:val="00633B38"/>
    <w:rsid w:val="00641F6A"/>
    <w:rsid w:val="00662483"/>
    <w:rsid w:val="00676034"/>
    <w:rsid w:val="00680272"/>
    <w:rsid w:val="00696EB3"/>
    <w:rsid w:val="006A30D4"/>
    <w:rsid w:val="006D0AFF"/>
    <w:rsid w:val="006D17BA"/>
    <w:rsid w:val="006E2CC2"/>
    <w:rsid w:val="006E3324"/>
    <w:rsid w:val="006E7319"/>
    <w:rsid w:val="006F18A8"/>
    <w:rsid w:val="006F7478"/>
    <w:rsid w:val="00735789"/>
    <w:rsid w:val="00744781"/>
    <w:rsid w:val="00752E5B"/>
    <w:rsid w:val="007579ED"/>
    <w:rsid w:val="00765EAD"/>
    <w:rsid w:val="00766527"/>
    <w:rsid w:val="0076672A"/>
    <w:rsid w:val="00784886"/>
    <w:rsid w:val="007A1629"/>
    <w:rsid w:val="007C1F25"/>
    <w:rsid w:val="00810F7E"/>
    <w:rsid w:val="0081130D"/>
    <w:rsid w:val="00835655"/>
    <w:rsid w:val="008544E4"/>
    <w:rsid w:val="0085694D"/>
    <w:rsid w:val="00867EAA"/>
    <w:rsid w:val="00875FC2"/>
    <w:rsid w:val="008761B0"/>
    <w:rsid w:val="00886113"/>
    <w:rsid w:val="0089737A"/>
    <w:rsid w:val="008D5E89"/>
    <w:rsid w:val="0090051A"/>
    <w:rsid w:val="00920297"/>
    <w:rsid w:val="00926260"/>
    <w:rsid w:val="00940729"/>
    <w:rsid w:val="00951AAC"/>
    <w:rsid w:val="00975FC0"/>
    <w:rsid w:val="0097692A"/>
    <w:rsid w:val="00976A4D"/>
    <w:rsid w:val="009A136C"/>
    <w:rsid w:val="009B35FE"/>
    <w:rsid w:val="009B4D78"/>
    <w:rsid w:val="009D3982"/>
    <w:rsid w:val="009D770C"/>
    <w:rsid w:val="009E57D2"/>
    <w:rsid w:val="009F4722"/>
    <w:rsid w:val="009F498F"/>
    <w:rsid w:val="00A36470"/>
    <w:rsid w:val="00A4229F"/>
    <w:rsid w:val="00A55836"/>
    <w:rsid w:val="00A57291"/>
    <w:rsid w:val="00AB47F5"/>
    <w:rsid w:val="00AB618D"/>
    <w:rsid w:val="00AC4894"/>
    <w:rsid w:val="00AC5108"/>
    <w:rsid w:val="00AE6F93"/>
    <w:rsid w:val="00B134CB"/>
    <w:rsid w:val="00B37B83"/>
    <w:rsid w:val="00B439B3"/>
    <w:rsid w:val="00B43AB6"/>
    <w:rsid w:val="00B5669A"/>
    <w:rsid w:val="00B5720D"/>
    <w:rsid w:val="00B72094"/>
    <w:rsid w:val="00B764F0"/>
    <w:rsid w:val="00B80A54"/>
    <w:rsid w:val="00BC7C1B"/>
    <w:rsid w:val="00BD1E84"/>
    <w:rsid w:val="00BD3FDA"/>
    <w:rsid w:val="00C26EAC"/>
    <w:rsid w:val="00C57EFA"/>
    <w:rsid w:val="00C6318C"/>
    <w:rsid w:val="00C8078B"/>
    <w:rsid w:val="00C94D00"/>
    <w:rsid w:val="00CA0766"/>
    <w:rsid w:val="00CA07C0"/>
    <w:rsid w:val="00CB218C"/>
    <w:rsid w:val="00CB35B5"/>
    <w:rsid w:val="00CB7EB3"/>
    <w:rsid w:val="00CD439B"/>
    <w:rsid w:val="00CE40F8"/>
    <w:rsid w:val="00D22A40"/>
    <w:rsid w:val="00D358E2"/>
    <w:rsid w:val="00D437A7"/>
    <w:rsid w:val="00D63CB0"/>
    <w:rsid w:val="00D70567"/>
    <w:rsid w:val="00DA1E7B"/>
    <w:rsid w:val="00DC62D1"/>
    <w:rsid w:val="00DD44B8"/>
    <w:rsid w:val="00DF0F5F"/>
    <w:rsid w:val="00DF321D"/>
    <w:rsid w:val="00E01EF7"/>
    <w:rsid w:val="00E313A0"/>
    <w:rsid w:val="00E40483"/>
    <w:rsid w:val="00E52134"/>
    <w:rsid w:val="00E60A31"/>
    <w:rsid w:val="00E64E45"/>
    <w:rsid w:val="00E94725"/>
    <w:rsid w:val="00E96087"/>
    <w:rsid w:val="00EA43A7"/>
    <w:rsid w:val="00EB000E"/>
    <w:rsid w:val="00EB2F9E"/>
    <w:rsid w:val="00EB58DC"/>
    <w:rsid w:val="00EB73B3"/>
    <w:rsid w:val="00EC5FA6"/>
    <w:rsid w:val="00EE4BF5"/>
    <w:rsid w:val="00F16BDA"/>
    <w:rsid w:val="00F2263A"/>
    <w:rsid w:val="00F26896"/>
    <w:rsid w:val="00F51287"/>
    <w:rsid w:val="00F80522"/>
    <w:rsid w:val="00FA33B0"/>
    <w:rsid w:val="00FB4547"/>
    <w:rsid w:val="00FC23C0"/>
    <w:rsid w:val="00FE39D6"/>
    <w:rsid w:val="00FE5604"/>
    <w:rsid w:val="00FE63A2"/>
    <w:rsid w:val="00FF18B6"/>
    <w:rsid w:val="013D37A3"/>
    <w:rsid w:val="01653235"/>
    <w:rsid w:val="01C50AE1"/>
    <w:rsid w:val="01E36E66"/>
    <w:rsid w:val="02021567"/>
    <w:rsid w:val="02E832BD"/>
    <w:rsid w:val="030F3691"/>
    <w:rsid w:val="03112873"/>
    <w:rsid w:val="0320008C"/>
    <w:rsid w:val="03205BA8"/>
    <w:rsid w:val="033265E8"/>
    <w:rsid w:val="03496D2B"/>
    <w:rsid w:val="03814A75"/>
    <w:rsid w:val="03AF3486"/>
    <w:rsid w:val="03CC1BE0"/>
    <w:rsid w:val="04063CD1"/>
    <w:rsid w:val="040F46EE"/>
    <w:rsid w:val="046A0822"/>
    <w:rsid w:val="048978B9"/>
    <w:rsid w:val="04B27B2F"/>
    <w:rsid w:val="04C42EA2"/>
    <w:rsid w:val="04CA40C2"/>
    <w:rsid w:val="04E252D1"/>
    <w:rsid w:val="04E60C9D"/>
    <w:rsid w:val="04EC334C"/>
    <w:rsid w:val="057C2E0D"/>
    <w:rsid w:val="0594165F"/>
    <w:rsid w:val="05B70F23"/>
    <w:rsid w:val="05FC4DCC"/>
    <w:rsid w:val="061B3468"/>
    <w:rsid w:val="066B55A8"/>
    <w:rsid w:val="067A32FC"/>
    <w:rsid w:val="068E1348"/>
    <w:rsid w:val="06D40C7B"/>
    <w:rsid w:val="06FE3809"/>
    <w:rsid w:val="070F0EB1"/>
    <w:rsid w:val="07200D44"/>
    <w:rsid w:val="073632CE"/>
    <w:rsid w:val="07511286"/>
    <w:rsid w:val="07C96257"/>
    <w:rsid w:val="07CA59C6"/>
    <w:rsid w:val="07D37527"/>
    <w:rsid w:val="07EC44AA"/>
    <w:rsid w:val="08421A12"/>
    <w:rsid w:val="08D864BC"/>
    <w:rsid w:val="08F757FA"/>
    <w:rsid w:val="090B08D4"/>
    <w:rsid w:val="092D2F01"/>
    <w:rsid w:val="094F7778"/>
    <w:rsid w:val="099C25A5"/>
    <w:rsid w:val="09BF60F8"/>
    <w:rsid w:val="09DF4F7C"/>
    <w:rsid w:val="0A04275D"/>
    <w:rsid w:val="0A0C1154"/>
    <w:rsid w:val="0A13717F"/>
    <w:rsid w:val="0A6543F2"/>
    <w:rsid w:val="0A6F0424"/>
    <w:rsid w:val="0AB42E2C"/>
    <w:rsid w:val="0AEB002D"/>
    <w:rsid w:val="0AF729DD"/>
    <w:rsid w:val="0AF74B78"/>
    <w:rsid w:val="0B1C4224"/>
    <w:rsid w:val="0B4450F3"/>
    <w:rsid w:val="0B454B0C"/>
    <w:rsid w:val="0B4850F1"/>
    <w:rsid w:val="0B5118C2"/>
    <w:rsid w:val="0B62234C"/>
    <w:rsid w:val="0B7003C6"/>
    <w:rsid w:val="0BBD469C"/>
    <w:rsid w:val="0BBE0512"/>
    <w:rsid w:val="0BFC73C5"/>
    <w:rsid w:val="0BFC7CCB"/>
    <w:rsid w:val="0BFF293E"/>
    <w:rsid w:val="0C2B3D28"/>
    <w:rsid w:val="0C762CD4"/>
    <w:rsid w:val="0C841282"/>
    <w:rsid w:val="0CA65EC6"/>
    <w:rsid w:val="0CAE147F"/>
    <w:rsid w:val="0CAF4438"/>
    <w:rsid w:val="0CCD34DF"/>
    <w:rsid w:val="0CF41887"/>
    <w:rsid w:val="0D04253E"/>
    <w:rsid w:val="0D8B080C"/>
    <w:rsid w:val="0DEA7415"/>
    <w:rsid w:val="0EC8234A"/>
    <w:rsid w:val="0ED87EB6"/>
    <w:rsid w:val="0EE13E65"/>
    <w:rsid w:val="0F67724C"/>
    <w:rsid w:val="0F7A0828"/>
    <w:rsid w:val="0F7E59A4"/>
    <w:rsid w:val="0FB40478"/>
    <w:rsid w:val="0FC437AC"/>
    <w:rsid w:val="0FD92952"/>
    <w:rsid w:val="100B3999"/>
    <w:rsid w:val="10321608"/>
    <w:rsid w:val="103248A5"/>
    <w:rsid w:val="103F1B00"/>
    <w:rsid w:val="105A5869"/>
    <w:rsid w:val="106536AB"/>
    <w:rsid w:val="10866C9A"/>
    <w:rsid w:val="10B17A44"/>
    <w:rsid w:val="111E126F"/>
    <w:rsid w:val="11264181"/>
    <w:rsid w:val="118B6FF4"/>
    <w:rsid w:val="11E7385A"/>
    <w:rsid w:val="11F914D6"/>
    <w:rsid w:val="120A61FB"/>
    <w:rsid w:val="12292DE7"/>
    <w:rsid w:val="123E3A69"/>
    <w:rsid w:val="12AC490E"/>
    <w:rsid w:val="13025AC8"/>
    <w:rsid w:val="131162DA"/>
    <w:rsid w:val="131E64CC"/>
    <w:rsid w:val="133337CA"/>
    <w:rsid w:val="133B1BD4"/>
    <w:rsid w:val="134D3311"/>
    <w:rsid w:val="137E2BFD"/>
    <w:rsid w:val="1430536A"/>
    <w:rsid w:val="148F0E91"/>
    <w:rsid w:val="14B561ED"/>
    <w:rsid w:val="14BE790E"/>
    <w:rsid w:val="14DF7CA6"/>
    <w:rsid w:val="14F60FB2"/>
    <w:rsid w:val="150370E5"/>
    <w:rsid w:val="152105E7"/>
    <w:rsid w:val="152F51FA"/>
    <w:rsid w:val="15B12948"/>
    <w:rsid w:val="15B12D42"/>
    <w:rsid w:val="15DA0777"/>
    <w:rsid w:val="15EE7E9B"/>
    <w:rsid w:val="162B544C"/>
    <w:rsid w:val="162B77E5"/>
    <w:rsid w:val="164B510F"/>
    <w:rsid w:val="165F014A"/>
    <w:rsid w:val="16AF219C"/>
    <w:rsid w:val="170A4422"/>
    <w:rsid w:val="17184F25"/>
    <w:rsid w:val="17227CBD"/>
    <w:rsid w:val="17263985"/>
    <w:rsid w:val="172A222F"/>
    <w:rsid w:val="173400C8"/>
    <w:rsid w:val="176A37F0"/>
    <w:rsid w:val="176D662C"/>
    <w:rsid w:val="17BA7AE8"/>
    <w:rsid w:val="17F8564E"/>
    <w:rsid w:val="18371EC1"/>
    <w:rsid w:val="183731B7"/>
    <w:rsid w:val="183A3984"/>
    <w:rsid w:val="18A23117"/>
    <w:rsid w:val="18E36639"/>
    <w:rsid w:val="19031D93"/>
    <w:rsid w:val="19211CBC"/>
    <w:rsid w:val="19A40F4F"/>
    <w:rsid w:val="19F77A19"/>
    <w:rsid w:val="1A0348A0"/>
    <w:rsid w:val="1A134AB0"/>
    <w:rsid w:val="1A4C089E"/>
    <w:rsid w:val="1A4D01D6"/>
    <w:rsid w:val="1A572AA4"/>
    <w:rsid w:val="1A93036B"/>
    <w:rsid w:val="1AA61A80"/>
    <w:rsid w:val="1AAF6A81"/>
    <w:rsid w:val="1ABE5A19"/>
    <w:rsid w:val="1B042819"/>
    <w:rsid w:val="1B046505"/>
    <w:rsid w:val="1B0E4A1F"/>
    <w:rsid w:val="1B4723D2"/>
    <w:rsid w:val="1B5E7F59"/>
    <w:rsid w:val="1BBD0F0E"/>
    <w:rsid w:val="1BFE7FB9"/>
    <w:rsid w:val="1C267510"/>
    <w:rsid w:val="1C287C52"/>
    <w:rsid w:val="1C8E21AF"/>
    <w:rsid w:val="1CB80A42"/>
    <w:rsid w:val="1CE25340"/>
    <w:rsid w:val="1CEE1E45"/>
    <w:rsid w:val="1CF917A7"/>
    <w:rsid w:val="1D075179"/>
    <w:rsid w:val="1D0F6A91"/>
    <w:rsid w:val="1D381D32"/>
    <w:rsid w:val="1D3A289D"/>
    <w:rsid w:val="1D742A04"/>
    <w:rsid w:val="1D842ACA"/>
    <w:rsid w:val="1DB6665B"/>
    <w:rsid w:val="1DD37945"/>
    <w:rsid w:val="1DFA2773"/>
    <w:rsid w:val="1E2C7696"/>
    <w:rsid w:val="1EA43999"/>
    <w:rsid w:val="1EA9518B"/>
    <w:rsid w:val="1ED62129"/>
    <w:rsid w:val="1F177F6F"/>
    <w:rsid w:val="1F2C3E60"/>
    <w:rsid w:val="1F6B41F0"/>
    <w:rsid w:val="1F7B4492"/>
    <w:rsid w:val="1FD62280"/>
    <w:rsid w:val="1FF84F80"/>
    <w:rsid w:val="20430B0A"/>
    <w:rsid w:val="204777F9"/>
    <w:rsid w:val="205E46A0"/>
    <w:rsid w:val="20672457"/>
    <w:rsid w:val="206A3852"/>
    <w:rsid w:val="209A629D"/>
    <w:rsid w:val="209E2BEF"/>
    <w:rsid w:val="20EC4069"/>
    <w:rsid w:val="20EC40E1"/>
    <w:rsid w:val="20F03805"/>
    <w:rsid w:val="20FC15C3"/>
    <w:rsid w:val="21146829"/>
    <w:rsid w:val="21273D56"/>
    <w:rsid w:val="215D622A"/>
    <w:rsid w:val="216A4CFF"/>
    <w:rsid w:val="21E156BB"/>
    <w:rsid w:val="21EE3C28"/>
    <w:rsid w:val="21F11E6A"/>
    <w:rsid w:val="225625C1"/>
    <w:rsid w:val="226E341B"/>
    <w:rsid w:val="22810E9B"/>
    <w:rsid w:val="22840CA3"/>
    <w:rsid w:val="22A55F4C"/>
    <w:rsid w:val="22B94BA7"/>
    <w:rsid w:val="23375F28"/>
    <w:rsid w:val="23383159"/>
    <w:rsid w:val="234B131B"/>
    <w:rsid w:val="23531AC9"/>
    <w:rsid w:val="23841FB3"/>
    <w:rsid w:val="23C67966"/>
    <w:rsid w:val="23D34782"/>
    <w:rsid w:val="23D9660A"/>
    <w:rsid w:val="23E27123"/>
    <w:rsid w:val="23E822B1"/>
    <w:rsid w:val="23F47F04"/>
    <w:rsid w:val="23F97F5A"/>
    <w:rsid w:val="23FD527B"/>
    <w:rsid w:val="241E4CCB"/>
    <w:rsid w:val="246D1271"/>
    <w:rsid w:val="24774D69"/>
    <w:rsid w:val="24983B46"/>
    <w:rsid w:val="24AE1536"/>
    <w:rsid w:val="24E535F8"/>
    <w:rsid w:val="255D02A8"/>
    <w:rsid w:val="25A07660"/>
    <w:rsid w:val="25A11460"/>
    <w:rsid w:val="25A42AF9"/>
    <w:rsid w:val="25A8337E"/>
    <w:rsid w:val="25AD676B"/>
    <w:rsid w:val="26357304"/>
    <w:rsid w:val="26385273"/>
    <w:rsid w:val="265E6987"/>
    <w:rsid w:val="26693269"/>
    <w:rsid w:val="267D1964"/>
    <w:rsid w:val="26811C42"/>
    <w:rsid w:val="26CB5D9F"/>
    <w:rsid w:val="270722B7"/>
    <w:rsid w:val="27144EE2"/>
    <w:rsid w:val="27536EA5"/>
    <w:rsid w:val="275E733D"/>
    <w:rsid w:val="276E02B0"/>
    <w:rsid w:val="27913CE5"/>
    <w:rsid w:val="27DC152B"/>
    <w:rsid w:val="27F51880"/>
    <w:rsid w:val="27FA1EB7"/>
    <w:rsid w:val="28096DE4"/>
    <w:rsid w:val="28244806"/>
    <w:rsid w:val="28307B03"/>
    <w:rsid w:val="287C7CB1"/>
    <w:rsid w:val="28850BCF"/>
    <w:rsid w:val="2922403B"/>
    <w:rsid w:val="299E4643"/>
    <w:rsid w:val="29B50FC7"/>
    <w:rsid w:val="29D357B2"/>
    <w:rsid w:val="29E61321"/>
    <w:rsid w:val="29EE0189"/>
    <w:rsid w:val="2A083A4E"/>
    <w:rsid w:val="2A7356DA"/>
    <w:rsid w:val="2AED0868"/>
    <w:rsid w:val="2AF45384"/>
    <w:rsid w:val="2B035552"/>
    <w:rsid w:val="2B0409D8"/>
    <w:rsid w:val="2B347A72"/>
    <w:rsid w:val="2B7D4957"/>
    <w:rsid w:val="2B936FA7"/>
    <w:rsid w:val="2B973473"/>
    <w:rsid w:val="2BC62EC2"/>
    <w:rsid w:val="2BD95C65"/>
    <w:rsid w:val="2BDA1DB6"/>
    <w:rsid w:val="2C175202"/>
    <w:rsid w:val="2CA24262"/>
    <w:rsid w:val="2CF41B46"/>
    <w:rsid w:val="2D337AB2"/>
    <w:rsid w:val="2D7B4785"/>
    <w:rsid w:val="2D952121"/>
    <w:rsid w:val="2DB4278C"/>
    <w:rsid w:val="2E031FE7"/>
    <w:rsid w:val="2E0D3FDD"/>
    <w:rsid w:val="2E360490"/>
    <w:rsid w:val="2E5473FF"/>
    <w:rsid w:val="2E635E38"/>
    <w:rsid w:val="2EA8747C"/>
    <w:rsid w:val="2EB143E1"/>
    <w:rsid w:val="2EE94734"/>
    <w:rsid w:val="2F067139"/>
    <w:rsid w:val="2F256067"/>
    <w:rsid w:val="2F2C46F8"/>
    <w:rsid w:val="2F3233B8"/>
    <w:rsid w:val="2F65143A"/>
    <w:rsid w:val="2F7755D5"/>
    <w:rsid w:val="2F8127EE"/>
    <w:rsid w:val="2F890EB7"/>
    <w:rsid w:val="2F911A4F"/>
    <w:rsid w:val="2F9257C7"/>
    <w:rsid w:val="2FD569D8"/>
    <w:rsid w:val="2FE4275F"/>
    <w:rsid w:val="2FF01FFC"/>
    <w:rsid w:val="300A312A"/>
    <w:rsid w:val="30460045"/>
    <w:rsid w:val="309E6E18"/>
    <w:rsid w:val="30B82756"/>
    <w:rsid w:val="30B83B35"/>
    <w:rsid w:val="30D520BC"/>
    <w:rsid w:val="30D64D73"/>
    <w:rsid w:val="30F966B4"/>
    <w:rsid w:val="3110753A"/>
    <w:rsid w:val="314E3948"/>
    <w:rsid w:val="31801811"/>
    <w:rsid w:val="318B02F8"/>
    <w:rsid w:val="31A55C86"/>
    <w:rsid w:val="31DF6D98"/>
    <w:rsid w:val="31F57BCA"/>
    <w:rsid w:val="32126ADB"/>
    <w:rsid w:val="32204470"/>
    <w:rsid w:val="32522A2F"/>
    <w:rsid w:val="32B43470"/>
    <w:rsid w:val="32B51EF8"/>
    <w:rsid w:val="32B731D3"/>
    <w:rsid w:val="32E30B2A"/>
    <w:rsid w:val="32E53215"/>
    <w:rsid w:val="32F72B68"/>
    <w:rsid w:val="32FC6FE5"/>
    <w:rsid w:val="32FF13C6"/>
    <w:rsid w:val="33015FE4"/>
    <w:rsid w:val="334658ED"/>
    <w:rsid w:val="33560C79"/>
    <w:rsid w:val="335C76C1"/>
    <w:rsid w:val="336C673D"/>
    <w:rsid w:val="33C34954"/>
    <w:rsid w:val="33FA56B1"/>
    <w:rsid w:val="340D1EE9"/>
    <w:rsid w:val="340D2DD1"/>
    <w:rsid w:val="342A6342"/>
    <w:rsid w:val="34882352"/>
    <w:rsid w:val="349F1579"/>
    <w:rsid w:val="35247F8A"/>
    <w:rsid w:val="353C2D39"/>
    <w:rsid w:val="356752E4"/>
    <w:rsid w:val="359A7672"/>
    <w:rsid w:val="359F401F"/>
    <w:rsid w:val="35B83C48"/>
    <w:rsid w:val="35D5640E"/>
    <w:rsid w:val="36C476F4"/>
    <w:rsid w:val="36C86BB4"/>
    <w:rsid w:val="371A0249"/>
    <w:rsid w:val="37587D64"/>
    <w:rsid w:val="377240E4"/>
    <w:rsid w:val="3776012A"/>
    <w:rsid w:val="379F51A8"/>
    <w:rsid w:val="37C37F7F"/>
    <w:rsid w:val="37EF7C5B"/>
    <w:rsid w:val="38595EF2"/>
    <w:rsid w:val="38801589"/>
    <w:rsid w:val="38ED0725"/>
    <w:rsid w:val="39022661"/>
    <w:rsid w:val="393B76D2"/>
    <w:rsid w:val="394B0E78"/>
    <w:rsid w:val="394C70D9"/>
    <w:rsid w:val="395B4E7C"/>
    <w:rsid w:val="397F3259"/>
    <w:rsid w:val="39822D99"/>
    <w:rsid w:val="39827772"/>
    <w:rsid w:val="39CE049F"/>
    <w:rsid w:val="39DE2D6D"/>
    <w:rsid w:val="3A096A83"/>
    <w:rsid w:val="3A280C41"/>
    <w:rsid w:val="3A3413F0"/>
    <w:rsid w:val="3A3D1514"/>
    <w:rsid w:val="3A434ABC"/>
    <w:rsid w:val="3A4F6C08"/>
    <w:rsid w:val="3AA7100F"/>
    <w:rsid w:val="3AD731AE"/>
    <w:rsid w:val="3ADC75C4"/>
    <w:rsid w:val="3B3B5026"/>
    <w:rsid w:val="3B6E58FC"/>
    <w:rsid w:val="3B9B3DCE"/>
    <w:rsid w:val="3B9D3AC7"/>
    <w:rsid w:val="3BC0707B"/>
    <w:rsid w:val="3C024815"/>
    <w:rsid w:val="3C0F174D"/>
    <w:rsid w:val="3C2632C1"/>
    <w:rsid w:val="3C2B26FE"/>
    <w:rsid w:val="3C484A9B"/>
    <w:rsid w:val="3C4D78B4"/>
    <w:rsid w:val="3CA07F68"/>
    <w:rsid w:val="3CCB3F78"/>
    <w:rsid w:val="3CCC0E35"/>
    <w:rsid w:val="3CCF5047"/>
    <w:rsid w:val="3CCF6349"/>
    <w:rsid w:val="3CFB597B"/>
    <w:rsid w:val="3D125C36"/>
    <w:rsid w:val="3D15711C"/>
    <w:rsid w:val="3D162D45"/>
    <w:rsid w:val="3D2062E8"/>
    <w:rsid w:val="3D2B0644"/>
    <w:rsid w:val="3D685D50"/>
    <w:rsid w:val="3DAF46E1"/>
    <w:rsid w:val="3DB8382B"/>
    <w:rsid w:val="3DF432F2"/>
    <w:rsid w:val="3E301C6F"/>
    <w:rsid w:val="3E494626"/>
    <w:rsid w:val="3E5E7057"/>
    <w:rsid w:val="3E640F0E"/>
    <w:rsid w:val="3E681C26"/>
    <w:rsid w:val="3E8238F7"/>
    <w:rsid w:val="3EDC35DD"/>
    <w:rsid w:val="3F215D68"/>
    <w:rsid w:val="3F33487E"/>
    <w:rsid w:val="3F35499F"/>
    <w:rsid w:val="3F71347F"/>
    <w:rsid w:val="3F87756C"/>
    <w:rsid w:val="3F9D453F"/>
    <w:rsid w:val="3FA919FF"/>
    <w:rsid w:val="3FB215FC"/>
    <w:rsid w:val="3FCC73D8"/>
    <w:rsid w:val="3FDB4728"/>
    <w:rsid w:val="407C5A78"/>
    <w:rsid w:val="409D56C1"/>
    <w:rsid w:val="40AE26B0"/>
    <w:rsid w:val="40B910AB"/>
    <w:rsid w:val="40C952A8"/>
    <w:rsid w:val="40F56C1E"/>
    <w:rsid w:val="41111C5F"/>
    <w:rsid w:val="41515EAB"/>
    <w:rsid w:val="41524476"/>
    <w:rsid w:val="41987E11"/>
    <w:rsid w:val="41C60D63"/>
    <w:rsid w:val="41C8474B"/>
    <w:rsid w:val="41CF3094"/>
    <w:rsid w:val="41D61543"/>
    <w:rsid w:val="4233535C"/>
    <w:rsid w:val="424A0C4F"/>
    <w:rsid w:val="424E00AB"/>
    <w:rsid w:val="42954A48"/>
    <w:rsid w:val="429B26C8"/>
    <w:rsid w:val="42C53332"/>
    <w:rsid w:val="42CD6147"/>
    <w:rsid w:val="42D14260"/>
    <w:rsid w:val="436A6EC2"/>
    <w:rsid w:val="441058BC"/>
    <w:rsid w:val="44646072"/>
    <w:rsid w:val="44CA059E"/>
    <w:rsid w:val="44E94F98"/>
    <w:rsid w:val="45374DC2"/>
    <w:rsid w:val="455B537B"/>
    <w:rsid w:val="45761BF1"/>
    <w:rsid w:val="4581304E"/>
    <w:rsid w:val="45925BB1"/>
    <w:rsid w:val="45DE7973"/>
    <w:rsid w:val="45F834E5"/>
    <w:rsid w:val="463A730C"/>
    <w:rsid w:val="464843A2"/>
    <w:rsid w:val="46935BA2"/>
    <w:rsid w:val="469E6066"/>
    <w:rsid w:val="46B300A5"/>
    <w:rsid w:val="46FA3748"/>
    <w:rsid w:val="47B20E8C"/>
    <w:rsid w:val="47FE1302"/>
    <w:rsid w:val="48007F29"/>
    <w:rsid w:val="487C2696"/>
    <w:rsid w:val="48C00117"/>
    <w:rsid w:val="48D20451"/>
    <w:rsid w:val="48DD7525"/>
    <w:rsid w:val="49125428"/>
    <w:rsid w:val="4917591B"/>
    <w:rsid w:val="49257017"/>
    <w:rsid w:val="493A0DB3"/>
    <w:rsid w:val="495D04AE"/>
    <w:rsid w:val="49951430"/>
    <w:rsid w:val="49A456B0"/>
    <w:rsid w:val="49C5081B"/>
    <w:rsid w:val="49CC7073"/>
    <w:rsid w:val="4A6458EA"/>
    <w:rsid w:val="4A6517BB"/>
    <w:rsid w:val="4A8B0248"/>
    <w:rsid w:val="4A9F78CD"/>
    <w:rsid w:val="4AF333FC"/>
    <w:rsid w:val="4AFB3008"/>
    <w:rsid w:val="4AFC55BB"/>
    <w:rsid w:val="4B017E48"/>
    <w:rsid w:val="4B78733B"/>
    <w:rsid w:val="4B8D4A0B"/>
    <w:rsid w:val="4B94388D"/>
    <w:rsid w:val="4BBE2A2A"/>
    <w:rsid w:val="4BFC429C"/>
    <w:rsid w:val="4C176BF2"/>
    <w:rsid w:val="4C2C2A52"/>
    <w:rsid w:val="4C4C7539"/>
    <w:rsid w:val="4CB12E72"/>
    <w:rsid w:val="4CBD35B2"/>
    <w:rsid w:val="4CC755AF"/>
    <w:rsid w:val="4CDE3103"/>
    <w:rsid w:val="4CF64C18"/>
    <w:rsid w:val="4D250E9E"/>
    <w:rsid w:val="4D3235D2"/>
    <w:rsid w:val="4D395265"/>
    <w:rsid w:val="4D3B1ABC"/>
    <w:rsid w:val="4D7B0621"/>
    <w:rsid w:val="4E0015BE"/>
    <w:rsid w:val="4E251FFE"/>
    <w:rsid w:val="4E7B76FB"/>
    <w:rsid w:val="4E8D6889"/>
    <w:rsid w:val="4E924F42"/>
    <w:rsid w:val="4EE27B81"/>
    <w:rsid w:val="4EE96D5A"/>
    <w:rsid w:val="4F130F4E"/>
    <w:rsid w:val="4F2C08EE"/>
    <w:rsid w:val="4F664424"/>
    <w:rsid w:val="4F731312"/>
    <w:rsid w:val="4FA07BA9"/>
    <w:rsid w:val="4FF3445F"/>
    <w:rsid w:val="502D118E"/>
    <w:rsid w:val="505B46FE"/>
    <w:rsid w:val="50683C98"/>
    <w:rsid w:val="50686138"/>
    <w:rsid w:val="506F34DE"/>
    <w:rsid w:val="50881600"/>
    <w:rsid w:val="50B860C1"/>
    <w:rsid w:val="50BD049E"/>
    <w:rsid w:val="50BE0335"/>
    <w:rsid w:val="50D85EF4"/>
    <w:rsid w:val="51053905"/>
    <w:rsid w:val="510B5484"/>
    <w:rsid w:val="510F0475"/>
    <w:rsid w:val="513C53AB"/>
    <w:rsid w:val="51630A6C"/>
    <w:rsid w:val="51895436"/>
    <w:rsid w:val="519047C4"/>
    <w:rsid w:val="51A70C5F"/>
    <w:rsid w:val="51A76A58"/>
    <w:rsid w:val="51AA1FC9"/>
    <w:rsid w:val="51C262D6"/>
    <w:rsid w:val="51D17862"/>
    <w:rsid w:val="51EF6265"/>
    <w:rsid w:val="52A651C4"/>
    <w:rsid w:val="52D96A05"/>
    <w:rsid w:val="532676B9"/>
    <w:rsid w:val="533A4CBB"/>
    <w:rsid w:val="53477894"/>
    <w:rsid w:val="53786A08"/>
    <w:rsid w:val="53A22557"/>
    <w:rsid w:val="53A36C0D"/>
    <w:rsid w:val="53BF7D60"/>
    <w:rsid w:val="53FB597F"/>
    <w:rsid w:val="540C655E"/>
    <w:rsid w:val="54356D62"/>
    <w:rsid w:val="549114A4"/>
    <w:rsid w:val="54CB69F8"/>
    <w:rsid w:val="54CE480A"/>
    <w:rsid w:val="54F30F16"/>
    <w:rsid w:val="55075A00"/>
    <w:rsid w:val="551D0FA6"/>
    <w:rsid w:val="554641B6"/>
    <w:rsid w:val="560A255A"/>
    <w:rsid w:val="561D65E4"/>
    <w:rsid w:val="56460D3D"/>
    <w:rsid w:val="56567137"/>
    <w:rsid w:val="566665DD"/>
    <w:rsid w:val="568F6BD7"/>
    <w:rsid w:val="56A72CD9"/>
    <w:rsid w:val="56AE7FC6"/>
    <w:rsid w:val="56C94652"/>
    <w:rsid w:val="56DE20DD"/>
    <w:rsid w:val="56FE02C0"/>
    <w:rsid w:val="57012616"/>
    <w:rsid w:val="5710012E"/>
    <w:rsid w:val="57196047"/>
    <w:rsid w:val="573D160D"/>
    <w:rsid w:val="574B4B8B"/>
    <w:rsid w:val="575101B3"/>
    <w:rsid w:val="57853254"/>
    <w:rsid w:val="57A75AC0"/>
    <w:rsid w:val="57C15CC1"/>
    <w:rsid w:val="57D61E46"/>
    <w:rsid w:val="57DC6871"/>
    <w:rsid w:val="57EA584B"/>
    <w:rsid w:val="57EF4E5D"/>
    <w:rsid w:val="57F80009"/>
    <w:rsid w:val="58243919"/>
    <w:rsid w:val="58264EC7"/>
    <w:rsid w:val="584414A5"/>
    <w:rsid w:val="585B78DD"/>
    <w:rsid w:val="5872787F"/>
    <w:rsid w:val="58B1040A"/>
    <w:rsid w:val="59157049"/>
    <w:rsid w:val="595D189B"/>
    <w:rsid w:val="59B506BB"/>
    <w:rsid w:val="59BB58F6"/>
    <w:rsid w:val="59C13226"/>
    <w:rsid w:val="59E848B8"/>
    <w:rsid w:val="59F4771D"/>
    <w:rsid w:val="5A0E6E60"/>
    <w:rsid w:val="5A0F2629"/>
    <w:rsid w:val="5A5D3452"/>
    <w:rsid w:val="5A8111AE"/>
    <w:rsid w:val="5AA4622B"/>
    <w:rsid w:val="5AB22720"/>
    <w:rsid w:val="5ADA1FF9"/>
    <w:rsid w:val="5B002556"/>
    <w:rsid w:val="5B042766"/>
    <w:rsid w:val="5B04414F"/>
    <w:rsid w:val="5B413EF0"/>
    <w:rsid w:val="5B8D235F"/>
    <w:rsid w:val="5BD215E2"/>
    <w:rsid w:val="5BD90B21"/>
    <w:rsid w:val="5BE14D59"/>
    <w:rsid w:val="5BF13E09"/>
    <w:rsid w:val="5BF47F65"/>
    <w:rsid w:val="5C01659A"/>
    <w:rsid w:val="5C026DE2"/>
    <w:rsid w:val="5C224831"/>
    <w:rsid w:val="5C2836CF"/>
    <w:rsid w:val="5C407504"/>
    <w:rsid w:val="5C517005"/>
    <w:rsid w:val="5C646D82"/>
    <w:rsid w:val="5C687363"/>
    <w:rsid w:val="5C757B23"/>
    <w:rsid w:val="5C8C5341"/>
    <w:rsid w:val="5CBE0B34"/>
    <w:rsid w:val="5D0527A4"/>
    <w:rsid w:val="5D5F3121"/>
    <w:rsid w:val="5D7870FF"/>
    <w:rsid w:val="5D9D596E"/>
    <w:rsid w:val="5DD123BA"/>
    <w:rsid w:val="5E1628C2"/>
    <w:rsid w:val="5E200E96"/>
    <w:rsid w:val="5E2C5858"/>
    <w:rsid w:val="5E662E72"/>
    <w:rsid w:val="5E6C52B2"/>
    <w:rsid w:val="5E703BAB"/>
    <w:rsid w:val="5E800D5D"/>
    <w:rsid w:val="5E846C46"/>
    <w:rsid w:val="5E9711CA"/>
    <w:rsid w:val="5EBF46A6"/>
    <w:rsid w:val="5EDA77FD"/>
    <w:rsid w:val="5F1846DC"/>
    <w:rsid w:val="5F547DD6"/>
    <w:rsid w:val="5FB65130"/>
    <w:rsid w:val="5FCA3DF5"/>
    <w:rsid w:val="6047130A"/>
    <w:rsid w:val="60533975"/>
    <w:rsid w:val="60874974"/>
    <w:rsid w:val="60927F57"/>
    <w:rsid w:val="60D5551B"/>
    <w:rsid w:val="61264C16"/>
    <w:rsid w:val="612C4D79"/>
    <w:rsid w:val="617E7C88"/>
    <w:rsid w:val="61942DAA"/>
    <w:rsid w:val="623616DF"/>
    <w:rsid w:val="623B2220"/>
    <w:rsid w:val="62535404"/>
    <w:rsid w:val="626A7D5A"/>
    <w:rsid w:val="626F6A50"/>
    <w:rsid w:val="627F2C16"/>
    <w:rsid w:val="628C6EF7"/>
    <w:rsid w:val="628E47E4"/>
    <w:rsid w:val="62943440"/>
    <w:rsid w:val="62B977E0"/>
    <w:rsid w:val="62E01743"/>
    <w:rsid w:val="62F24EC5"/>
    <w:rsid w:val="63246BDA"/>
    <w:rsid w:val="63474DF9"/>
    <w:rsid w:val="63770A48"/>
    <w:rsid w:val="6384723F"/>
    <w:rsid w:val="64123B35"/>
    <w:rsid w:val="643C7D37"/>
    <w:rsid w:val="649B2635"/>
    <w:rsid w:val="64A31012"/>
    <w:rsid w:val="64B416A4"/>
    <w:rsid w:val="64D103F0"/>
    <w:rsid w:val="65072055"/>
    <w:rsid w:val="65521CA6"/>
    <w:rsid w:val="65684EC9"/>
    <w:rsid w:val="65AD5F71"/>
    <w:rsid w:val="65B90CB9"/>
    <w:rsid w:val="65BC5FDC"/>
    <w:rsid w:val="6670349F"/>
    <w:rsid w:val="667752EC"/>
    <w:rsid w:val="66805D9E"/>
    <w:rsid w:val="66923631"/>
    <w:rsid w:val="66BA117E"/>
    <w:rsid w:val="66BE347C"/>
    <w:rsid w:val="66BF0F11"/>
    <w:rsid w:val="66D852E7"/>
    <w:rsid w:val="672076A9"/>
    <w:rsid w:val="672854C1"/>
    <w:rsid w:val="675D487E"/>
    <w:rsid w:val="675E162F"/>
    <w:rsid w:val="67661800"/>
    <w:rsid w:val="6796264F"/>
    <w:rsid w:val="679A440A"/>
    <w:rsid w:val="67AF4564"/>
    <w:rsid w:val="67B560AD"/>
    <w:rsid w:val="67DF563C"/>
    <w:rsid w:val="67E40DD3"/>
    <w:rsid w:val="685450C3"/>
    <w:rsid w:val="68567855"/>
    <w:rsid w:val="685F2F86"/>
    <w:rsid w:val="686B0CEF"/>
    <w:rsid w:val="689A0C6D"/>
    <w:rsid w:val="68B44CDB"/>
    <w:rsid w:val="68B52123"/>
    <w:rsid w:val="68BD49E3"/>
    <w:rsid w:val="68D62DF8"/>
    <w:rsid w:val="690305C1"/>
    <w:rsid w:val="693B0105"/>
    <w:rsid w:val="69515499"/>
    <w:rsid w:val="697E43BA"/>
    <w:rsid w:val="69905E97"/>
    <w:rsid w:val="69946E27"/>
    <w:rsid w:val="69B44AD2"/>
    <w:rsid w:val="69D25572"/>
    <w:rsid w:val="69DA36EA"/>
    <w:rsid w:val="69DE531F"/>
    <w:rsid w:val="69E53AB0"/>
    <w:rsid w:val="6A04687E"/>
    <w:rsid w:val="6A2C471D"/>
    <w:rsid w:val="6AA01FC7"/>
    <w:rsid w:val="6AC03947"/>
    <w:rsid w:val="6ADB06E5"/>
    <w:rsid w:val="6AEE3A97"/>
    <w:rsid w:val="6B3E6611"/>
    <w:rsid w:val="6B616174"/>
    <w:rsid w:val="6BDB1E37"/>
    <w:rsid w:val="6BE5575F"/>
    <w:rsid w:val="6BF460BD"/>
    <w:rsid w:val="6C386F35"/>
    <w:rsid w:val="6C9A2FA1"/>
    <w:rsid w:val="6CA25F0B"/>
    <w:rsid w:val="6CC95ABC"/>
    <w:rsid w:val="6CE96A40"/>
    <w:rsid w:val="6CEB120D"/>
    <w:rsid w:val="6D4568D4"/>
    <w:rsid w:val="6D5B6CCD"/>
    <w:rsid w:val="6D7C46E6"/>
    <w:rsid w:val="6D8649AD"/>
    <w:rsid w:val="6E002125"/>
    <w:rsid w:val="6E084D0E"/>
    <w:rsid w:val="6E451592"/>
    <w:rsid w:val="6E5617BA"/>
    <w:rsid w:val="6E6B7334"/>
    <w:rsid w:val="6EBC6D68"/>
    <w:rsid w:val="6F13204A"/>
    <w:rsid w:val="6F184201"/>
    <w:rsid w:val="6F240742"/>
    <w:rsid w:val="6F866AF4"/>
    <w:rsid w:val="6F894FD2"/>
    <w:rsid w:val="6FA749E9"/>
    <w:rsid w:val="70001692"/>
    <w:rsid w:val="70032760"/>
    <w:rsid w:val="700F0821"/>
    <w:rsid w:val="703D260A"/>
    <w:rsid w:val="70503189"/>
    <w:rsid w:val="70622D3D"/>
    <w:rsid w:val="70867432"/>
    <w:rsid w:val="70A060ED"/>
    <w:rsid w:val="70A86D10"/>
    <w:rsid w:val="70D04DAE"/>
    <w:rsid w:val="70DE3732"/>
    <w:rsid w:val="7160503A"/>
    <w:rsid w:val="71DF60AF"/>
    <w:rsid w:val="71F024AB"/>
    <w:rsid w:val="728A6916"/>
    <w:rsid w:val="72984D3B"/>
    <w:rsid w:val="72A2758D"/>
    <w:rsid w:val="72C15774"/>
    <w:rsid w:val="72E15E16"/>
    <w:rsid w:val="730D1FC8"/>
    <w:rsid w:val="732D19FC"/>
    <w:rsid w:val="734F5398"/>
    <w:rsid w:val="73600A60"/>
    <w:rsid w:val="7360633D"/>
    <w:rsid w:val="736C1560"/>
    <w:rsid w:val="73750EEB"/>
    <w:rsid w:val="737E0627"/>
    <w:rsid w:val="737F7012"/>
    <w:rsid w:val="738A30FA"/>
    <w:rsid w:val="73B22D69"/>
    <w:rsid w:val="73D43E02"/>
    <w:rsid w:val="73E3796C"/>
    <w:rsid w:val="74307387"/>
    <w:rsid w:val="745945A4"/>
    <w:rsid w:val="74652D09"/>
    <w:rsid w:val="74746523"/>
    <w:rsid w:val="74883A36"/>
    <w:rsid w:val="748C24FE"/>
    <w:rsid w:val="74933EA9"/>
    <w:rsid w:val="74B11784"/>
    <w:rsid w:val="75151DA7"/>
    <w:rsid w:val="75172BD4"/>
    <w:rsid w:val="75393E34"/>
    <w:rsid w:val="759777A0"/>
    <w:rsid w:val="75B4336E"/>
    <w:rsid w:val="75C65083"/>
    <w:rsid w:val="75DD5BF9"/>
    <w:rsid w:val="75F06C0B"/>
    <w:rsid w:val="75FC3815"/>
    <w:rsid w:val="762B2039"/>
    <w:rsid w:val="762C7EA2"/>
    <w:rsid w:val="766416BC"/>
    <w:rsid w:val="76E56F40"/>
    <w:rsid w:val="76E72E9C"/>
    <w:rsid w:val="76F115AC"/>
    <w:rsid w:val="770725EB"/>
    <w:rsid w:val="770868D7"/>
    <w:rsid w:val="77104B0F"/>
    <w:rsid w:val="77157D97"/>
    <w:rsid w:val="773D2F41"/>
    <w:rsid w:val="779F6ECE"/>
    <w:rsid w:val="77D13E19"/>
    <w:rsid w:val="781401B1"/>
    <w:rsid w:val="78295902"/>
    <w:rsid w:val="786411B5"/>
    <w:rsid w:val="78857817"/>
    <w:rsid w:val="797621C6"/>
    <w:rsid w:val="79B85C40"/>
    <w:rsid w:val="79CE44C9"/>
    <w:rsid w:val="7A291D92"/>
    <w:rsid w:val="7A315E85"/>
    <w:rsid w:val="7A3B377E"/>
    <w:rsid w:val="7A677662"/>
    <w:rsid w:val="7A856C84"/>
    <w:rsid w:val="7AC322BE"/>
    <w:rsid w:val="7AD90393"/>
    <w:rsid w:val="7ADB2EB4"/>
    <w:rsid w:val="7B3B35A8"/>
    <w:rsid w:val="7BA82EFD"/>
    <w:rsid w:val="7BBF1E5F"/>
    <w:rsid w:val="7BDC5D57"/>
    <w:rsid w:val="7BFD2C70"/>
    <w:rsid w:val="7C062DD4"/>
    <w:rsid w:val="7C3C6582"/>
    <w:rsid w:val="7C4F6AA5"/>
    <w:rsid w:val="7C6C18C1"/>
    <w:rsid w:val="7C791961"/>
    <w:rsid w:val="7CA16AA5"/>
    <w:rsid w:val="7CAA2982"/>
    <w:rsid w:val="7CB56142"/>
    <w:rsid w:val="7CCA4471"/>
    <w:rsid w:val="7CD51E1C"/>
    <w:rsid w:val="7CD9190C"/>
    <w:rsid w:val="7CE1025C"/>
    <w:rsid w:val="7D0A41BC"/>
    <w:rsid w:val="7D2154A1"/>
    <w:rsid w:val="7DA46BDC"/>
    <w:rsid w:val="7DB77C6C"/>
    <w:rsid w:val="7E0705C1"/>
    <w:rsid w:val="7E087C2E"/>
    <w:rsid w:val="7E165BD2"/>
    <w:rsid w:val="7E272826"/>
    <w:rsid w:val="7E552856"/>
    <w:rsid w:val="7E8500DD"/>
    <w:rsid w:val="7ECE3511"/>
    <w:rsid w:val="7ECE52DF"/>
    <w:rsid w:val="7F0C7CEC"/>
    <w:rsid w:val="7F57704F"/>
    <w:rsid w:val="7F745B47"/>
    <w:rsid w:val="7FBA0146"/>
    <w:rsid w:val="7FC664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line="570" w:lineRule="exact"/>
      <w:ind w:firstLine="720" w:firstLineChars="200"/>
      <w:jc w:val="left"/>
      <w:outlineLvl w:val="0"/>
    </w:pPr>
    <w:rPr>
      <w:rFonts w:hint="eastAsia" w:ascii="宋体" w:hAnsi="宋体" w:eastAsia="黑体" w:cs="宋体"/>
      <w:kern w:val="44"/>
      <w:sz w:val="32"/>
      <w:szCs w:val="48"/>
      <w:lang w:bidi="ar"/>
    </w:rPr>
  </w:style>
  <w:style w:type="paragraph" w:styleId="3">
    <w:name w:val="heading 2"/>
    <w:basedOn w:val="1"/>
    <w:next w:val="1"/>
    <w:link w:val="19"/>
    <w:qFormat/>
    <w:uiPriority w:val="99"/>
    <w:pPr>
      <w:keepNext/>
      <w:keepLines/>
      <w:spacing w:before="100" w:beforeAutospacing="1" w:after="100" w:afterAutospacing="1" w:line="570" w:lineRule="exact"/>
      <w:ind w:firstLine="720" w:firstLineChars="200"/>
      <w:outlineLvl w:val="1"/>
    </w:pPr>
    <w:rPr>
      <w:rFonts w:ascii="Cambria" w:hAnsi="Cambria" w:eastAsia="楷体"/>
      <w:b/>
      <w:bCs/>
      <w:kern w:val="0"/>
      <w:sz w:val="32"/>
      <w:szCs w:val="32"/>
    </w:rPr>
  </w:style>
  <w:style w:type="paragraph" w:styleId="4">
    <w:name w:val="heading 3"/>
    <w:basedOn w:val="1"/>
    <w:next w:val="1"/>
    <w:qFormat/>
    <w:uiPriority w:val="0"/>
    <w:pPr>
      <w:keepNext/>
      <w:keepLines/>
      <w:spacing w:before="260" w:beforeLines="0" w:beforeAutospacing="0" w:after="260" w:afterLines="0" w:afterAutospacing="0" w:line="570" w:lineRule="exact"/>
      <w:ind w:firstLine="720" w:firstLineChars="200"/>
      <w:outlineLvl w:val="2"/>
    </w:pPr>
    <w:rPr>
      <w:rFonts w:ascii="Calibri" w:hAnsi="Calibri" w:eastAsia="仿宋"/>
      <w:b/>
      <w:sz w:val="32"/>
      <w:szCs w:val="22"/>
    </w:rPr>
  </w:style>
  <w:style w:type="paragraph" w:styleId="5">
    <w:name w:val="heading 4"/>
    <w:basedOn w:val="1"/>
    <w:next w:val="1"/>
    <w:link w:val="20"/>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5"/>
    <w:basedOn w:val="1"/>
    <w:next w:val="1"/>
    <w:link w:val="21"/>
    <w:unhideWhenUsed/>
    <w:qFormat/>
    <w:uiPriority w:val="0"/>
    <w:pPr>
      <w:keepNext/>
      <w:keepLines/>
      <w:spacing w:before="280" w:after="290" w:line="376" w:lineRule="auto"/>
      <w:outlineLvl w:val="4"/>
    </w:pPr>
    <w:rPr>
      <w:b/>
      <w:bCs/>
      <w:sz w:val="28"/>
      <w:szCs w:val="28"/>
    </w:rPr>
  </w:style>
  <w:style w:type="character" w:default="1" w:styleId="17">
    <w:name w:val="Default Paragraph Font"/>
    <w:unhideWhenUsed/>
    <w:qFormat/>
    <w:uiPriority w:val="1"/>
  </w:style>
  <w:style w:type="table" w:default="1" w:styleId="15">
    <w:name w:val="Normal Table"/>
    <w:semiHidden/>
    <w:qFormat/>
    <w:uiPriority w:val="0"/>
    <w:tblPr>
      <w:tblCellMar>
        <w:top w:w="0" w:type="dxa"/>
        <w:left w:w="108" w:type="dxa"/>
        <w:bottom w:w="0" w:type="dxa"/>
        <w:right w:w="108" w:type="dxa"/>
      </w:tblCellMar>
    </w:tblPr>
  </w:style>
  <w:style w:type="paragraph" w:styleId="7">
    <w:name w:val="caption"/>
    <w:basedOn w:val="1"/>
    <w:next w:val="1"/>
    <w:unhideWhenUsed/>
    <w:qFormat/>
    <w:uiPriority w:val="35"/>
    <w:rPr>
      <w:rFonts w:ascii="Cambria" w:hAnsi="Cambria" w:eastAsia="黑体" w:cs="Times New Roman"/>
      <w:sz w:val="20"/>
      <w:szCs w:val="20"/>
    </w:rPr>
  </w:style>
  <w:style w:type="paragraph" w:styleId="8">
    <w:name w:val="annotation text"/>
    <w:basedOn w:val="1"/>
    <w:link w:val="22"/>
    <w:qFormat/>
    <w:uiPriority w:val="0"/>
    <w:pPr>
      <w:jc w:val="left"/>
    </w:pPr>
  </w:style>
  <w:style w:type="paragraph" w:styleId="9">
    <w:name w:val="Plain Text"/>
    <w:basedOn w:val="1"/>
    <w:qFormat/>
    <w:uiPriority w:val="0"/>
    <w:rPr>
      <w:rFonts w:ascii="宋体" w:hAnsi="Courier New"/>
      <w:szCs w:val="20"/>
    </w:rPr>
  </w:style>
  <w:style w:type="paragraph" w:styleId="10">
    <w:name w:val="Date"/>
    <w:basedOn w:val="1"/>
    <w:next w:val="1"/>
    <w:qFormat/>
    <w:uiPriority w:val="0"/>
    <w:rPr>
      <w:rFonts w:ascii="宋体" w:hAnsi="宋体" w:eastAsia="楷体_GB2312"/>
      <w:sz w:val="24"/>
      <w:szCs w:val="20"/>
    </w:rPr>
  </w:style>
  <w:style w:type="paragraph" w:styleId="11">
    <w:name w:val="Balloon Text"/>
    <w:basedOn w:val="1"/>
    <w:link w:val="23"/>
    <w:qFormat/>
    <w:uiPriority w:val="0"/>
    <w:rPr>
      <w:sz w:val="18"/>
      <w:szCs w:val="18"/>
    </w:rPr>
  </w:style>
  <w:style w:type="paragraph" w:styleId="12">
    <w:name w:val="footer"/>
    <w:basedOn w:val="1"/>
    <w:link w:val="24"/>
    <w:qFormat/>
    <w:uiPriority w:val="0"/>
    <w:pPr>
      <w:tabs>
        <w:tab w:val="center" w:pos="4153"/>
        <w:tab w:val="right" w:pos="8306"/>
      </w:tabs>
      <w:snapToGrid w:val="0"/>
      <w:jc w:val="left"/>
    </w:pPr>
    <w:rPr>
      <w:sz w:val="18"/>
      <w:szCs w:val="18"/>
    </w:rPr>
  </w:style>
  <w:style w:type="paragraph" w:styleId="13">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4">
    <w:name w:val="annotation subject"/>
    <w:basedOn w:val="8"/>
    <w:next w:val="8"/>
    <w:link w:val="26"/>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annotation reference"/>
    <w:qFormat/>
    <w:uiPriority w:val="0"/>
    <w:rPr>
      <w:sz w:val="21"/>
      <w:szCs w:val="21"/>
    </w:rPr>
  </w:style>
  <w:style w:type="character" w:customStyle="1" w:styleId="19">
    <w:name w:val="标题 2 Char"/>
    <w:link w:val="3"/>
    <w:qFormat/>
    <w:uiPriority w:val="99"/>
    <w:rPr>
      <w:rFonts w:ascii="Cambria" w:hAnsi="Cambria" w:eastAsia="楷体" w:cs="Times New Roman"/>
      <w:b/>
      <w:bCs/>
      <w:sz w:val="32"/>
      <w:szCs w:val="32"/>
    </w:rPr>
  </w:style>
  <w:style w:type="character" w:customStyle="1" w:styleId="20">
    <w:name w:val="标题 4 字符"/>
    <w:link w:val="5"/>
    <w:qFormat/>
    <w:uiPriority w:val="0"/>
    <w:rPr>
      <w:rFonts w:ascii="等线 Light" w:hAnsi="等线 Light" w:eastAsia="等线 Light" w:cs="Times New Roman"/>
      <w:b/>
      <w:bCs/>
      <w:kern w:val="2"/>
      <w:sz w:val="28"/>
      <w:szCs w:val="28"/>
    </w:rPr>
  </w:style>
  <w:style w:type="character" w:customStyle="1" w:styleId="21">
    <w:name w:val="标题 5 字符"/>
    <w:link w:val="6"/>
    <w:qFormat/>
    <w:uiPriority w:val="0"/>
    <w:rPr>
      <w:b/>
      <w:bCs/>
      <w:kern w:val="2"/>
      <w:sz w:val="28"/>
      <w:szCs w:val="28"/>
    </w:rPr>
  </w:style>
  <w:style w:type="character" w:customStyle="1" w:styleId="22">
    <w:name w:val="批注文字 Char"/>
    <w:link w:val="8"/>
    <w:qFormat/>
    <w:uiPriority w:val="0"/>
    <w:rPr>
      <w:kern w:val="2"/>
      <w:sz w:val="21"/>
      <w:szCs w:val="24"/>
    </w:rPr>
  </w:style>
  <w:style w:type="character" w:customStyle="1" w:styleId="23">
    <w:name w:val="批注框文本 Char"/>
    <w:link w:val="11"/>
    <w:qFormat/>
    <w:uiPriority w:val="0"/>
    <w:rPr>
      <w:kern w:val="2"/>
      <w:sz w:val="18"/>
      <w:szCs w:val="18"/>
    </w:rPr>
  </w:style>
  <w:style w:type="character" w:customStyle="1" w:styleId="24">
    <w:name w:val="页脚 Char"/>
    <w:link w:val="12"/>
    <w:qFormat/>
    <w:uiPriority w:val="0"/>
    <w:rPr>
      <w:kern w:val="2"/>
      <w:sz w:val="18"/>
      <w:szCs w:val="18"/>
    </w:rPr>
  </w:style>
  <w:style w:type="character" w:customStyle="1" w:styleId="25">
    <w:name w:val="页眉 Char"/>
    <w:link w:val="13"/>
    <w:qFormat/>
    <w:uiPriority w:val="0"/>
    <w:rPr>
      <w:kern w:val="2"/>
      <w:sz w:val="18"/>
      <w:szCs w:val="18"/>
    </w:rPr>
  </w:style>
  <w:style w:type="character" w:customStyle="1" w:styleId="26">
    <w:name w:val="批注主题 Char"/>
    <w:link w:val="14"/>
    <w:qFormat/>
    <w:uiPriority w:val="0"/>
    <w:rPr>
      <w:b/>
      <w:bCs/>
      <w:kern w:val="2"/>
      <w:sz w:val="21"/>
      <w:szCs w:val="24"/>
    </w:rPr>
  </w:style>
  <w:style w:type="character" w:customStyle="1" w:styleId="27">
    <w:name w:val="ask-title"/>
    <w:basedOn w:val="17"/>
    <w:qFormat/>
    <w:uiPriority w:val="0"/>
  </w:style>
  <w:style w:type="character" w:customStyle="1" w:styleId="28">
    <w:name w:val="列出段落111 Char"/>
    <w:link w:val="29"/>
    <w:qFormat/>
    <w:uiPriority w:val="0"/>
    <w:rPr>
      <w:rFonts w:ascii="Calibri" w:hAnsi="Calibri"/>
      <w:kern w:val="2"/>
      <w:sz w:val="21"/>
      <w:szCs w:val="22"/>
    </w:rPr>
  </w:style>
  <w:style w:type="paragraph" w:customStyle="1" w:styleId="29">
    <w:name w:val="列出段落111"/>
    <w:basedOn w:val="1"/>
    <w:link w:val="28"/>
    <w:qFormat/>
    <w:uiPriority w:val="0"/>
    <w:pPr>
      <w:ind w:firstLine="420" w:firstLineChars="200"/>
    </w:pPr>
    <w:rPr>
      <w:rFonts w:ascii="Calibri" w:hAnsi="Calibri"/>
      <w:szCs w:val="22"/>
    </w:rPr>
  </w:style>
  <w:style w:type="character" w:customStyle="1" w:styleId="30">
    <w:name w:val="标题 2 Char1"/>
    <w:qFormat/>
    <w:uiPriority w:val="0"/>
    <w:rPr>
      <w:rFonts w:ascii="Arial" w:hAnsi="Arial" w:eastAsia="黑体"/>
      <w:b/>
      <w:kern w:val="2"/>
      <w:sz w:val="32"/>
      <w:lang w:val="en-US" w:eastAsia="zh-CN" w:bidi="ar-SA"/>
    </w:rPr>
  </w:style>
  <w:style w:type="paragraph" w:customStyle="1" w:styleId="31">
    <w:name w:val="Table Paragraph"/>
    <w:basedOn w:val="1"/>
    <w:qFormat/>
    <w:uiPriority w:val="1"/>
    <w:pPr>
      <w:jc w:val="center"/>
    </w:pPr>
  </w:style>
  <w:style w:type="paragraph" w:customStyle="1" w:styleId="32">
    <w:name w:val="列出段落1111"/>
    <w:basedOn w:val="1"/>
    <w:qFormat/>
    <w:uiPriority w:val="0"/>
    <w:pPr>
      <w:ind w:firstLine="420" w:firstLineChars="200"/>
    </w:pPr>
    <w:rPr>
      <w:rFonts w:ascii="Calibri" w:hAnsi="Calibri" w:eastAsia="宋体" w:cs="Times New Roman"/>
      <w:szCs w:val="22"/>
    </w:rPr>
  </w:style>
  <w:style w:type="paragraph" w:customStyle="1" w:styleId="33">
    <w:name w:val="_Style 2"/>
    <w:basedOn w:val="1"/>
    <w:qFormat/>
    <w:uiPriority w:val="0"/>
    <w:pPr>
      <w:spacing w:after="0" w:afterLines="0" w:line="240" w:lineRule="auto"/>
    </w:pPr>
  </w:style>
  <w:style w:type="paragraph" w:customStyle="1" w:styleId="34">
    <w:name w:val="_Style 3"/>
    <w:basedOn w:val="1"/>
    <w:qFormat/>
    <w:uiPriority w:val="0"/>
    <w:pPr>
      <w:adjustRightInd w:val="0"/>
      <w:spacing w:line="360" w:lineRule="atLeast"/>
      <w:ind w:firstLine="420" w:firstLineChars="200"/>
      <w:textAlignment w:val="baseline"/>
    </w:pPr>
    <w:rPr>
      <w:rFonts w:ascii="Calibri" w:hAnsi="Calibri"/>
      <w:kern w:val="0"/>
      <w:sz w:val="24"/>
      <w:szCs w:val="20"/>
    </w:rPr>
  </w:style>
  <w:style w:type="paragraph" w:customStyle="1" w:styleId="35">
    <w:name w:val="No Spacing1"/>
    <w:qFormat/>
    <w:uiPriority w:val="0"/>
    <w:rPr>
      <w:rFonts w:ascii="Calibri" w:hAnsi="Calibri" w:eastAsia="宋体" w:cs="Times New Roman"/>
      <w:sz w:val="22"/>
      <w:szCs w:val="22"/>
      <w:lang w:val="en-US" w:eastAsia="zh-CN" w:bidi="ar-SA"/>
    </w:rPr>
  </w:style>
  <w:style w:type="paragraph" w:styleId="36">
    <w:name w:val="List Paragraph"/>
    <w:basedOn w:val="1"/>
    <w:qFormat/>
    <w:uiPriority w:val="34"/>
    <w:pPr>
      <w:ind w:firstLine="420" w:firstLineChars="200"/>
    </w:pPr>
    <w:rPr>
      <w:rFonts w:ascii="Calibri" w:hAnsi="Calibri" w:eastAsia="宋体" w:cs="Times New Roman"/>
      <w:szCs w:val="22"/>
    </w:rPr>
  </w:style>
  <w:style w:type="table" w:customStyle="1" w:styleId="37">
    <w:name w:val="网格型1"/>
    <w:basedOn w:val="15"/>
    <w:qFormat/>
    <w:uiPriority w:val="39"/>
    <w:rPr>
      <w:rFonts w:ascii="等线" w:hAnsi="等线" w:eastAsia="等线"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47</Pages>
  <Words>14346</Words>
  <Characters>16586</Characters>
  <Lines>105</Lines>
  <Paragraphs>29</Paragraphs>
  <TotalTime>25</TotalTime>
  <ScaleCrop>false</ScaleCrop>
  <LinksUpToDate>false</LinksUpToDate>
  <CharactersWithSpaces>17100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2019-06-05T03:04:00Z</dcterms:created>
  <dc:creator>zhaoxinlei</dc:creator>
  <cp:lastModifiedBy>王晨怡</cp:lastModifiedBy>
  <cp:lastPrinted>2023-12-04T01:41:00Z</cp:lastPrinted>
  <dcterms:modified xsi:type="dcterms:W3CDTF">2023-12-08T08:12:54Z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9A45D99AB2944695A92A7B01ADAE07D3_13</vt:lpwstr>
  </property>
</Properties>
</file>