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pageBreakBefore/>
        <w:spacing w:line="520" w:lineRule="exact"/>
      </w:pPr>
      <w:bookmarkStart w:id="0" w:name="_GoBack"/>
      <w:bookmarkEnd w:id="0"/>
      <w:r>
        <w:rPr>
          <w:rFonts w:hint="eastAsia"/>
        </w:rPr>
        <w:t>采购需求明细</w:t>
      </w:r>
    </w:p>
    <w:p>
      <w:pPr>
        <w:pStyle w:val="3"/>
        <w:keepNext w:val="0"/>
        <w:keepLines w:val="0"/>
        <w:pageBreakBefore w:val="0"/>
        <w:widowControl w:val="0"/>
        <w:kinsoku/>
        <w:wordWrap/>
        <w:overflowPunct/>
        <w:topLinePunct w:val="0"/>
        <w:autoSpaceDE/>
        <w:autoSpaceDN/>
        <w:bidi w:val="0"/>
        <w:adjustRightInd/>
        <w:snapToGrid/>
        <w:jc w:val="both"/>
        <w:textAlignment w:val="auto"/>
        <w:rPr>
          <w:rFonts w:hint="eastAsia" w:eastAsia="宋体" w:cs="宋体"/>
          <w:sz w:val="24"/>
          <w:szCs w:val="24"/>
          <w:lang w:eastAsia="zh-CN"/>
        </w:rPr>
      </w:pPr>
    </w:p>
    <w:p>
      <w:pPr>
        <w:pStyle w:val="3"/>
        <w:keepNext w:val="0"/>
        <w:keepLines w:val="0"/>
        <w:pageBreakBefore w:val="0"/>
        <w:widowControl w:val="0"/>
        <w:kinsoku/>
        <w:wordWrap/>
        <w:overflowPunct/>
        <w:topLinePunct w:val="0"/>
        <w:autoSpaceDE/>
        <w:autoSpaceDN/>
        <w:bidi w:val="0"/>
        <w:adjustRightInd/>
        <w:snapToGrid/>
        <w:jc w:val="both"/>
        <w:textAlignment w:val="auto"/>
        <w:rPr>
          <w:rFonts w:hint="eastAsia" w:eastAsia="宋体" w:cs="宋体"/>
          <w:b w:val="0"/>
          <w:bCs w:val="0"/>
          <w:sz w:val="24"/>
          <w:szCs w:val="24"/>
          <w:lang w:eastAsia="zh-CN"/>
        </w:rPr>
      </w:pPr>
      <w:r>
        <w:rPr>
          <w:rFonts w:cs="宋体"/>
          <w:sz w:val="24"/>
          <w:szCs w:val="24"/>
        </w:rPr>
        <w:t>一、</w:t>
      </w:r>
      <w:r>
        <w:rPr>
          <w:rFonts w:hint="eastAsia" w:cs="宋体"/>
          <w:sz w:val="24"/>
          <w:szCs w:val="24"/>
        </w:rPr>
        <w:t>项目名称：</w:t>
      </w:r>
      <w:r>
        <w:rPr>
          <w:rFonts w:hint="eastAsia" w:cs="宋体"/>
          <w:b w:val="0"/>
          <w:bCs w:val="0"/>
          <w:sz w:val="24"/>
          <w:szCs w:val="24"/>
        </w:rPr>
        <w:t>甘肃省产权交易所集团</w:t>
      </w:r>
      <w:r>
        <w:rPr>
          <w:rFonts w:hint="eastAsia" w:cs="宋体"/>
          <w:b w:val="0"/>
          <w:bCs w:val="0"/>
          <w:sz w:val="24"/>
          <w:szCs w:val="24"/>
          <w:lang w:val="en-US" w:eastAsia="zh-CN"/>
        </w:rPr>
        <w:t>机房信息安全等级保护设备</w:t>
      </w:r>
      <w:r>
        <w:rPr>
          <w:rFonts w:hint="eastAsia" w:cs="宋体"/>
          <w:b w:val="0"/>
          <w:bCs w:val="0"/>
          <w:sz w:val="24"/>
          <w:szCs w:val="24"/>
        </w:rPr>
        <w:t>采购项目</w:t>
      </w:r>
    </w:p>
    <w:p>
      <w:pPr>
        <w:pStyle w:val="3"/>
        <w:keepNext w:val="0"/>
        <w:keepLines w:val="0"/>
        <w:pageBreakBefore w:val="0"/>
        <w:widowControl w:val="0"/>
        <w:kinsoku/>
        <w:wordWrap/>
        <w:overflowPunct/>
        <w:topLinePunct w:val="0"/>
        <w:autoSpaceDE/>
        <w:autoSpaceDN/>
        <w:bidi w:val="0"/>
        <w:adjustRightInd/>
        <w:snapToGrid/>
        <w:jc w:val="both"/>
        <w:textAlignment w:val="auto"/>
        <w:rPr>
          <w:rFonts w:hint="eastAsia" w:eastAsia="宋体" w:cs="宋体"/>
          <w:sz w:val="24"/>
          <w:szCs w:val="24"/>
          <w:lang w:eastAsia="zh-CN"/>
        </w:rPr>
      </w:pPr>
      <w:r>
        <w:rPr>
          <w:rFonts w:cs="宋体"/>
          <w:sz w:val="24"/>
          <w:szCs w:val="24"/>
        </w:rPr>
        <w:t>二、</w:t>
      </w:r>
      <w:r>
        <w:rPr>
          <w:rFonts w:hint="eastAsia" w:cs="宋体"/>
          <w:sz w:val="24"/>
          <w:szCs w:val="24"/>
        </w:rPr>
        <w:t>供应商资格</w:t>
      </w:r>
      <w:r>
        <w:rPr>
          <w:rFonts w:cs="宋体"/>
          <w:sz w:val="24"/>
          <w:szCs w:val="24"/>
        </w:rPr>
        <w:t>条件</w:t>
      </w:r>
    </w:p>
    <w:p>
      <w:pPr>
        <w:pStyle w:val="3"/>
        <w:keepNext w:val="0"/>
        <w:keepLines w:val="0"/>
        <w:pageBreakBefore w:val="0"/>
        <w:widowControl w:val="0"/>
        <w:kinsoku/>
        <w:wordWrap/>
        <w:overflowPunct/>
        <w:topLinePunct w:val="0"/>
        <w:autoSpaceDE/>
        <w:autoSpaceDN/>
        <w:bidi w:val="0"/>
        <w:adjustRightInd/>
        <w:snapToGrid/>
        <w:jc w:val="both"/>
        <w:textAlignment w:val="auto"/>
        <w:rPr>
          <w:rFonts w:cs="宋体"/>
          <w:b w:val="0"/>
          <w:bCs w:val="0"/>
          <w:sz w:val="24"/>
          <w:szCs w:val="24"/>
        </w:rPr>
      </w:pPr>
      <w:r>
        <w:rPr>
          <w:rFonts w:hint="eastAsia" w:cs="宋体"/>
          <w:b w:val="0"/>
          <w:bCs w:val="0"/>
          <w:sz w:val="24"/>
          <w:szCs w:val="24"/>
        </w:rPr>
        <w:t>1.供应商须在中华人民共和国境内依法注册,具有独立承担民事责任的能力；</w:t>
      </w:r>
    </w:p>
    <w:p>
      <w:pPr>
        <w:pStyle w:val="3"/>
        <w:keepNext w:val="0"/>
        <w:keepLines w:val="0"/>
        <w:pageBreakBefore w:val="0"/>
        <w:widowControl w:val="0"/>
        <w:kinsoku/>
        <w:wordWrap/>
        <w:overflowPunct/>
        <w:topLinePunct w:val="0"/>
        <w:autoSpaceDE/>
        <w:autoSpaceDN/>
        <w:bidi w:val="0"/>
        <w:adjustRightInd/>
        <w:snapToGrid/>
        <w:jc w:val="both"/>
        <w:textAlignment w:val="auto"/>
        <w:rPr>
          <w:rFonts w:cs="宋体"/>
          <w:b w:val="0"/>
          <w:bCs w:val="0"/>
          <w:sz w:val="24"/>
          <w:szCs w:val="24"/>
        </w:rPr>
      </w:pPr>
      <w:r>
        <w:rPr>
          <w:rFonts w:hint="eastAsia" w:cs="宋体"/>
          <w:b w:val="0"/>
          <w:bCs w:val="0"/>
          <w:sz w:val="24"/>
          <w:szCs w:val="24"/>
        </w:rPr>
        <w:t>2.供应商须具有信息系统安全集成服务资质</w:t>
      </w:r>
      <w:r>
        <w:rPr>
          <w:rFonts w:hint="eastAsia" w:cs="宋体"/>
          <w:b w:val="0"/>
          <w:bCs w:val="0"/>
          <w:sz w:val="24"/>
          <w:szCs w:val="24"/>
          <w:lang w:eastAsia="zh-CN"/>
        </w:rPr>
        <w:t>、信息系统安全运维服务资质、信息安全风险评估服务资质</w:t>
      </w:r>
      <w:r>
        <w:rPr>
          <w:rFonts w:hint="eastAsia" w:cs="宋体"/>
          <w:b w:val="0"/>
          <w:bCs w:val="0"/>
          <w:sz w:val="24"/>
          <w:szCs w:val="24"/>
        </w:rPr>
        <w:t>；</w:t>
      </w:r>
    </w:p>
    <w:p>
      <w:pPr>
        <w:pStyle w:val="3"/>
        <w:keepNext w:val="0"/>
        <w:keepLines w:val="0"/>
        <w:pageBreakBefore w:val="0"/>
        <w:widowControl w:val="0"/>
        <w:kinsoku/>
        <w:wordWrap/>
        <w:overflowPunct/>
        <w:topLinePunct w:val="0"/>
        <w:autoSpaceDE/>
        <w:autoSpaceDN/>
        <w:bidi w:val="0"/>
        <w:adjustRightInd/>
        <w:snapToGrid/>
        <w:jc w:val="both"/>
        <w:textAlignment w:val="auto"/>
        <w:rPr>
          <w:rFonts w:cs="宋体"/>
          <w:sz w:val="24"/>
          <w:szCs w:val="24"/>
        </w:rPr>
      </w:pPr>
      <w:r>
        <w:rPr>
          <w:rFonts w:hint="eastAsia" w:cs="宋体"/>
          <w:b w:val="0"/>
          <w:bCs w:val="0"/>
          <w:sz w:val="24"/>
          <w:szCs w:val="24"/>
        </w:rPr>
        <w:t>3.供应商未被列入“信用中国”网站(www.creditchina.gov.cn)记录失信被执行人或重大税收违法案件当事人名单或政府采购严重违法失信行为记录名单。</w:t>
      </w:r>
    </w:p>
    <w:p>
      <w:pPr>
        <w:pStyle w:val="3"/>
        <w:numPr>
          <w:ilvl w:val="0"/>
          <w:numId w:val="1"/>
        </w:numPr>
        <w:jc w:val="both"/>
        <w:rPr>
          <w:rFonts w:cs="宋体"/>
          <w:b/>
          <w:bCs/>
          <w:sz w:val="24"/>
          <w:szCs w:val="24"/>
        </w:rPr>
      </w:pPr>
      <w:r>
        <w:rPr>
          <w:rFonts w:hint="eastAsia" w:cs="宋体"/>
          <w:b/>
          <w:bCs/>
          <w:sz w:val="24"/>
          <w:szCs w:val="24"/>
          <w:lang w:val="en-US" w:eastAsia="zh-CN"/>
        </w:rPr>
        <w:t>技术参数</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机房信息安全等级保护设备包含采购日志审计设备1台、终端准入设备1台、上网行为管理设备1台、交换机6台，具体技术参数要求、数量、品牌如下。</w:t>
      </w:r>
    </w:p>
    <w:p>
      <w:pPr>
        <w:pStyle w:val="2"/>
        <w:rPr>
          <w:rFonts w:hint="eastAsia"/>
          <w:lang w:eastAsia="zh-CN"/>
        </w:rPr>
      </w:pPr>
    </w:p>
    <w:p>
      <w:pPr>
        <w:pStyle w:val="2"/>
        <w:rPr>
          <w:rFonts w:cs="宋体"/>
          <w:sz w:val="24"/>
          <w:szCs w:val="24"/>
        </w:rPr>
      </w:pPr>
    </w:p>
    <w:p>
      <w:pPr>
        <w:rPr>
          <w:rFonts w:cs="宋体"/>
          <w:sz w:val="24"/>
          <w:szCs w:val="24"/>
        </w:rPr>
      </w:pPr>
    </w:p>
    <w:p>
      <w:pPr>
        <w:pStyle w:val="2"/>
        <w:rPr>
          <w:rFonts w:cs="宋体"/>
          <w:sz w:val="24"/>
          <w:szCs w:val="24"/>
        </w:rPr>
      </w:pPr>
    </w:p>
    <w:p>
      <w:pPr>
        <w:rPr>
          <w:rFonts w:cs="宋体"/>
          <w:sz w:val="24"/>
          <w:szCs w:val="24"/>
        </w:rPr>
      </w:pPr>
    </w:p>
    <w:p>
      <w:pPr>
        <w:pStyle w:val="2"/>
        <w:rPr>
          <w:rFonts w:cs="宋体"/>
          <w:sz w:val="24"/>
          <w:szCs w:val="24"/>
        </w:rPr>
      </w:pPr>
    </w:p>
    <w:p>
      <w:pPr>
        <w:rPr>
          <w:rFonts w:cs="宋体"/>
          <w:sz w:val="24"/>
          <w:szCs w:val="24"/>
        </w:rPr>
      </w:pPr>
    </w:p>
    <w:p>
      <w:pPr>
        <w:pStyle w:val="2"/>
        <w:rPr>
          <w:rFonts w:cs="宋体"/>
          <w:sz w:val="24"/>
          <w:szCs w:val="24"/>
        </w:rPr>
      </w:pPr>
    </w:p>
    <w:p>
      <w:pPr>
        <w:rPr>
          <w:rFonts w:cs="宋体"/>
          <w:sz w:val="24"/>
          <w:szCs w:val="24"/>
        </w:rPr>
      </w:pPr>
    </w:p>
    <w:p>
      <w:pPr>
        <w:pStyle w:val="2"/>
        <w:rPr>
          <w:rFonts w:cs="宋体"/>
          <w:sz w:val="24"/>
          <w:szCs w:val="24"/>
        </w:rPr>
      </w:pPr>
    </w:p>
    <w:p>
      <w:pPr>
        <w:rPr>
          <w:rFonts w:cs="宋体"/>
          <w:sz w:val="24"/>
          <w:szCs w:val="24"/>
        </w:rPr>
      </w:pPr>
    </w:p>
    <w:p>
      <w:pPr>
        <w:pStyle w:val="2"/>
        <w:rPr>
          <w:rFonts w:cs="宋体"/>
          <w:sz w:val="24"/>
          <w:szCs w:val="24"/>
        </w:rPr>
        <w:sectPr>
          <w:pgSz w:w="11906" w:h="16838"/>
          <w:pgMar w:top="1440" w:right="1800" w:bottom="1440" w:left="1843" w:header="851" w:footer="992" w:gutter="0"/>
          <w:cols w:space="425" w:num="1"/>
          <w:docGrid w:type="lines" w:linePitch="312" w:charSpace="0"/>
        </w:sectPr>
      </w:pPr>
    </w:p>
    <w:tbl>
      <w:tblPr>
        <w:tblStyle w:val="6"/>
        <w:tblW w:w="1220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85"/>
        <w:gridCol w:w="1425"/>
        <w:gridCol w:w="7348"/>
        <w:gridCol w:w="758"/>
        <w:gridCol w:w="845"/>
        <w:gridCol w:w="9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序号</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名称</w:t>
            </w:r>
          </w:p>
        </w:tc>
        <w:tc>
          <w:tcPr>
            <w:tcW w:w="7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技术参数</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数量</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单位</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0"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入侵检测系统</w:t>
            </w:r>
          </w:p>
        </w:tc>
        <w:tc>
          <w:tcPr>
            <w:tcW w:w="73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1、标准机架式设备，≥1个RJ45 Console口，≥6个千兆电口，2个USB口，≥2个千兆光接口插槽，≥2个万兆光口插槽，支持≥2个扩展插槽，电源≥2个，包含≥2T硬盘。检测能力≥1Gbps。</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2、产品服务：三年特征库升级，三年威胁情报库升级，三年硬件维保。</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3、支持独立大屏展示功能，支持导入HTTPS证书，对加密流量进行解密及还原：支持HTTPS证书种类包括SSL3.0，TLS1.0/1.1/1.2；（提供功能截图并加盖生产厂商公章）</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4、支持口令暴力猜解，能识别出尝试登录次数、账户信息、爆破成功与否的攻击状态。（提供功能截图并加盖生产厂商公章）</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5、支持SMB漏洞、RDP漏洞、软件漏洞、设备漏洞、系统漏洞、拒绝服务漏洞、shellcode等漏洞利用检测</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6、支持挖矿活动、勒索软件、僵木蠕等恶意程序检测；具备专有的挖矿分析场景:基于特征库和威胁情报检测挖矿主机，对挖矿主机进行不同阶段的展示，至少包括连接矿池阶段、获取挖矿任务阶段、控制命令通信阶段、挖矿成功阶段，形成挖矿链可视跟踪。对网络中的挖矿主机活跃程度，挖矿币种有直观的图形化展示。（提供功能截图并加盖生产厂商公章）</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7、支持威胁告警前后≥30个数据包文件存储和下载。（提供功能截图并加盖生产厂商公章）</w:t>
            </w:r>
          </w:p>
          <w:p>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8、支持自定义规则，可结合用户业务进行深度检测，自定义内容包括源IP、源端口、目的IP、目的端口、协议、事件威胁等级等内容（提供功能截图并加盖生产厂商公章）</w:t>
            </w: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选用安恒、深信服、网御星云、奇安信等同等质量的品牌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0"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日志审计</w:t>
            </w:r>
          </w:p>
        </w:tc>
        <w:tc>
          <w:tcPr>
            <w:tcW w:w="73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1、标准机架式，≥6个千兆电口，≥2个千兆光口，≥1个接口扩展槽，系统硬盘≥32G，数据硬盘≥2TB。平均处理能力≥2500EPS，≥30个审计对象，三年硬件维保。</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2、支持对主流安全设备、网络设备、服务器、终端、数据库、中间件、大数据组件、应用系统等设备系统进行日志采集，包括交换机和路由器、虚拟化及云计算平台、蜜罐系统、终端管理系统、防火墙、VPN、防病毒网关、入侵检测系统、入侵防御系统、WAF、内容过滤网关、负载均衡设备、数据库设备、Windows/Linux操作系统、隔离交换设备等设备组件系统。</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3、支持SNMP Trap、Syslog、ODBC\JDBC、文件\文件夹、WMI、FTP、SFTP、SMB、NetBIOS、OPSEC，HTTP／HTTPS协议接口进行采集任务配置实现日志数据采集；（提供功能截图并加盖生产厂商公章）</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4、支持与Kafka、Hadoop、ES、MangoDB、SAP HANA五类大数据存储组件对接进行日志数据传输采集。（提供功能截图并加盖生产厂商公章）</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5、支持对于达梦、人大金仓、南大通用、神州通用等国产数据库的日志采集与识别。（提供功能截图并加盖生产厂商公章）</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6、日志采集时支持对日志编码方式进行自定义选择，包括UTF-8、UTF-16、GBK／GB2312、IOS-8859-1等。（提供功能截图并加盖生产厂商公章）</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7、支持对日志设备类型、日志类型、日志级别等字段可进行重定义。</w:t>
            </w:r>
          </w:p>
          <w:p>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8、支持全智能范式化解析模式。（提供功能截图并加盖生产厂商公章）</w:t>
            </w: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选用安恒、深信服、网御星云、奇安信等同等质量的品牌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10"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终端准入设备</w:t>
            </w:r>
          </w:p>
        </w:tc>
        <w:tc>
          <w:tcPr>
            <w:tcW w:w="73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1、1U高度硬件化产品；</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2、6个GE电口，1个RJ-45配置口，USB口≥2个；</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3、★硬盘≥1T，DDR2内存≥2G，支持Linux操作平台，支持PostgreSQL数据库，提供证明文件并加盖原厂鲜章；</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4、为满足多种应用场景，准入方式应支持有线的用户名密码认证（EAP-MD5）、无线的用户名密码认证 （PEAP-MSCHAPV2） 和USB-KEY CA证书认证（EAP-TLS）；</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5、★访客二维码名片/公共二维码注册。提供技术白皮书并加盖原厂鲜章；</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6、认证页面合并：普通用户、短信、二维码、微信web认证合并；</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7、支持使用用户名密码+手机号及短信获取的6位数随机校验码作为认证要素进行双因子认证；</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8、支持与第三方Radius联动，将认证信息转发给第三方Radius服务器进行认证，即实现统一身份源；</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9、★昵称认证：采用昵称代替用户名认证；</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10、★首次登陆账号激活，并强制修改密码。首次进行认证时，强制要求用户设置密保：手机号、邮箱账号、私密问答作为密保凭据任选其一。提供功能界面截图并加盖原厂鲜章；</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11、密保找回密码：</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·通过自助服务平台修改密保信息时，需要提供原正确的密保信息，才能修改成功。</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手机号作为密保凭据时，需要向原手机号发送短信校验码才能变更手机号。邮箱账号作为密保凭据时，需要向原邮箱账号发送校验码才能变更邮箱账号。私密问答作为密保凭据时，需要提供正确的答案才能变更密保答案。提供功能截图并加盖原厂鲜章；</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12、★支持禁止已认证用户给未认证用户提供代理服务；禁止已认证用户启用拨号服务，进行非法外连；支持设置用户密码输错的次数上限，防暴力破解；</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13、支持直接获取用户网卡的物理MAC地址，防止篡改MAC地址。提供功能截图并加盖原厂鲜章；</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14、★支持根据业务规划，设置网络隔离安全域，并将安全域规划下发到交换机、客户端、防火墙、防火墙卡、路由器上执行。需提供技术白皮书并加盖原厂鲜章；</w:t>
            </w:r>
          </w:p>
          <w:p>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15、本次单台配置：≥500并发在线数的授权许可。</w:t>
            </w: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选用锐捷设备（保证原本设备的统一）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40"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上网行为管理设备</w:t>
            </w:r>
          </w:p>
        </w:tc>
        <w:tc>
          <w:tcPr>
            <w:tcW w:w="73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1、性能：网络层吞吐量≥3.6Gb;带宽性能≥300Mb;包转发率≥45Kpps;每秒新建连接数≥4000;最大并发连接数≥150000;</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2、硬件：内存≥4G，硬盘≥128G SSD+960G SSD，规格:1U;接口：千兆电口≥6个,千兆光口≥2个;含：行为管理控制平台*1套;URL规则库升级*3年；硬件保修*3年；系统升级*3年;</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3、设备支持对员工的web访问质量进行检测，对整体网络提供清晰的整体网络质量评级；</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4、可自动识别入网终端产品，并获取IP、Mac、厂商、操作系统等信息，产品需要覆盖PC（Windows、Linux、MAC、瘦客户机等）、移动设备（手机、平板电脑）、哑终端（打印机、投影仪、电视、摄像头、门禁系统等）、专用设备（服务器、交换机、无线控制器等网络设备）的发现和型号识别。（提供产品界面截图并加盖厂商公章）</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5、提供内部流量的优先级管控策略，优先保障办公业务的流量通道。</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6、提供细颗粒度的邮件管理能力，例如支持允许用户登录Webmail收邮件，而禁止发送Webmail邮件的功能；（提供产品界面截图并加盖厂商公章）</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7、★支持SSL加密网页的内容检查，可对SSL加密网页进行解密并识别、过滤其内容，针对加密后的钓鱼网站、非法网站，可对用户进行重定向告警（提供自主知识产权证明并加盖厂商公章）</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8、设备内置应用识别规则库，支持超过9000条应用规则数、支持超过6000种以上的应用；支持根据标签选择应用，并支持给每个应用自定义标签；支持根据标签选择一类应用做控制；</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9、提供社交网络的细颗粒度管控能力，例如社交应用白名单功能，仅允许使用列表中的社交账号，支持PC端和移动端；（提供产品界面截图并加盖厂商公章）</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 xml:space="preserve">10、所投产品可基于“流量”、“流速”、“时长”等指标设置配额，当配额耗尽后，将用户加入到指定的流控黑名单惩罚通道中；用户指定应用上网流速超过预设阈值后，网关自动提醒该用户；（提供产品界面截图并加盖厂商公章） </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11、★所投设备厂商应当为国家标准《信息安全技术信息系统安全审计产品 技术要求和测试评价方法》的主要起草单位，提供证明材料并加盖厂商公章。</w:t>
            </w:r>
          </w:p>
          <w:p>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12、★要求所投产品的生产厂商为国家信息安全漏洞共享平台(CNVD)用户组成员（提供查询链接并提供查询界面截图，加盖厂商公章）。</w:t>
            </w: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选用安恒、深信服、网御星云、奇安信等同等质量的品牌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0"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核心交换机</w:t>
            </w:r>
          </w:p>
        </w:tc>
        <w:tc>
          <w:tcPr>
            <w:tcW w:w="73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1、★交换容量≥598G，包转发率≥220Mpps，</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2、★固化10/100/1000M以太网端口≥28个，复用100/1000M SFP光口≥4个，固化10G/1G SFP+光接口≥4个；</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3、要求所投设备MAC地址≥32K；</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4、支持IGMP v1/v2/v3，IGMP v1/v2/v3 Snooping，支持PIM-DM，PIM-SM，PIM-SSM，PIM for IPv6；</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5、★支持可拔插双模块化电源，支持电源1+1冗余；</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6、★支持N:1虚拟化功能，可将多台物理设备虚拟化为一台逻辑设备统一管理，简化管理；提供证明文件并加盖原厂鲜章；</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8、支持特有的CPU保护策略，对发往CPU的数据流，进行流区分和优先级队列分级处理，并根据需要实施带宽限速，充分保护CPU7被非法流量占用、恶意攻击和资源消耗。</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8、★支持基础网络保护策略，限制用户向网络中发送ARP报文、ICMP请求报文、DHCP请求报文的数率，对超过限速阈值的报文进行丢弃处理，能够识别攻击行为，对有攻击行为的用户进行隔离。</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9、支持快速链路检测协议，可快速检测链路的通断和光纤链路的单向性，并支持端口下的环路检测功能，防止端口下因私接Hub等设备形成的环路而导致网络故障的现象。</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10、提供工信部设备进网许可证复印件并加盖原厂鲜章；</w:t>
            </w:r>
          </w:p>
          <w:p>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11、本次配置：≥2块70W交流电源模块。</w:t>
            </w: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选用锐捷设备（保证原本设备的统一）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0"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8口POE交换机</w:t>
            </w:r>
          </w:p>
        </w:tc>
        <w:tc>
          <w:tcPr>
            <w:tcW w:w="73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1、★交换容量≥335Gbps，包转发率≥30Mpps；</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2、固化10/100/1000M以太网电口≥10，1000M/2.5G SFP千兆光接口≥2个</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3、支持POE和POE+同时可POE供电端口≥8个，POE最大输出功率≥125W，PoE满载下整机最大功耗141W；</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4、绿色节能：要求支持高效节能以太网特性。端口如果在连续一段时间之内空闲，系统会将该端口设置为节能模式，当有报文收发时再通过定时发送的监听码流唤醒端口恢复业务，达到节能的效果；</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5、所投产品端口浪涌抗扰度≥10KV（即具备10KV的防雷能力）；</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6、★支持基础网络保护策略，能够限制用户向网络中发送ARP报文、ICMP请求报文、DHCP请求报文等数据包的数率，对超过限速阈值的报文进行丢弃处理，甚至能够识别攻击行为，对有攻击行为的用户进行隔离。</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7、★符合国家低碳环保等政策要求，支持IEEE 802.3az标准的EEE节能技术</w:t>
            </w:r>
          </w:p>
          <w:p>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8、提供工信部设备进网许可证复印件并加盖原厂鲜章。</w:t>
            </w: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选用锐捷设备（保证原本设备的统一）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0"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7</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二层交换机</w:t>
            </w:r>
          </w:p>
        </w:tc>
        <w:tc>
          <w:tcPr>
            <w:tcW w:w="73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1、交换容量≥330G，包转发率≥50Mpps；</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2、固化10/100/1000M以太网端口≥24个，固化1G SFP光接口≥4个。</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3、★为保证设备在受到外界机械碰撞时能够正常运行，要求所投交换机IK防护测试级别至少达到IK05，提供第三方测试报告复印件并加盖原厂鲜章；</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4、支持生成树协议STP(IEEE 802.1d)，RSTP(IEEE 802.1w)和MSTP(IEEE 802.1s)，完全保证快速收敛，提高容错能力，保证网络的稳定运行和链路的负载均衡，合理使用网络通道，提供冗余链路利用率；</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5、支持IPV4/IPV6静态路由，RIP、RIPng。</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6、★配合云管平台支持基于网关的网络拓扑自动发现，并以图形化形式呈现；支持基于云的工具箱功能（配置下发、配置备份、配置恢复、命令调试、访问eWeb、访问Telnet、访问SSH、重启、设备升级）；</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7、支持特有的CPU保护策略，对发往CPU的数据流，进行流区分和优先级队列分级处理，并根据需要实施带宽限速，充分保护CPU不被非法流量占用、恶意攻击和资源消耗；</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8、★支持快速链路检测协议，可快速检测链路的通断和光纤链路的单向性，并支持端口下的环路检测功能，防止端口下因私接Hub等设备形成的环路而导致网络故障的现象；</w:t>
            </w:r>
          </w:p>
          <w:p>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9、提供工信部设备进网许可证复印件并加盖原厂鲜章。</w:t>
            </w:r>
          </w:p>
        </w:tc>
        <w:tc>
          <w:tcPr>
            <w:tcW w:w="75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c>
          <w:tcPr>
            <w:tcW w:w="9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选用锐捷设备（保证原本设备的统一）</w:t>
            </w:r>
          </w:p>
        </w:tc>
      </w:tr>
    </w:tbl>
    <w:p/>
    <w:sectPr>
      <w:pgSz w:w="16838" w:h="11906" w:orient="landscape"/>
      <w:pgMar w:top="1843"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CFD16A"/>
    <w:multiLevelType w:val="singleLevel"/>
    <w:tmpl w:val="3FCFD16A"/>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bestFit" w:percent="192"/>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5MTQ2ZGJmYTRmMjRhNTVkY2EwZDFiYTcxMmQ4ZWEifQ=="/>
  </w:docVars>
  <w:rsids>
    <w:rsidRoot w:val="003B1612"/>
    <w:rsid w:val="000417A5"/>
    <w:rsid w:val="0009128E"/>
    <w:rsid w:val="000B1D2F"/>
    <w:rsid w:val="000B2AE1"/>
    <w:rsid w:val="00116186"/>
    <w:rsid w:val="00181314"/>
    <w:rsid w:val="001B31D5"/>
    <w:rsid w:val="001F0F16"/>
    <w:rsid w:val="001F1CD3"/>
    <w:rsid w:val="00261AB7"/>
    <w:rsid w:val="002A3CCE"/>
    <w:rsid w:val="002B3400"/>
    <w:rsid w:val="003367F1"/>
    <w:rsid w:val="00380186"/>
    <w:rsid w:val="003B1612"/>
    <w:rsid w:val="003C17F1"/>
    <w:rsid w:val="003C7B94"/>
    <w:rsid w:val="00430F08"/>
    <w:rsid w:val="004F025B"/>
    <w:rsid w:val="00556B67"/>
    <w:rsid w:val="005B7664"/>
    <w:rsid w:val="0064290E"/>
    <w:rsid w:val="00682531"/>
    <w:rsid w:val="0073187B"/>
    <w:rsid w:val="0073278E"/>
    <w:rsid w:val="007438BE"/>
    <w:rsid w:val="007B2680"/>
    <w:rsid w:val="007B7EF0"/>
    <w:rsid w:val="0081572B"/>
    <w:rsid w:val="00880844"/>
    <w:rsid w:val="008D713A"/>
    <w:rsid w:val="00904752"/>
    <w:rsid w:val="009141C9"/>
    <w:rsid w:val="009265AC"/>
    <w:rsid w:val="0093560D"/>
    <w:rsid w:val="0096238C"/>
    <w:rsid w:val="0098234B"/>
    <w:rsid w:val="00A37374"/>
    <w:rsid w:val="00B200D7"/>
    <w:rsid w:val="00B2671E"/>
    <w:rsid w:val="00C3120E"/>
    <w:rsid w:val="00C56DA4"/>
    <w:rsid w:val="00C926BD"/>
    <w:rsid w:val="00C97306"/>
    <w:rsid w:val="00D507EC"/>
    <w:rsid w:val="00D71CA6"/>
    <w:rsid w:val="00DD10B3"/>
    <w:rsid w:val="00DE0AF6"/>
    <w:rsid w:val="00E11D71"/>
    <w:rsid w:val="00EA3D2F"/>
    <w:rsid w:val="00EB54F6"/>
    <w:rsid w:val="00F04839"/>
    <w:rsid w:val="00F4000C"/>
    <w:rsid w:val="00F80BCF"/>
    <w:rsid w:val="00FA4084"/>
    <w:rsid w:val="1DF32F91"/>
    <w:rsid w:val="2785450D"/>
    <w:rsid w:val="2A8A3F6B"/>
    <w:rsid w:val="2AA13829"/>
    <w:rsid w:val="313034EA"/>
    <w:rsid w:val="38066D52"/>
    <w:rsid w:val="49DF35C7"/>
    <w:rsid w:val="4C4B0CD5"/>
    <w:rsid w:val="58664748"/>
    <w:rsid w:val="59807064"/>
    <w:rsid w:val="5B7F7A17"/>
    <w:rsid w:val="5EB11C32"/>
    <w:rsid w:val="701A2E3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4"/>
      <w:lang w:val="en-US" w:eastAsia="zh-CN" w:bidi="ar-SA"/>
    </w:rPr>
  </w:style>
  <w:style w:type="paragraph" w:styleId="3">
    <w:name w:val="heading 1"/>
    <w:basedOn w:val="1"/>
    <w:next w:val="1"/>
    <w:link w:val="11"/>
    <w:qFormat/>
    <w:uiPriority w:val="9"/>
    <w:pPr>
      <w:spacing w:line="360" w:lineRule="auto"/>
      <w:jc w:val="center"/>
      <w:outlineLvl w:val="0"/>
    </w:pPr>
    <w:rPr>
      <w:rFonts w:ascii="宋体" w:hAnsi="宋体" w:cs="Times New Roman"/>
      <w:b/>
      <w:bCs/>
      <w:kern w:val="44"/>
      <w:sz w:val="32"/>
      <w:szCs w:val="32"/>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样式1"/>
    <w:next w:val="1"/>
    <w:qFormat/>
    <w:uiPriority w:val="0"/>
    <w:pPr>
      <w:spacing w:before="240" w:after="60"/>
      <w:jc w:val="center"/>
      <w:textAlignment w:val="baseline"/>
    </w:pPr>
    <w:rPr>
      <w:rFonts w:ascii="Calibri" w:hAnsi="Calibri" w:eastAsia="仿宋_GB2312" w:cs="Times New Roman"/>
      <w:b/>
      <w:bCs/>
      <w:kern w:val="2"/>
      <w:sz w:val="32"/>
      <w:szCs w:val="32"/>
      <w:lang w:val="en-US" w:eastAsia="zh-CN" w:bidi="ar-SA"/>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qFormat/>
    <w:uiPriority w:val="99"/>
    <w:rPr>
      <w:rFonts w:ascii="Calibri" w:hAnsi="Calibri" w:cs="宋体"/>
      <w:kern w:val="2"/>
      <w:sz w:val="18"/>
      <w:szCs w:val="18"/>
    </w:rPr>
  </w:style>
  <w:style w:type="character" w:customStyle="1" w:styleId="9">
    <w:name w:val="页脚 字符"/>
    <w:basedOn w:val="7"/>
    <w:link w:val="4"/>
    <w:qFormat/>
    <w:uiPriority w:val="99"/>
    <w:rPr>
      <w:rFonts w:ascii="Calibri" w:hAnsi="Calibri" w:cs="宋体"/>
      <w:kern w:val="2"/>
      <w:sz w:val="18"/>
      <w:szCs w:val="18"/>
    </w:rPr>
  </w:style>
  <w:style w:type="character" w:customStyle="1" w:styleId="10">
    <w:name w:val="标题 1 字符"/>
    <w:basedOn w:val="7"/>
    <w:qFormat/>
    <w:uiPriority w:val="9"/>
    <w:rPr>
      <w:rFonts w:ascii="Calibri" w:hAnsi="Calibri" w:cs="宋体"/>
      <w:b/>
      <w:bCs/>
      <w:kern w:val="44"/>
      <w:sz w:val="44"/>
      <w:szCs w:val="44"/>
    </w:rPr>
  </w:style>
  <w:style w:type="character" w:customStyle="1" w:styleId="11">
    <w:name w:val="标题 1 字符1"/>
    <w:link w:val="3"/>
    <w:qFormat/>
    <w:uiPriority w:val="9"/>
    <w:rPr>
      <w:rFonts w:ascii="宋体" w:hAnsi="宋体"/>
      <w:b/>
      <w:bCs/>
      <w:kern w:val="44"/>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4374</Words>
  <Characters>5050</Characters>
  <Lines>2</Lines>
  <Paragraphs>1</Paragraphs>
  <TotalTime>4</TotalTime>
  <ScaleCrop>false</ScaleCrop>
  <LinksUpToDate>false</LinksUpToDate>
  <CharactersWithSpaces>5073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2022-04-12T03:22:00Z</dcterms:created>
  <dc:creator>Administrator</dc:creator>
  <cp:lastModifiedBy>舒朝东</cp:lastModifiedBy>
  <cp:lastPrinted>2023-06-08T01:44:00Z</cp:lastPrinted>
  <dcterms:modified xsi:type="dcterms:W3CDTF">2023-12-13T01:57:20Z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3E065B9C63704755945BDACC70FDCEE7_13</vt:lpwstr>
  </property>
</Properties>
</file>