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EBB" w:rsidRPr="0069014F" w:rsidRDefault="00D679E8">
      <w:pPr>
        <w:spacing w:line="700" w:lineRule="exact"/>
        <w:jc w:val="center"/>
        <w:rPr>
          <w:rFonts w:ascii="方正小标宋简体" w:eastAsia="方正小标宋简体" w:hAnsi="方正小标宋简体" w:cs="方正小标宋简体"/>
          <w:color w:val="000000" w:themeColor="text1"/>
          <w:sz w:val="44"/>
          <w:szCs w:val="44"/>
        </w:rPr>
      </w:pPr>
      <w:bookmarkStart w:id="0" w:name="_Toc32412_WPSOffice_Level1"/>
      <w:r w:rsidRPr="0069014F">
        <w:rPr>
          <w:rFonts w:ascii="方正小标宋简体" w:eastAsia="方正小标宋简体" w:hAnsi="方正小标宋简体" w:cs="方正小标宋简体" w:hint="eastAsia"/>
          <w:color w:val="000000" w:themeColor="text1"/>
          <w:sz w:val="44"/>
          <w:szCs w:val="44"/>
        </w:rPr>
        <w:t>中吴宾馆维护用灯具技术文件</w:t>
      </w:r>
    </w:p>
    <w:p w:rsidR="00613EBB" w:rsidRPr="0069014F" w:rsidRDefault="00D679E8">
      <w:pPr>
        <w:spacing w:line="700" w:lineRule="exact"/>
        <w:jc w:val="center"/>
        <w:rPr>
          <w:rFonts w:ascii="方正小标宋简体" w:eastAsia="方正小标宋简体" w:hAnsi="方正小标宋简体" w:cs="方正小标宋简体"/>
          <w:color w:val="000000" w:themeColor="text1"/>
          <w:sz w:val="32"/>
          <w:szCs w:val="32"/>
        </w:rPr>
      </w:pPr>
      <w:r w:rsidRPr="0069014F">
        <w:rPr>
          <w:rFonts w:ascii="方正小标宋简体" w:eastAsia="方正小标宋简体" w:hAnsi="方正小标宋简体" w:cs="方正小标宋简体" w:hint="eastAsia"/>
          <w:color w:val="000000" w:themeColor="text1"/>
          <w:sz w:val="32"/>
          <w:szCs w:val="32"/>
        </w:rPr>
        <w:t>(2024年1月8日)</w:t>
      </w:r>
    </w:p>
    <w:p w:rsidR="00613EBB" w:rsidRPr="0069014F" w:rsidRDefault="00613EBB">
      <w:pPr>
        <w:spacing w:line="700" w:lineRule="exact"/>
        <w:rPr>
          <w:rFonts w:ascii="仿宋_GB2312" w:eastAsia="仿宋_GB2312" w:hAnsi="仿宋_GB2312" w:cs="仿宋_GB2312"/>
          <w:color w:val="000000" w:themeColor="text1"/>
          <w:sz w:val="32"/>
          <w:szCs w:val="32"/>
        </w:rPr>
      </w:pPr>
    </w:p>
    <w:bookmarkEnd w:id="0"/>
    <w:p w:rsidR="00613EBB" w:rsidRPr="0069014F" w:rsidRDefault="00D679E8">
      <w:pPr>
        <w:pStyle w:val="1"/>
        <w:numPr>
          <w:ilvl w:val="0"/>
          <w:numId w:val="1"/>
        </w:numPr>
        <w:spacing w:before="156" w:after="468" w:line="560" w:lineRule="exact"/>
        <w:ind w:firstLineChars="200" w:firstLine="640"/>
        <w:jc w:val="left"/>
        <w:rPr>
          <w:rFonts w:ascii="黑体" w:eastAsia="黑体" w:hAnsi="黑体" w:cs="黑体"/>
          <w:b w:val="0"/>
          <w:bCs/>
          <w:color w:val="000000" w:themeColor="text1"/>
          <w:sz w:val="32"/>
          <w:szCs w:val="32"/>
        </w:rPr>
      </w:pPr>
      <w:r w:rsidRPr="0069014F">
        <w:rPr>
          <w:rFonts w:ascii="黑体" w:eastAsia="黑体" w:hAnsi="黑体" w:cs="黑体" w:hint="eastAsia"/>
          <w:b w:val="0"/>
          <w:bCs/>
          <w:color w:val="000000" w:themeColor="text1"/>
          <w:sz w:val="32"/>
          <w:szCs w:val="32"/>
        </w:rPr>
        <w:t>清单</w:t>
      </w:r>
    </w:p>
    <w:tbl>
      <w:tblPr>
        <w:tblW w:w="9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1"/>
        <w:gridCol w:w="4448"/>
        <w:gridCol w:w="826"/>
        <w:gridCol w:w="675"/>
        <w:gridCol w:w="862"/>
        <w:gridCol w:w="1665"/>
      </w:tblGrid>
      <w:tr w:rsidR="00613EBB" w:rsidRPr="0069014F">
        <w:trPr>
          <w:trHeight w:val="1209"/>
          <w:tblHeader/>
          <w:jc w:val="center"/>
        </w:trPr>
        <w:tc>
          <w:tcPr>
            <w:tcW w:w="701"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kern w:val="0"/>
                <w:sz w:val="32"/>
                <w:szCs w:val="32"/>
              </w:rPr>
              <w:t>序号</w:t>
            </w:r>
          </w:p>
        </w:tc>
        <w:tc>
          <w:tcPr>
            <w:tcW w:w="4448"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kern w:val="0"/>
                <w:sz w:val="32"/>
                <w:szCs w:val="32"/>
              </w:rPr>
              <w:t>名称</w:t>
            </w:r>
          </w:p>
        </w:tc>
        <w:tc>
          <w:tcPr>
            <w:tcW w:w="826"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69014F">
              <w:rPr>
                <w:rFonts w:ascii="仿宋_GB2312" w:eastAsia="仿宋_GB2312" w:hAnsi="仿宋_GB2312" w:cs="仿宋_GB2312" w:hint="eastAsia"/>
                <w:b/>
                <w:bCs/>
                <w:color w:val="000000" w:themeColor="text1"/>
                <w:kern w:val="0"/>
                <w:sz w:val="32"/>
                <w:szCs w:val="32"/>
              </w:rPr>
              <w:t>数量</w:t>
            </w:r>
          </w:p>
        </w:tc>
        <w:tc>
          <w:tcPr>
            <w:tcW w:w="675"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kern w:val="0"/>
                <w:sz w:val="32"/>
                <w:szCs w:val="32"/>
              </w:rPr>
              <w:t>单位</w:t>
            </w:r>
          </w:p>
        </w:tc>
        <w:tc>
          <w:tcPr>
            <w:tcW w:w="862"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69014F">
              <w:rPr>
                <w:rFonts w:ascii="仿宋_GB2312" w:eastAsia="仿宋_GB2312" w:hAnsi="仿宋_GB2312" w:cs="仿宋_GB2312" w:hint="eastAsia"/>
                <w:b/>
                <w:bCs/>
                <w:color w:val="000000" w:themeColor="text1"/>
                <w:kern w:val="0"/>
                <w:sz w:val="32"/>
                <w:szCs w:val="32"/>
              </w:rPr>
              <w:t>防水要求</w:t>
            </w:r>
          </w:p>
        </w:tc>
        <w:tc>
          <w:tcPr>
            <w:tcW w:w="1665" w:type="dxa"/>
            <w:tcBorders>
              <w:tl2br w:val="nil"/>
              <w:tr2bl w:val="nil"/>
            </w:tcBorders>
            <w:shd w:val="clear" w:color="auto" w:fill="auto"/>
            <w:vAlign w:val="center"/>
          </w:tcPr>
          <w:p w:rsidR="00613EBB" w:rsidRPr="0069014F" w:rsidRDefault="00D679E8">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69014F">
              <w:rPr>
                <w:rFonts w:ascii="仿宋_GB2312" w:eastAsia="仿宋_GB2312" w:hAnsi="仿宋_GB2312" w:cs="仿宋_GB2312" w:hint="eastAsia"/>
                <w:b/>
                <w:bCs/>
                <w:color w:val="000000" w:themeColor="text1"/>
                <w:kern w:val="0"/>
                <w:sz w:val="32"/>
                <w:szCs w:val="32"/>
              </w:rPr>
              <w:t>编码</w:t>
            </w:r>
          </w:p>
        </w:tc>
      </w:tr>
      <w:tr w:rsidR="00613EBB" w:rsidRPr="0069014F">
        <w:trPr>
          <w:trHeight w:val="1360"/>
          <w:jc w:val="center"/>
        </w:trPr>
        <w:tc>
          <w:tcPr>
            <w:tcW w:w="701" w:type="dxa"/>
            <w:tcBorders>
              <w:tl2br w:val="nil"/>
              <w:tr2bl w:val="nil"/>
            </w:tcBorders>
            <w:vAlign w:val="center"/>
          </w:tcPr>
          <w:p w:rsidR="00613EBB" w:rsidRPr="0069014F" w:rsidRDefault="00D679E8">
            <w:pPr>
              <w:widowControl/>
              <w:spacing w:line="560" w:lineRule="exact"/>
              <w:jc w:val="center"/>
              <w:textAlignment w:val="top"/>
              <w:rPr>
                <w:rFonts w:ascii="仿宋_GB2312" w:eastAsia="仿宋_GB2312" w:hAnsi="仿宋_GB2312" w:cs="仿宋_GB2312"/>
                <w:color w:val="000000" w:themeColor="text1"/>
                <w:kern w:val="0"/>
                <w:sz w:val="32"/>
                <w:szCs w:val="32"/>
              </w:rPr>
            </w:pPr>
            <w:r w:rsidRPr="0069014F">
              <w:rPr>
                <w:rFonts w:ascii="仿宋_GB2312" w:eastAsia="仿宋_GB2312" w:hAnsi="仿宋_GB2312" w:cs="仿宋_GB2312" w:hint="eastAsia"/>
                <w:color w:val="000000" w:themeColor="text1"/>
                <w:kern w:val="0"/>
                <w:sz w:val="32"/>
                <w:szCs w:val="32"/>
              </w:rPr>
              <w:t>1</w:t>
            </w:r>
          </w:p>
        </w:tc>
        <w:tc>
          <w:tcPr>
            <w:tcW w:w="4448" w:type="dxa"/>
            <w:tcBorders>
              <w:tl2br w:val="nil"/>
              <w:tr2bl w:val="nil"/>
            </w:tcBorders>
            <w:vAlign w:val="center"/>
          </w:tcPr>
          <w:p w:rsidR="00613EBB" w:rsidRPr="0069014F" w:rsidRDefault="00D679E8">
            <w:pPr>
              <w:widowControl/>
              <w:spacing w:line="560" w:lineRule="exact"/>
              <w:jc w:val="center"/>
              <w:textAlignment w:val="top"/>
              <w:rPr>
                <w:rFonts w:ascii="仿宋_GB2312" w:eastAsia="仿宋_GB2312" w:hAnsi="仿宋_GB2312" w:cs="仿宋_GB2312"/>
                <w:color w:val="000000" w:themeColor="text1"/>
                <w:kern w:val="0"/>
                <w:sz w:val="32"/>
                <w:szCs w:val="32"/>
              </w:rPr>
            </w:pPr>
            <w:r w:rsidRPr="0069014F">
              <w:rPr>
                <w:rFonts w:ascii="仿宋_GB2312" w:eastAsia="仿宋_GB2312" w:hAnsi="仿宋_GB2312" w:cs="仿宋_GB2312" w:hint="eastAsia"/>
                <w:color w:val="000000" w:themeColor="text1"/>
                <w:kern w:val="0"/>
                <w:sz w:val="32"/>
                <w:szCs w:val="32"/>
              </w:rPr>
              <w:t>30W LED 圆形地埋灯(3000K)</w:t>
            </w:r>
          </w:p>
        </w:tc>
        <w:tc>
          <w:tcPr>
            <w:tcW w:w="826" w:type="dxa"/>
            <w:tcBorders>
              <w:tl2br w:val="nil"/>
              <w:tr2bl w:val="nil"/>
            </w:tcBorders>
            <w:vAlign w:val="center"/>
          </w:tcPr>
          <w:p w:rsidR="00613EBB" w:rsidRPr="0069014F" w:rsidRDefault="00D679E8">
            <w:pPr>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50</w:t>
            </w:r>
          </w:p>
        </w:tc>
        <w:tc>
          <w:tcPr>
            <w:tcW w:w="675" w:type="dxa"/>
            <w:tcBorders>
              <w:tl2br w:val="nil"/>
              <w:tr2bl w:val="nil"/>
            </w:tcBorders>
            <w:vAlign w:val="center"/>
          </w:tcPr>
          <w:p w:rsidR="00613EBB" w:rsidRPr="0069014F" w:rsidRDefault="00D679E8">
            <w:pPr>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613EBB" w:rsidRPr="0069014F" w:rsidRDefault="00D679E8">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IP67</w:t>
            </w:r>
          </w:p>
        </w:tc>
        <w:tc>
          <w:tcPr>
            <w:tcW w:w="1665" w:type="dxa"/>
            <w:tcBorders>
              <w:tl2br w:val="nil"/>
              <w:tr2bl w:val="nil"/>
            </w:tcBorders>
            <w:vAlign w:val="center"/>
          </w:tcPr>
          <w:p w:rsidR="00613EBB" w:rsidRPr="0069014F" w:rsidRDefault="00D679E8">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0201023030</w:t>
            </w:r>
          </w:p>
        </w:tc>
      </w:tr>
      <w:tr w:rsidR="00613EBB" w:rsidRPr="0069014F">
        <w:trPr>
          <w:trHeight w:val="1360"/>
          <w:jc w:val="center"/>
        </w:trPr>
        <w:tc>
          <w:tcPr>
            <w:tcW w:w="701" w:type="dxa"/>
            <w:tcBorders>
              <w:tl2br w:val="nil"/>
              <w:tr2bl w:val="nil"/>
            </w:tcBorders>
            <w:vAlign w:val="center"/>
          </w:tcPr>
          <w:p w:rsidR="00613EBB" w:rsidRPr="0069014F" w:rsidRDefault="00D679E8">
            <w:pPr>
              <w:widowControl/>
              <w:spacing w:line="560" w:lineRule="exact"/>
              <w:jc w:val="center"/>
              <w:textAlignment w:val="top"/>
              <w:rPr>
                <w:rFonts w:ascii="仿宋_GB2312" w:eastAsia="仿宋_GB2312" w:hAnsi="仿宋_GB2312" w:cs="仿宋_GB2312"/>
                <w:color w:val="000000" w:themeColor="text1"/>
                <w:kern w:val="0"/>
                <w:sz w:val="32"/>
                <w:szCs w:val="32"/>
              </w:rPr>
            </w:pPr>
            <w:r w:rsidRPr="0069014F">
              <w:rPr>
                <w:rFonts w:ascii="仿宋_GB2312" w:eastAsia="仿宋_GB2312" w:hAnsi="仿宋_GB2312" w:cs="仿宋_GB2312" w:hint="eastAsia"/>
                <w:color w:val="000000" w:themeColor="text1"/>
                <w:kern w:val="0"/>
                <w:sz w:val="32"/>
                <w:szCs w:val="32"/>
              </w:rPr>
              <w:t>2</w:t>
            </w:r>
          </w:p>
        </w:tc>
        <w:tc>
          <w:tcPr>
            <w:tcW w:w="4448" w:type="dxa"/>
            <w:tcBorders>
              <w:tl2br w:val="nil"/>
              <w:tr2bl w:val="nil"/>
            </w:tcBorders>
            <w:vAlign w:val="center"/>
          </w:tcPr>
          <w:p w:rsidR="00613EBB" w:rsidRPr="0069014F" w:rsidRDefault="00D679E8">
            <w:pPr>
              <w:widowControl/>
              <w:spacing w:line="560" w:lineRule="exact"/>
              <w:jc w:val="center"/>
              <w:textAlignment w:val="top"/>
              <w:rPr>
                <w:rFonts w:ascii="仿宋_GB2312" w:eastAsia="仿宋_GB2312" w:hAnsi="仿宋_GB2312" w:cs="仿宋_GB2312"/>
                <w:color w:val="000000" w:themeColor="text1"/>
                <w:kern w:val="0"/>
                <w:sz w:val="32"/>
                <w:szCs w:val="32"/>
              </w:rPr>
            </w:pPr>
            <w:r w:rsidRPr="0069014F">
              <w:rPr>
                <w:rFonts w:ascii="仿宋_GB2312" w:eastAsia="仿宋_GB2312" w:hAnsi="仿宋_GB2312" w:cs="仿宋_GB2312" w:hint="eastAsia"/>
                <w:color w:val="000000" w:themeColor="text1"/>
                <w:kern w:val="0"/>
                <w:sz w:val="32"/>
                <w:szCs w:val="32"/>
              </w:rPr>
              <w:t>15W LED 圆形地埋灯(3000K)</w:t>
            </w:r>
          </w:p>
        </w:tc>
        <w:tc>
          <w:tcPr>
            <w:tcW w:w="826" w:type="dxa"/>
            <w:tcBorders>
              <w:tl2br w:val="nil"/>
              <w:tr2bl w:val="nil"/>
            </w:tcBorders>
            <w:vAlign w:val="center"/>
          </w:tcPr>
          <w:p w:rsidR="00613EBB" w:rsidRPr="0069014F" w:rsidRDefault="00D679E8">
            <w:pPr>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30</w:t>
            </w:r>
          </w:p>
        </w:tc>
        <w:tc>
          <w:tcPr>
            <w:tcW w:w="675" w:type="dxa"/>
            <w:tcBorders>
              <w:tl2br w:val="nil"/>
              <w:tr2bl w:val="nil"/>
            </w:tcBorders>
            <w:vAlign w:val="center"/>
          </w:tcPr>
          <w:p w:rsidR="00613EBB" w:rsidRPr="0069014F" w:rsidRDefault="00D679E8">
            <w:pPr>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613EBB" w:rsidRPr="0069014F" w:rsidRDefault="00D679E8">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IP67</w:t>
            </w:r>
          </w:p>
        </w:tc>
        <w:tc>
          <w:tcPr>
            <w:tcW w:w="1665" w:type="dxa"/>
            <w:tcBorders>
              <w:tl2br w:val="nil"/>
              <w:tr2bl w:val="nil"/>
            </w:tcBorders>
            <w:vAlign w:val="center"/>
          </w:tcPr>
          <w:p w:rsidR="00613EBB" w:rsidRPr="0069014F" w:rsidRDefault="00D679E8">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0201021530</w:t>
            </w:r>
          </w:p>
        </w:tc>
      </w:tr>
    </w:tbl>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注：维护项目使用，细节需现场匹配试灯后确定。</w:t>
      </w:r>
    </w:p>
    <w:p w:rsidR="00613EBB" w:rsidRPr="0069014F" w:rsidRDefault="00D679E8">
      <w:pPr>
        <w:rPr>
          <w:rFonts w:ascii="楷体_GB2312" w:eastAsia="楷体_GB2312" w:hAnsi="楷体_GB2312" w:cs="楷体_GB2312"/>
          <w:sz w:val="32"/>
          <w:szCs w:val="32"/>
        </w:rPr>
      </w:pPr>
      <w:r w:rsidRPr="0069014F">
        <w:rPr>
          <w:rFonts w:ascii="仿宋_GB2312" w:eastAsia="仿宋_GB2312" w:hAnsi="仿宋_GB2312" w:cs="仿宋_GB2312" w:hint="eastAsia"/>
          <w:color w:val="000000" w:themeColor="text1"/>
          <w:sz w:val="32"/>
          <w:szCs w:val="32"/>
        </w:rPr>
        <w:t>指定检测灯具为</w:t>
      </w:r>
      <w:r w:rsidRPr="0069014F">
        <w:rPr>
          <w:rFonts w:ascii="仿宋_GB2312" w:eastAsia="仿宋_GB2312" w:hAnsi="仿宋_GB2312" w:cs="仿宋_GB2312" w:hint="eastAsia"/>
          <w:color w:val="000000" w:themeColor="text1"/>
          <w:kern w:val="0"/>
          <w:sz w:val="32"/>
          <w:szCs w:val="32"/>
        </w:rPr>
        <w:t>30W LED 圆形地埋灯(3000K)</w:t>
      </w:r>
    </w:p>
    <w:p w:rsidR="00613EBB" w:rsidRPr="0069014F" w:rsidRDefault="00D679E8">
      <w:pPr>
        <w:spacing w:line="560" w:lineRule="exact"/>
        <w:rPr>
          <w:rFonts w:ascii="黑体" w:eastAsia="黑体" w:hAnsi="黑体" w:cs="黑体"/>
          <w:color w:val="000000" w:themeColor="text1"/>
          <w:sz w:val="32"/>
          <w:szCs w:val="32"/>
        </w:rPr>
      </w:pPr>
      <w:r w:rsidRPr="0069014F">
        <w:rPr>
          <w:rFonts w:ascii="仿宋_GB2312" w:eastAsia="仿宋_GB2312" w:hAnsi="仿宋_GB2312" w:cs="仿宋_GB2312" w:hint="eastAsia"/>
          <w:color w:val="000000" w:themeColor="text1"/>
          <w:sz w:val="32"/>
          <w:szCs w:val="32"/>
        </w:rPr>
        <w:br w:type="page"/>
      </w:r>
      <w:r w:rsidRPr="0069014F">
        <w:rPr>
          <w:rFonts w:ascii="黑体" w:eastAsia="黑体" w:hAnsi="黑体" w:cs="黑体" w:hint="eastAsia"/>
          <w:color w:val="000000" w:themeColor="text1"/>
          <w:sz w:val="32"/>
          <w:szCs w:val="32"/>
        </w:rPr>
        <w:lastRenderedPageBreak/>
        <w:t>二、投标须知</w:t>
      </w:r>
    </w:p>
    <w:p w:rsidR="00613EBB" w:rsidRPr="0069014F" w:rsidRDefault="00D679E8">
      <w:pPr>
        <w:numPr>
          <w:ilvl w:val="0"/>
          <w:numId w:val="2"/>
        </w:numPr>
        <w:spacing w:line="560" w:lineRule="exact"/>
        <w:rPr>
          <w:rFonts w:ascii="楷体_GB2312" w:eastAsia="楷体_GB2312" w:hAnsi="楷体_GB2312" w:cs="楷体_GB2312"/>
          <w:b/>
          <w:bCs/>
          <w:color w:val="000000" w:themeColor="text1"/>
          <w:sz w:val="32"/>
          <w:szCs w:val="32"/>
        </w:rPr>
      </w:pPr>
      <w:r w:rsidRPr="0069014F">
        <w:rPr>
          <w:rFonts w:ascii="楷体_GB2312" w:eastAsia="楷体_GB2312" w:hAnsi="楷体_GB2312" w:cs="楷体_GB2312" w:hint="eastAsia"/>
          <w:b/>
          <w:bCs/>
          <w:color w:val="000000" w:themeColor="text1"/>
          <w:sz w:val="32"/>
          <w:szCs w:val="32"/>
        </w:rPr>
        <w:t>常规要求</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1.报价</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景观灯具报价含驱动电源、分控、信号放大器、常规支架（10cm及以内）、常规遮光板（与灯具一体化并与灯具长度相同，宽度6cm以内）、灯具安装完毕所需所有螺栓、螺帽、防松垫片（包括灯具自带螺栓和安装用螺栓）、软件系统，具体的数量、型号、颜色等参数应当与采购单位提供的技术性文件一致或由采购单位审核确认。若由于缺失配件而无法满足现场安装条件所产生的额外安装、更换费用由供应商承担，并可在履约保证金中扣除。</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与灯之间的电源的插拔件、连接线、延长线、公母头、三通等线缆及辅材由投标单位提供，价格含在灯具投标价格中，具体规格和数量应当满足主采购合同中相应数量灯具的安装。若由于缺失辅材而无法满足现场安装条件所产生的额外安装、更换费用由供应商承担，并可在履约保证金中扣除。</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工作电压为24V的灯具，配置外置恒压驱动电源。报价中所指的驱动电源为：其功率在灯具总功率两倍范围以内的，且300W～350W的驱动电源占比超过70%。</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灯具效果调试等事宜的全部费用含在灯具投标价格中。</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color w:val="000000" w:themeColor="text1"/>
          <w:sz w:val="32"/>
          <w:szCs w:val="32"/>
        </w:rPr>
        <w:t>主控、非常规支架、非常规遮光板的价格，不含在灯具报价中。</w:t>
      </w:r>
      <w:r w:rsidRPr="0069014F">
        <w:rPr>
          <w:rFonts w:ascii="仿宋_GB2312" w:eastAsia="仿宋_GB2312" w:hAnsi="仿宋_GB2312" w:cs="仿宋_GB2312" w:hint="eastAsia"/>
          <w:sz w:val="32"/>
          <w:szCs w:val="32"/>
        </w:rPr>
        <w:t>投光灯的延长线（含两端公母头）的价格，不</w:t>
      </w:r>
      <w:r w:rsidRPr="0069014F">
        <w:rPr>
          <w:rFonts w:ascii="仿宋_GB2312" w:eastAsia="仿宋_GB2312" w:hAnsi="仿宋_GB2312" w:cs="仿宋_GB2312" w:hint="eastAsia"/>
          <w:sz w:val="32"/>
          <w:szCs w:val="32"/>
        </w:rPr>
        <w:lastRenderedPageBreak/>
        <w:t>含在灯具报价中。</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由于供应商的原因造成灯具及配件的质量、效果不符合要求的，所产生的返工更换等全部费用含在灯具投标价格中。造成误工延期的，承担相应误工费用。</w:t>
      </w:r>
    </w:p>
    <w:p w:rsidR="00613EBB" w:rsidRPr="0069014F" w:rsidRDefault="00D679E8">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报价包含运输至采购单位仓库或采购单位指定地点入库检验的相关费用（包含一次装卸费用）。在运输、装卸等环节，必须做好成品保护，确保货物完好无损。所有措施费用含在投标报价中。</w:t>
      </w:r>
    </w:p>
    <w:p w:rsidR="00613EBB" w:rsidRPr="0069014F" w:rsidRDefault="00D679E8">
      <w:pPr>
        <w:numPr>
          <w:ilvl w:val="0"/>
          <w:numId w:val="2"/>
        </w:numPr>
        <w:spacing w:line="560" w:lineRule="exact"/>
        <w:rPr>
          <w:rFonts w:ascii="楷体_GB2312" w:eastAsia="楷体_GB2312" w:hAnsi="楷体_GB2312" w:cs="楷体_GB2312"/>
          <w:b/>
          <w:bCs/>
          <w:color w:val="000000" w:themeColor="text1"/>
          <w:sz w:val="32"/>
          <w:szCs w:val="32"/>
        </w:rPr>
      </w:pPr>
      <w:r w:rsidRPr="0069014F">
        <w:rPr>
          <w:rFonts w:ascii="楷体_GB2312" w:eastAsia="楷体_GB2312" w:hAnsi="楷体_GB2312" w:cs="楷体_GB2312" w:hint="eastAsia"/>
          <w:b/>
          <w:bCs/>
          <w:color w:val="000000" w:themeColor="text1"/>
          <w:sz w:val="32"/>
          <w:szCs w:val="32"/>
        </w:rPr>
        <w:t>服务要求</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1.深化设计</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中标单位应根据采购单位提供的相关资料深化设计，根据照明效果和施工图，深化控制系统图，明确主控、分控、信号放大器等的数量和安装方式，灯具安装方式和驱动电源型号及数量，并通过采购单位最终确认。</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2.供货要求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中标单位自收到订单2日内提供详细的供货计划表，未按计划表供应相关材料所导致的人员、机械窝工、工期延误等经济损失由中标单位承担。中标单位自订单收到起</w:t>
      </w:r>
      <w:r w:rsidRPr="0069014F">
        <w:rPr>
          <w:rFonts w:ascii="仿宋_GB2312" w:eastAsia="仿宋_GB2312" w:hAnsi="仿宋_GB2312" w:cs="仿宋_GB2312"/>
          <w:color w:val="000000" w:themeColor="text1"/>
          <w:sz w:val="32"/>
          <w:szCs w:val="32"/>
        </w:rPr>
        <w:t>15</w:t>
      </w:r>
      <w:r w:rsidRPr="0069014F">
        <w:rPr>
          <w:rFonts w:ascii="仿宋_GB2312" w:eastAsia="仿宋_GB2312" w:hAnsi="仿宋_GB2312" w:cs="仿宋_GB2312" w:hint="eastAsia"/>
          <w:color w:val="000000" w:themeColor="text1"/>
          <w:sz w:val="32"/>
          <w:szCs w:val="32"/>
        </w:rPr>
        <w:t>天完成供货，供货地点为采购单位指定地点，签收日期为采购单位签收日期。</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灯具、配件和附件等应同时提供，未同时供货的视为未按要求供货，其中灯具、支架、防坠落装置应是已组装状态。</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3.施工过程中的服务</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中标单位需明确现场服务的技术人员名单。在采购单位</w:t>
      </w:r>
      <w:r w:rsidRPr="0069014F">
        <w:rPr>
          <w:rFonts w:ascii="仿宋_GB2312" w:eastAsia="仿宋_GB2312" w:hAnsi="仿宋_GB2312" w:cs="仿宋_GB2312" w:hint="eastAsia"/>
          <w:color w:val="000000" w:themeColor="text1"/>
          <w:sz w:val="32"/>
          <w:szCs w:val="32"/>
        </w:rPr>
        <w:lastRenderedPageBreak/>
        <w:t>施工期间提供调试、配合服务工作，人员数量和调试进度应符合现场需求，否则由此产生的误工等费用从质保金中扣除，中标单位的响应时间为24小时。</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4.质保期责任</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质保期内，出现灯具损坏等质量问题的，由乙方无条件更换并承担相关维修费用（含人工、机械、管理等费用），乙方应提供充足的备品备件，并在交付订单前提供甲方相应的备货依据。必须在接到甲方通知12小时内响应、48小时内送至甲方指定地点。乙方未按前述期限内完成的，甲方有权另行采购、维修，相关费用（产品采购费用、更换维修费用）由乙方承担，并有权直接从剩余应付货款、质保金中扣除。</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质保期内，灯具坏灯率超过合同供货总量的2%的，甲方有权就超出部分的坏灯向乙方主张退款退货并要求乙方承担该坏灯采购价款总和的2倍作为违约金。</w:t>
      </w:r>
    </w:p>
    <w:p w:rsidR="00613EBB" w:rsidRPr="0069014F" w:rsidRDefault="00D679E8">
      <w:pP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br w:type="page"/>
      </w:r>
    </w:p>
    <w:p w:rsidR="00613EBB" w:rsidRPr="0069014F" w:rsidRDefault="00D679E8">
      <w:pPr>
        <w:spacing w:line="560" w:lineRule="exact"/>
        <w:ind w:left="420"/>
        <w:rPr>
          <w:rFonts w:ascii="黑体" w:eastAsia="黑体" w:hAnsi="黑体" w:cs="黑体"/>
          <w:color w:val="000000" w:themeColor="text1"/>
          <w:sz w:val="32"/>
          <w:szCs w:val="32"/>
        </w:rPr>
      </w:pPr>
      <w:r w:rsidRPr="0069014F">
        <w:rPr>
          <w:rFonts w:ascii="黑体" w:eastAsia="黑体" w:hAnsi="黑体" w:cs="黑体" w:hint="eastAsia"/>
          <w:color w:val="000000" w:themeColor="text1"/>
          <w:sz w:val="32"/>
          <w:szCs w:val="32"/>
        </w:rPr>
        <w:lastRenderedPageBreak/>
        <w:t>三、技术通则要求</w:t>
      </w:r>
    </w:p>
    <w:p w:rsidR="00613EBB" w:rsidRPr="0069014F" w:rsidRDefault="00D679E8">
      <w:pPr>
        <w:numPr>
          <w:ilvl w:val="0"/>
          <w:numId w:val="4"/>
        </w:numPr>
        <w:spacing w:line="560" w:lineRule="exact"/>
        <w:rPr>
          <w:rFonts w:ascii="楷体_GB2312" w:eastAsia="楷体_GB2312" w:hAnsi="楷体_GB2312" w:cs="楷体_GB2312"/>
          <w:b/>
          <w:bCs/>
          <w:color w:val="000000" w:themeColor="text1"/>
          <w:sz w:val="32"/>
          <w:szCs w:val="32"/>
        </w:rPr>
      </w:pPr>
      <w:r w:rsidRPr="0069014F">
        <w:rPr>
          <w:rFonts w:ascii="楷体_GB2312" w:eastAsia="楷体_GB2312" w:hAnsi="楷体_GB2312" w:cs="楷体_GB2312" w:hint="eastAsia"/>
          <w:b/>
          <w:bCs/>
          <w:color w:val="000000" w:themeColor="text1"/>
          <w:sz w:val="32"/>
          <w:szCs w:val="32"/>
        </w:rPr>
        <w:t>灯具应符合的技术标准</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凡是不注日期的引用文件，其最新版本（包括所有的修改单）适用于本文件。同时包括其他国家及江苏省现行标准规范、图集等；以及相关的灯具的现行的国家规范和标准。</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1.GB7000.1灯具 第1部分：一般要求与试验。</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2.GB7000.203灯具 第2-3部分：特殊要求 道路与街路照明灯具。</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3.GB7000.7投光灯具安全要求。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4.GB7000.10固定式通用灯具安全要求。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5.GB 4208外壳防护等级（IP代码）。</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6.GB17743电气照明和类似设备的无线电骚扰特性的限值和测量方法。</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7.GB17625.1电磁兼限值谐波电流发射限值容。</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8.GB/T18595一般照明用设备电磁兼容抗扰度要求。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9.GB l7625.1电磁兼容限值谐波电流发射限值(设备每相输入电流≤16A)。</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10.QB/T1551灯具油漆涂层。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11.QB/T3741灯具电镀、化学覆盖层。</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12.GB/T33721 LED灯具可靠性试验方法。</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13.CJJ45 城市道路照明设计标准。</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14.JGJ/T 163 城市夜景照明设计规范。</w:t>
      </w:r>
    </w:p>
    <w:p w:rsidR="00613EBB" w:rsidRPr="0069014F" w:rsidRDefault="00D679E8">
      <w:pPr>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br w:type="page"/>
      </w:r>
    </w:p>
    <w:p w:rsidR="00613EBB" w:rsidRPr="0069014F" w:rsidRDefault="00D679E8">
      <w:pPr>
        <w:numPr>
          <w:ilvl w:val="0"/>
          <w:numId w:val="4"/>
        </w:numPr>
        <w:spacing w:line="560" w:lineRule="exact"/>
        <w:rPr>
          <w:rFonts w:ascii="楷体_GB2312" w:eastAsia="楷体_GB2312" w:hAnsi="楷体_GB2312" w:cs="楷体_GB2312"/>
          <w:b/>
          <w:bCs/>
          <w:color w:val="000000" w:themeColor="text1"/>
          <w:sz w:val="32"/>
          <w:szCs w:val="32"/>
        </w:rPr>
      </w:pPr>
      <w:bookmarkStart w:id="1" w:name="_Toc1793"/>
      <w:r w:rsidRPr="0069014F">
        <w:rPr>
          <w:rFonts w:ascii="楷体_GB2312" w:eastAsia="楷体_GB2312" w:hAnsi="楷体_GB2312" w:cs="楷体_GB2312" w:hint="eastAsia"/>
          <w:b/>
          <w:bCs/>
          <w:color w:val="000000" w:themeColor="text1"/>
          <w:sz w:val="32"/>
          <w:szCs w:val="32"/>
        </w:rPr>
        <w:lastRenderedPageBreak/>
        <w:t>灯具通则要求</w:t>
      </w:r>
      <w:bookmarkEnd w:id="1"/>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2" w:name="_Toc2014"/>
      <w:r w:rsidRPr="0069014F">
        <w:rPr>
          <w:rFonts w:ascii="仿宋_GB2312" w:eastAsia="仿宋_GB2312" w:hAnsi="仿宋_GB2312" w:cs="仿宋_GB2312" w:hint="eastAsia"/>
          <w:b/>
          <w:bCs/>
          <w:color w:val="000000" w:themeColor="text1"/>
          <w:sz w:val="32"/>
          <w:szCs w:val="32"/>
        </w:rPr>
        <w:t>1.一般要求</w:t>
      </w:r>
      <w:bookmarkEnd w:id="2"/>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本次投标报价包含本技术文件所要求的所有配件及附件。室外的螺杆、螺栓、垫片必须使用304不锈钢材质。</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所有投光灯类灯具必须配置防眩光遮罩、挡板或遮光格栅，避免眩光和光污染。中标单位必须按照采购单位的要求和项目具体的实施情况及时调整。</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所有投光灯类灯具必须按照采购方要求，可加装磨砂玻璃、扁光玻璃、布纹玻璃等。价格含在投标报价中。</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所有连续照明的被照面安装的投光灯，照明效果需连续均匀，无暗斑。</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bookmarkStart w:id="3" w:name="_Toc24646"/>
      <w:r w:rsidRPr="0069014F">
        <w:rPr>
          <w:rFonts w:ascii="仿宋_GB2312" w:eastAsia="仿宋_GB2312" w:hAnsi="仿宋_GB2312" w:cs="仿宋_GB2312" w:hint="eastAsia"/>
          <w:color w:val="000000" w:themeColor="text1"/>
          <w:sz w:val="32"/>
          <w:szCs w:val="32"/>
        </w:rPr>
        <w:t>中标后，中标单位踏勘现场，根据灯具安装条件，深化灯具颜色安装支</w:t>
      </w:r>
      <w:r w:rsidRPr="0069014F">
        <w:rPr>
          <w:rFonts w:ascii="仿宋_GB2312" w:eastAsia="仿宋_GB2312" w:hAnsi="仿宋_GB2312" w:cs="仿宋_GB2312" w:hint="eastAsia"/>
          <w:sz w:val="32"/>
          <w:szCs w:val="32"/>
        </w:rPr>
        <w:t>架等</w:t>
      </w:r>
      <w:r w:rsidRPr="0069014F">
        <w:rPr>
          <w:rFonts w:ascii="仿宋_GB2312" w:eastAsia="仿宋_GB2312" w:hAnsi="仿宋_GB2312" w:cs="仿宋_GB2312" w:hint="eastAsia"/>
          <w:color w:val="000000" w:themeColor="text1"/>
          <w:sz w:val="32"/>
          <w:szCs w:val="32"/>
        </w:rPr>
        <w:t>零配件的设计，按照采购单位的要求和项目具体的实施情况及时调整。所有灯具按规定提供灯具实样一款，经采购单位目视检验最终确认后，才能按照灯</w:t>
      </w:r>
      <w:r w:rsidRPr="0069014F">
        <w:rPr>
          <w:rFonts w:ascii="仿宋_GB2312" w:eastAsia="仿宋_GB2312" w:hAnsi="仿宋_GB2312" w:cs="仿宋_GB2312" w:hint="eastAsia"/>
          <w:color w:val="000000" w:themeColor="text1"/>
          <w:sz w:val="32"/>
          <w:szCs w:val="32"/>
        </w:rPr>
        <w:lastRenderedPageBreak/>
        <w:t>具订单批量提供灯具，并提供灯具安装说明书。</w:t>
      </w:r>
      <w:bookmarkStart w:id="4" w:name="_Toc15096"/>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中标后灯具供应阶段，灯具抽样由采购单位送国家级权威机构检测。</w:t>
      </w:r>
    </w:p>
    <w:p w:rsidR="00613EBB" w:rsidRPr="0069014F" w:rsidRDefault="00D679E8">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灯具的工作环境温度：-20℃～+60℃。湿度：0%～90%。在此工作温度、湿度下灯具可连续正常工作，并符合相应的国家灯具规范。</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2.LED光源要求</w:t>
      </w:r>
      <w:bookmarkEnd w:id="4"/>
    </w:p>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该类灯具的主要原材料光源封装颗粒品牌推荐科锐（CREE）、飞利浦（PHILIPS）、欧司朗（OSRAM）、日亚（NICHIA）。</w:t>
      </w:r>
    </w:p>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613EBB" w:rsidRPr="0069014F">
        <w:trPr>
          <w:tblHeader/>
          <w:jc w:val="center"/>
        </w:trPr>
        <w:tc>
          <w:tcPr>
            <w:tcW w:w="922" w:type="dxa"/>
            <w:shd w:val="clear" w:color="auto" w:fill="auto"/>
            <w:vAlign w:val="center"/>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序号</w:t>
            </w:r>
          </w:p>
        </w:tc>
        <w:tc>
          <w:tcPr>
            <w:tcW w:w="4028" w:type="dxa"/>
            <w:shd w:val="clear" w:color="auto" w:fill="auto"/>
            <w:vAlign w:val="center"/>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色温/色彩</w:t>
            </w:r>
          </w:p>
        </w:tc>
        <w:tc>
          <w:tcPr>
            <w:tcW w:w="3570" w:type="dxa"/>
            <w:shd w:val="clear" w:color="auto" w:fill="auto"/>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偏差</w:t>
            </w:r>
          </w:p>
        </w:tc>
      </w:tr>
      <w:tr w:rsidR="00613EBB" w:rsidRPr="0069014F">
        <w:trPr>
          <w:trHeight w:val="90"/>
          <w:jc w:val="center"/>
        </w:trPr>
        <w:tc>
          <w:tcPr>
            <w:tcW w:w="922" w:type="dxa"/>
            <w:vAlign w:val="center"/>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w:t>
            </w:r>
          </w:p>
        </w:tc>
        <w:tc>
          <w:tcPr>
            <w:tcW w:w="4028" w:type="dxa"/>
            <w:vAlign w:val="center"/>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3000K</w:t>
            </w:r>
          </w:p>
        </w:tc>
        <w:tc>
          <w:tcPr>
            <w:tcW w:w="3570" w:type="dxa"/>
            <w:vAlign w:val="center"/>
          </w:tcPr>
          <w:p w:rsidR="00613EBB" w:rsidRPr="0069014F" w:rsidRDefault="00D679E8">
            <w:pPr>
              <w:spacing w:line="560" w:lineRule="exact"/>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±50K</w:t>
            </w:r>
          </w:p>
        </w:tc>
      </w:tr>
    </w:tbl>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白光LED灯具的色容差应符合以下规定：同型号白光LED灯具，色容差</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5SDCM。</w:t>
      </w:r>
    </w:p>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当照射对象为纯色物体时，灯具色容差</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5SDCM。</w:t>
      </w:r>
    </w:p>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LED颗粒应满足拥有LM-80认证，颗粒寿命≥5万小时。</w:t>
      </w:r>
    </w:p>
    <w:p w:rsidR="00613EBB" w:rsidRPr="0069014F" w:rsidRDefault="00D679E8">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LED颗粒的显色指数（CRI）：白光LED一般显色指数Ra≥80，且R9＞0。</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5" w:name="_Toc517"/>
      <w:r w:rsidRPr="0069014F">
        <w:rPr>
          <w:rFonts w:ascii="仿宋_GB2312" w:eastAsia="仿宋_GB2312" w:hAnsi="仿宋_GB2312" w:cs="仿宋_GB2312" w:hint="eastAsia"/>
          <w:b/>
          <w:bCs/>
          <w:color w:val="000000" w:themeColor="text1"/>
          <w:sz w:val="32"/>
          <w:szCs w:val="32"/>
        </w:rPr>
        <w:t>3.LED灯具输入电压要求</w:t>
      </w:r>
      <w:bookmarkEnd w:id="5"/>
    </w:p>
    <w:p w:rsidR="00613EBB" w:rsidRPr="0069014F" w:rsidRDefault="00D679E8">
      <w:pPr>
        <w:numPr>
          <w:ilvl w:val="0"/>
          <w:numId w:val="7"/>
        </w:numPr>
        <w:spacing w:line="560" w:lineRule="exact"/>
        <w:ind w:left="0" w:firstLineChars="200" w:firstLine="640"/>
        <w:rPr>
          <w:rFonts w:ascii="仿宋_GB2312" w:eastAsia="仿宋_GB2312" w:hAnsi="仿宋_GB2312" w:cs="仿宋_GB2312"/>
          <w:sz w:val="32"/>
          <w:szCs w:val="32"/>
        </w:rPr>
      </w:pPr>
      <w:bookmarkStart w:id="6" w:name="_Toc18301"/>
      <w:r w:rsidRPr="0069014F">
        <w:rPr>
          <w:rFonts w:ascii="仿宋_GB2312" w:eastAsia="仿宋_GB2312" w:hAnsi="仿宋_GB2312" w:cs="仿宋_GB2312" w:hint="eastAsia"/>
          <w:sz w:val="32"/>
          <w:szCs w:val="32"/>
        </w:rPr>
        <w:t>详细参数标明输入电压为220V的灯具为内置驱动电源。详细参数未标明输入电压的为外置驱动电源集中供电。</w:t>
      </w:r>
    </w:p>
    <w:p w:rsidR="00613EBB" w:rsidRPr="0069014F" w:rsidRDefault="00D679E8">
      <w:pPr>
        <w:numPr>
          <w:ilvl w:val="0"/>
          <w:numId w:val="7"/>
        </w:numPr>
        <w:spacing w:line="560" w:lineRule="exact"/>
        <w:ind w:left="0"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详细参数未标明输入电压的，其输入电压必须为</w:t>
      </w:r>
      <w:r w:rsidRPr="0069014F">
        <w:rPr>
          <w:rFonts w:ascii="仿宋_GB2312" w:eastAsia="仿宋_GB2312" w:hAnsi="仿宋_GB2312" w:cs="仿宋_GB2312" w:hint="eastAsia"/>
          <w:sz w:val="32"/>
          <w:szCs w:val="32"/>
        </w:rPr>
        <w:lastRenderedPageBreak/>
        <w:t>DC24V。详细参数标明输入电压的，按详细参数执行。</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7" w:name="_Toc13353"/>
      <w:bookmarkEnd w:id="6"/>
      <w:r w:rsidRPr="0069014F">
        <w:rPr>
          <w:rFonts w:ascii="仿宋_GB2312" w:eastAsia="仿宋_GB2312" w:hAnsi="仿宋_GB2312" w:cs="仿宋_GB2312" w:hint="eastAsia"/>
          <w:b/>
          <w:bCs/>
          <w:color w:val="000000" w:themeColor="text1"/>
          <w:sz w:val="32"/>
          <w:szCs w:val="32"/>
        </w:rPr>
        <w:t>4.外观及结构要求</w:t>
      </w:r>
      <w:bookmarkEnd w:id="7"/>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外观质量：灯具的表面应光滑，以防污物堆积和便于清洗;无损伤、变形、涂层剥落，玻璃罩应无气泡、明显划痕和裂纹等缺陷。</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外形尺寸：允许偏差范围标明区间的灯具尺寸在要求范围内为满足要求；未标明尺寸允许偏差范围的灯具尺寸上下浮动10%为满足要求。</w:t>
      </w:r>
      <w:r w:rsidRPr="0069014F">
        <w:rPr>
          <w:rFonts w:ascii="仿宋_GB2312" w:eastAsia="仿宋_GB2312" w:hAnsi="仿宋_GB2312" w:cs="仿宋_GB2312" w:hint="eastAsia"/>
          <w:sz w:val="32"/>
          <w:szCs w:val="32"/>
        </w:rPr>
        <w:t>大功率投光灯（≥50W）需结合安装位置合理控制灯具重量，经采购单位确认后批量供货。</w:t>
      </w:r>
      <w:r w:rsidRPr="0069014F">
        <w:rPr>
          <w:rFonts w:ascii="仿宋_GB2312" w:eastAsia="仿宋_GB2312" w:hAnsi="仿宋_GB2312" w:cs="仿宋_GB2312" w:hint="eastAsia"/>
          <w:color w:val="000000" w:themeColor="text1"/>
          <w:sz w:val="32"/>
          <w:szCs w:val="32"/>
        </w:rPr>
        <w:t>安装和位置尺寸：未标明尺寸允许偏差范围的按照GB-T1804的精度M级别标准执行。</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有针对感应雷击及静电的专用防护元件，器件性能符合IEC61000-4-4（电磁兼容-第4-4部分:试验和测量技术-</w:t>
      </w:r>
      <w:r w:rsidRPr="0069014F">
        <w:rPr>
          <w:rFonts w:ascii="仿宋_GB2312" w:eastAsia="仿宋_GB2312" w:hAnsi="仿宋_GB2312" w:cs="仿宋_GB2312" w:hint="eastAsia"/>
          <w:color w:val="000000" w:themeColor="text1"/>
          <w:sz w:val="32"/>
          <w:szCs w:val="32"/>
        </w:rPr>
        <w:lastRenderedPageBreak/>
        <w:t>电快速瞬变脉冲群抗扰度试验）的检测标准。</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明装灯具及其安装附件及嵌装灯具的颜色纹理需与背景墙面颜色一致，由采购单位确定色卡号。</w:t>
      </w:r>
    </w:p>
    <w:p w:rsidR="00613EBB" w:rsidRPr="0069014F" w:rsidRDefault="00D679E8">
      <w:pPr>
        <w:numPr>
          <w:ilvl w:val="0"/>
          <w:numId w:val="8"/>
        </w:numPr>
        <w:spacing w:line="560" w:lineRule="exact"/>
        <w:ind w:left="0" w:firstLineChars="200" w:firstLine="640"/>
        <w:rPr>
          <w:rFonts w:ascii="仿宋_GB2312" w:eastAsia="仿宋_GB2312" w:hAnsi="仿宋_GB2312" w:cs="仿宋_GB2312"/>
          <w:sz w:val="32"/>
          <w:szCs w:val="32"/>
        </w:rPr>
      </w:pPr>
      <w:bookmarkStart w:id="8" w:name="_Toc20504"/>
      <w:r w:rsidRPr="0069014F">
        <w:rPr>
          <w:rFonts w:ascii="仿宋_GB2312" w:eastAsia="仿宋_GB2312" w:hAnsi="仿宋_GB2312" w:cs="仿宋_GB2312" w:hint="eastAsia"/>
          <w:sz w:val="32"/>
          <w:szCs w:val="32"/>
        </w:rPr>
        <w:t>灯具必须采用结构防水，防护等级</w:t>
      </w:r>
      <w:r w:rsidRPr="0069014F">
        <w:rPr>
          <w:rFonts w:ascii="宋体" w:eastAsia="宋体" w:hAnsi="宋体" w:cs="宋体" w:hint="eastAsia"/>
          <w:sz w:val="32"/>
          <w:szCs w:val="32"/>
        </w:rPr>
        <w:t>≥</w:t>
      </w:r>
      <w:r w:rsidRPr="0069014F">
        <w:rPr>
          <w:rFonts w:ascii="仿宋_GB2312" w:eastAsia="仿宋_GB2312" w:hAnsi="仿宋_GB2312" w:cs="仿宋_GB2312" w:hint="eastAsia"/>
          <w:sz w:val="32"/>
          <w:szCs w:val="32"/>
        </w:rPr>
        <w:t>IP65。地埋灯具防护等级</w:t>
      </w:r>
      <w:r w:rsidRPr="0069014F">
        <w:rPr>
          <w:rFonts w:ascii="宋体" w:eastAsia="宋体" w:hAnsi="宋体" w:cs="宋体" w:hint="eastAsia"/>
          <w:sz w:val="32"/>
          <w:szCs w:val="32"/>
        </w:rPr>
        <w:t>≥</w:t>
      </w:r>
      <w:r w:rsidRPr="0069014F">
        <w:rPr>
          <w:rFonts w:ascii="仿宋_GB2312" w:eastAsia="仿宋_GB2312" w:hAnsi="仿宋_GB2312" w:cs="仿宋_GB2312" w:hint="eastAsia"/>
          <w:sz w:val="32"/>
          <w:szCs w:val="32"/>
        </w:rPr>
        <w:t>IP67。灯具防尘防水等级（IP等级）指：防水接头、接线、匹配电源、灯具四部分的防尘防水等级。公母头、三通等辅材的防护等级</w:t>
      </w:r>
      <w:r w:rsidRPr="0069014F">
        <w:rPr>
          <w:rFonts w:ascii="宋体" w:eastAsia="宋体" w:hAnsi="宋体" w:cs="宋体" w:hint="eastAsia"/>
          <w:sz w:val="32"/>
          <w:szCs w:val="32"/>
        </w:rPr>
        <w:t>≥</w:t>
      </w:r>
      <w:r w:rsidRPr="0069014F">
        <w:rPr>
          <w:rFonts w:ascii="仿宋_GB2312" w:eastAsia="仿宋_GB2312" w:hAnsi="仿宋_GB2312" w:cs="仿宋_GB2312" w:hint="eastAsia"/>
          <w:sz w:val="32"/>
          <w:szCs w:val="32"/>
        </w:rPr>
        <w:t>IP66。</w:t>
      </w:r>
    </w:p>
    <w:p w:rsidR="00613EBB" w:rsidRPr="0069014F" w:rsidRDefault="00D679E8">
      <w:pPr>
        <w:pStyle w:val="Default"/>
        <w:numPr>
          <w:ilvl w:val="0"/>
          <w:numId w:val="8"/>
        </w:numPr>
        <w:ind w:left="0" w:firstLineChars="200" w:firstLine="640"/>
        <w:rPr>
          <w:rFonts w:ascii="仿宋_GB2312" w:eastAsia="仿宋_GB2312" w:hAnsi="仿宋_GB2312" w:cs="仿宋_GB2312"/>
          <w:color w:val="000000" w:themeColor="text1"/>
          <w:kern w:val="2"/>
          <w:sz w:val="32"/>
          <w:szCs w:val="32"/>
        </w:rPr>
      </w:pPr>
      <w:r w:rsidRPr="0069014F">
        <w:rPr>
          <w:rFonts w:ascii="仿宋_GB2312" w:eastAsia="仿宋_GB2312" w:hAnsi="仿宋_GB2312" w:cs="仿宋_GB2312" w:hint="eastAsia"/>
          <w:color w:val="000000" w:themeColor="text1"/>
          <w:kern w:val="2"/>
          <w:sz w:val="32"/>
          <w:szCs w:val="32"/>
        </w:rPr>
        <w:t>公母接头要求:①采用金属头实心针。②线缆内部芯橡胶圆线应采用耐温为-40℃～+105℃、阻燃为UL-VW0的安全材质。③线材电缆应具备国标3C认证及美标UL认证，线缆内部芯电线线径不低于0.75平方。④接触件材质为阻燃尼龙，无论在任何情况下都无法燃烧融化，安全系数高。⑤制作工艺采用一体式注塑成型，无灌胶，接头材质具有PVCR0HS环保认证。</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t>5.材料要求</w:t>
      </w:r>
      <w:bookmarkEnd w:id="8"/>
    </w:p>
    <w:p w:rsidR="00613EBB" w:rsidRPr="0069014F" w:rsidRDefault="00D679E8">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rsidR="00613EBB" w:rsidRPr="0069014F" w:rsidRDefault="00D679E8">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sz w:val="32"/>
          <w:szCs w:val="32"/>
        </w:rPr>
        <w:t>灯具封装，严禁外部打胶。</w:t>
      </w:r>
      <w:r w:rsidRPr="0069014F">
        <w:rPr>
          <w:rFonts w:ascii="仿宋_GB2312" w:eastAsia="仿宋_GB2312" w:hAnsi="仿宋_GB2312" w:cs="仿宋_GB2312" w:hint="eastAsia"/>
          <w:color w:val="000000" w:themeColor="text1"/>
          <w:sz w:val="32"/>
          <w:szCs w:val="32"/>
        </w:rPr>
        <w:t>灯具密封圈需采用抗老化硅橡胶圈或同等、优于上标准。应耐温、耐老化和耐道路上可能出现的腐蚀性气体，并应方便更换。</w:t>
      </w:r>
    </w:p>
    <w:p w:rsidR="00613EBB" w:rsidRPr="0069014F" w:rsidRDefault="00D679E8">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灯具的插销、铰链、螺钉和其他外部构件应用304/2B不锈钢或高镁防锈3404铝合金，其安装构件应不受</w:t>
      </w:r>
      <w:r w:rsidRPr="0069014F">
        <w:rPr>
          <w:rFonts w:ascii="仿宋_GB2312" w:eastAsia="仿宋_GB2312" w:hAnsi="仿宋_GB2312" w:cs="仿宋_GB2312" w:hint="eastAsia"/>
          <w:color w:val="000000" w:themeColor="text1"/>
          <w:sz w:val="32"/>
          <w:szCs w:val="32"/>
        </w:rPr>
        <w:lastRenderedPageBreak/>
        <w:t>混凝土的化学反应腐蚀。膨胀管、膨胀螺栓（含螺栓、胀管、平垫圈、弹簧垫和六角螺母等）必须采用不锈钢304/2B材料，且不受混凝土的化学反应腐蚀。</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9" w:name="_Toc19172"/>
      <w:r w:rsidRPr="0069014F">
        <w:rPr>
          <w:rFonts w:ascii="仿宋_GB2312" w:eastAsia="仿宋_GB2312" w:hAnsi="仿宋_GB2312" w:cs="仿宋_GB2312" w:hint="eastAsia"/>
          <w:b/>
          <w:bCs/>
          <w:color w:val="000000" w:themeColor="text1"/>
          <w:sz w:val="32"/>
          <w:szCs w:val="32"/>
        </w:rPr>
        <w:t>6.耐腐蚀性要求</w:t>
      </w:r>
      <w:bookmarkEnd w:id="9"/>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亚克力材               料部分保证5年不发黄。</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10" w:name="_Toc4937"/>
      <w:bookmarkStart w:id="11" w:name="_Toc2295"/>
      <w:bookmarkStart w:id="12" w:name="_Toc6693"/>
      <w:bookmarkStart w:id="13" w:name="_Toc9926"/>
      <w:bookmarkStart w:id="14" w:name="_Toc20838"/>
      <w:r w:rsidRPr="0069014F">
        <w:rPr>
          <w:rFonts w:ascii="仿宋_GB2312" w:eastAsia="仿宋_GB2312" w:hAnsi="仿宋_GB2312" w:cs="仿宋_GB2312" w:hint="eastAsia"/>
          <w:b/>
          <w:bCs/>
          <w:color w:val="000000" w:themeColor="text1"/>
          <w:sz w:val="32"/>
          <w:szCs w:val="32"/>
        </w:rPr>
        <w:t>7.电磁兼容</w:t>
      </w:r>
      <w:bookmarkEnd w:id="10"/>
      <w:bookmarkEnd w:id="11"/>
      <w:bookmarkEnd w:id="12"/>
      <w:bookmarkEnd w:id="13"/>
      <w:r w:rsidRPr="0069014F">
        <w:rPr>
          <w:rFonts w:ascii="仿宋_GB2312" w:eastAsia="仿宋_GB2312" w:hAnsi="仿宋_GB2312" w:cs="仿宋_GB2312" w:hint="eastAsia"/>
          <w:b/>
          <w:bCs/>
          <w:color w:val="000000" w:themeColor="text1"/>
          <w:sz w:val="32"/>
          <w:szCs w:val="32"/>
        </w:rPr>
        <w:t>要求</w:t>
      </w:r>
      <w:bookmarkEnd w:id="14"/>
    </w:p>
    <w:p w:rsidR="00613EBB" w:rsidRPr="0069014F" w:rsidRDefault="00D679E8">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灯具的无线电骚扰特性应符合GB 17743的要求。</w:t>
      </w:r>
    </w:p>
    <w:p w:rsidR="00613EBB" w:rsidRPr="0069014F" w:rsidRDefault="00D679E8">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灯具电磁兼容抗扰度应符合GB/T 18595 的要求。</w:t>
      </w:r>
    </w:p>
    <w:p w:rsidR="00613EBB" w:rsidRPr="0069014F" w:rsidRDefault="00D679E8">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灯具的输入电流谐波应符合GB l7625.1的要求。</w:t>
      </w:r>
    </w:p>
    <w:p w:rsidR="00613EBB" w:rsidRPr="0069014F" w:rsidRDefault="00D679E8">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LED电子控制装置应采用高压输出的LED电子控制装置，输出电流不超过1.5A。并应符合GB 19510.14的规定。</w:t>
      </w:r>
    </w:p>
    <w:p w:rsidR="00613EBB" w:rsidRPr="0069014F" w:rsidRDefault="00D679E8">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LED灯具的蓝光控制应符合GB 7000.1的规定。</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15" w:name="_Toc28959"/>
      <w:r w:rsidRPr="0069014F">
        <w:rPr>
          <w:rFonts w:ascii="仿宋_GB2312" w:eastAsia="仿宋_GB2312" w:hAnsi="仿宋_GB2312" w:cs="仿宋_GB2312" w:hint="eastAsia"/>
          <w:b/>
          <w:bCs/>
          <w:color w:val="000000" w:themeColor="text1"/>
          <w:sz w:val="32"/>
          <w:szCs w:val="32"/>
        </w:rPr>
        <w:t>8.灯具寿命、光衰、散热等要求</w:t>
      </w:r>
      <w:bookmarkEnd w:id="15"/>
    </w:p>
    <w:p w:rsidR="00613EBB" w:rsidRPr="0069014F" w:rsidRDefault="00D679E8">
      <w:pPr>
        <w:numPr>
          <w:ilvl w:val="0"/>
          <w:numId w:val="11"/>
        </w:num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灯的光源寿命</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5万小时。</w:t>
      </w:r>
    </w:p>
    <w:p w:rsidR="00613EBB" w:rsidRPr="0069014F" w:rsidRDefault="00D679E8">
      <w:pPr>
        <w:numPr>
          <w:ilvl w:val="0"/>
          <w:numId w:val="11"/>
        </w:num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灯在燃点3千小时时，其光通维持率应</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96%；在燃</w:t>
      </w:r>
      <w:r w:rsidRPr="0069014F">
        <w:rPr>
          <w:rFonts w:ascii="仿宋_GB2312" w:eastAsia="仿宋_GB2312" w:hAnsi="仿宋_GB2312" w:cs="仿宋_GB2312" w:hint="eastAsia"/>
          <w:color w:val="000000" w:themeColor="text1"/>
          <w:sz w:val="32"/>
          <w:szCs w:val="32"/>
        </w:rPr>
        <w:lastRenderedPageBreak/>
        <w:t>点6千小时时，其光通维持率应</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92%。</w:t>
      </w:r>
    </w:p>
    <w:p w:rsidR="00613EBB" w:rsidRPr="0069014F" w:rsidRDefault="00D679E8">
      <w:pPr>
        <w:numPr>
          <w:ilvl w:val="0"/>
          <w:numId w:val="11"/>
        </w:num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color w:val="000000" w:themeColor="text1"/>
          <w:sz w:val="32"/>
          <w:szCs w:val="32"/>
        </w:rPr>
        <w:t>灯的初始光通量（灯具入库或到达安装现场的时间点）可由制造商或销售商标称，但标称值的95%</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其实测值</w:t>
      </w:r>
      <w:r w:rsidRPr="0069014F">
        <w:rPr>
          <w:rFonts w:ascii="宋体" w:eastAsia="宋体" w:hAnsi="宋体" w:cs="宋体" w:hint="eastAsia"/>
          <w:color w:val="000000" w:themeColor="text1"/>
          <w:sz w:val="32"/>
          <w:szCs w:val="32"/>
        </w:rPr>
        <w:t>≤</w:t>
      </w:r>
      <w:r w:rsidRPr="0069014F">
        <w:rPr>
          <w:rFonts w:ascii="仿宋_GB2312" w:eastAsia="仿宋_GB2312" w:hAnsi="仿宋_GB2312" w:cs="仿宋_GB2312" w:hint="eastAsia"/>
          <w:color w:val="000000" w:themeColor="text1"/>
          <w:sz w:val="32"/>
          <w:szCs w:val="32"/>
        </w:rPr>
        <w:t xml:space="preserve">标称值的105%。 </w:t>
      </w:r>
    </w:p>
    <w:p w:rsidR="00613EBB" w:rsidRPr="0069014F" w:rsidRDefault="00D679E8">
      <w:pPr>
        <w:numPr>
          <w:ilvl w:val="0"/>
          <w:numId w:val="11"/>
        </w:num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所有LED灯具外壳温度满载负荷2小时候后，最高温度升高</w:t>
      </w:r>
      <w:r w:rsidRPr="0069014F">
        <w:rPr>
          <w:rFonts w:ascii="宋体" w:eastAsia="宋体" w:hAnsi="宋体" w:cs="宋体" w:hint="eastAsia"/>
          <w:sz w:val="32"/>
          <w:szCs w:val="32"/>
        </w:rPr>
        <w:t>≤</w:t>
      </w:r>
      <w:r w:rsidRPr="0069014F">
        <w:rPr>
          <w:rFonts w:ascii="仿宋_GB2312" w:eastAsia="仿宋_GB2312" w:hAnsi="仿宋_GB2312" w:cs="仿宋_GB2312" w:hint="eastAsia"/>
          <w:sz w:val="32"/>
          <w:szCs w:val="32"/>
        </w:rPr>
        <w:t>30℃。现场安装后抽检灯具的外壳温度。芯片引脚满载2小时后，最高温度升高</w:t>
      </w:r>
      <w:r w:rsidRPr="0069014F">
        <w:rPr>
          <w:rFonts w:ascii="宋体" w:eastAsia="宋体" w:hAnsi="宋体" w:cs="宋体" w:hint="eastAsia"/>
          <w:sz w:val="32"/>
          <w:szCs w:val="32"/>
        </w:rPr>
        <w:t>≤</w:t>
      </w:r>
      <w:r w:rsidRPr="0069014F">
        <w:rPr>
          <w:rFonts w:ascii="仿宋_GB2312" w:eastAsia="仿宋_GB2312" w:hAnsi="仿宋_GB2312" w:cs="仿宋_GB2312" w:hint="eastAsia"/>
          <w:sz w:val="32"/>
          <w:szCs w:val="32"/>
        </w:rPr>
        <w:t>60℃。</w:t>
      </w:r>
      <w:bookmarkStart w:id="16" w:name="_Toc11963"/>
      <w:bookmarkStart w:id="17" w:name="_Toc10067"/>
      <w:bookmarkEnd w:id="3"/>
    </w:p>
    <w:p w:rsidR="00613EBB" w:rsidRPr="0069014F" w:rsidRDefault="00D679E8">
      <w:pPr>
        <w:pStyle w:val="Default"/>
        <w:numPr>
          <w:ilvl w:val="0"/>
          <w:numId w:val="11"/>
        </w:numPr>
        <w:ind w:firstLineChars="200" w:firstLine="640"/>
        <w:rPr>
          <w:rFonts w:ascii="仿宋_GB2312" w:eastAsia="仿宋_GB2312" w:hAnsi="仿宋_GB2312" w:cs="仿宋_GB2312"/>
          <w:color w:val="000000" w:themeColor="text1"/>
          <w:kern w:val="2"/>
          <w:sz w:val="32"/>
          <w:szCs w:val="32"/>
        </w:rPr>
      </w:pPr>
      <w:r w:rsidRPr="0069014F">
        <w:rPr>
          <w:rFonts w:ascii="仿宋_GB2312" w:eastAsia="仿宋_GB2312" w:hAnsi="仿宋_GB2312" w:cs="仿宋_GB2312" w:hint="eastAsia"/>
          <w:color w:val="000000" w:themeColor="text1"/>
          <w:kern w:val="2"/>
          <w:sz w:val="32"/>
          <w:szCs w:val="32"/>
        </w:rPr>
        <w:t>LED电路板封装，</w:t>
      </w:r>
      <w:r w:rsidRPr="0069014F">
        <w:rPr>
          <w:rFonts w:ascii="仿宋_GB2312" w:eastAsia="仿宋_GB2312" w:hAnsi="仿宋_GB2312" w:cs="仿宋_GB2312" w:hint="eastAsia"/>
          <w:color w:val="auto"/>
          <w:kern w:val="2"/>
          <w:sz w:val="32"/>
          <w:szCs w:val="32"/>
        </w:rPr>
        <w:t>不得采用灌胶工艺，</w:t>
      </w:r>
      <w:r w:rsidRPr="0069014F">
        <w:rPr>
          <w:rFonts w:ascii="仿宋_GB2312" w:eastAsia="仿宋_GB2312" w:hAnsi="仿宋_GB2312" w:cs="仿宋_GB2312" w:hint="eastAsia"/>
          <w:color w:val="000000" w:themeColor="text1"/>
          <w:kern w:val="2"/>
          <w:sz w:val="32"/>
          <w:szCs w:val="32"/>
        </w:rPr>
        <w:t>不得存在明显瑕疵，从而导致灯具的绝缘、抗腐蚀、短路等问题，电路板不得使用电解电容。</w:t>
      </w:r>
    </w:p>
    <w:p w:rsidR="00613EBB" w:rsidRPr="0069014F" w:rsidRDefault="00D679E8">
      <w:pPr>
        <w:spacing w:line="560" w:lineRule="exact"/>
        <w:ind w:firstLineChars="100" w:firstLine="321"/>
        <w:rPr>
          <w:rFonts w:ascii="楷体_GB2312" w:eastAsia="楷体_GB2312" w:hAnsi="楷体_GB2312" w:cs="楷体_GB2312"/>
          <w:b/>
          <w:bCs/>
          <w:sz w:val="32"/>
          <w:szCs w:val="32"/>
        </w:rPr>
      </w:pPr>
      <w:bookmarkStart w:id="18" w:name="_Toc13459"/>
      <w:bookmarkEnd w:id="16"/>
      <w:bookmarkEnd w:id="17"/>
      <w:r w:rsidRPr="0069014F">
        <w:rPr>
          <w:rFonts w:ascii="楷体_GB2312" w:eastAsia="楷体_GB2312" w:hAnsi="楷体_GB2312" w:cs="楷体_GB2312" w:hint="eastAsia"/>
          <w:b/>
          <w:bCs/>
          <w:sz w:val="32"/>
          <w:szCs w:val="32"/>
        </w:rPr>
        <w:t>（三）灯具附属防坠落装置（含防坠落钢丝绳）配置要求</w:t>
      </w:r>
    </w:p>
    <w:p w:rsidR="00613EBB" w:rsidRPr="0069014F" w:rsidRDefault="00D679E8">
      <w:pPr>
        <w:widowControl/>
        <w:spacing w:line="560" w:lineRule="exact"/>
        <w:ind w:firstLineChars="200" w:firstLine="640"/>
        <w:jc w:val="left"/>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技术文件详参有规定的，按详参规定执行，没有详参规定的，按照本通则执行。</w:t>
      </w:r>
    </w:p>
    <w:p w:rsidR="00613EBB" w:rsidRPr="0069014F" w:rsidRDefault="00D679E8">
      <w:pPr>
        <w:widowControl/>
        <w:spacing w:line="560" w:lineRule="exact"/>
        <w:ind w:firstLineChars="200" w:firstLine="640"/>
        <w:jc w:val="left"/>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高空（高度大于2米）安装的灯具必须配置与灯具相匹配的防坠落装置（含防坠落钢丝绳）。恶劣天气，强风袭击或受到外力冲撞时，灯具不会掉落到路面产生危险，防止次生灾害。防坠落装置安装于合理位置。</w:t>
      </w:r>
    </w:p>
    <w:p w:rsidR="00613EBB" w:rsidRPr="0069014F" w:rsidRDefault="00D679E8">
      <w:p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1.钢丝绳材质：304不锈钢。</w:t>
      </w:r>
    </w:p>
    <w:p w:rsidR="00613EBB" w:rsidRPr="0069014F" w:rsidRDefault="00D679E8">
      <w:p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2.钢丝绳直径：≥3mm。</w:t>
      </w:r>
    </w:p>
    <w:p w:rsidR="00613EBB" w:rsidRPr="0069014F" w:rsidRDefault="00D679E8">
      <w:p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3.钢丝绳拉力：≥400Kg。</w:t>
      </w:r>
    </w:p>
    <w:p w:rsidR="00613EBB" w:rsidRPr="0069014F" w:rsidRDefault="00D679E8">
      <w:pPr>
        <w:spacing w:line="560" w:lineRule="exact"/>
        <w:ind w:firstLineChars="200" w:firstLine="640"/>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4.钢丝绳两端固定方式：固定式（结合灯具安装支架等)。（图片仅示意）</w:t>
      </w:r>
    </w:p>
    <w:p w:rsidR="00613EBB" w:rsidRPr="0069014F" w:rsidRDefault="00D679E8">
      <w:pPr>
        <w:pStyle w:val="Default"/>
        <w:rPr>
          <w:rFonts w:ascii="仿宋_GB2312" w:eastAsia="仿宋_GB2312" w:hAnsi="仿宋_GB2312" w:cs="仿宋_GB2312"/>
          <w:color w:val="auto"/>
          <w:sz w:val="32"/>
          <w:szCs w:val="32"/>
        </w:rPr>
      </w:pPr>
      <w:r w:rsidRPr="0069014F">
        <w:rPr>
          <w:rFonts w:ascii="仿宋_GB2312" w:eastAsia="仿宋_GB2312" w:hAnsi="仿宋_GB2312" w:cs="仿宋_GB2312" w:hint="eastAsia"/>
          <w:noProof/>
          <w:color w:val="auto"/>
          <w:sz w:val="32"/>
          <w:szCs w:val="32"/>
        </w:rPr>
        <w:lastRenderedPageBreak/>
        <w:drawing>
          <wp:anchor distT="0" distB="0" distL="114300" distR="114300" simplePos="0" relativeHeight="251660288" behindDoc="0" locked="0" layoutInCell="1" allowOverlap="1">
            <wp:simplePos x="0" y="0"/>
            <wp:positionH relativeFrom="column">
              <wp:posOffset>3092450</wp:posOffset>
            </wp:positionH>
            <wp:positionV relativeFrom="paragraph">
              <wp:posOffset>107950</wp:posOffset>
            </wp:positionV>
            <wp:extent cx="2428240" cy="1366520"/>
            <wp:effectExtent l="0" t="0" r="10160" b="5080"/>
            <wp:wrapSquare wrapText="bothSides"/>
            <wp:docPr id="9" name="图片 9" descr="167506565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75065652566"/>
                    <pic:cNvPicPr>
                      <a:picLocks noChangeAspect="1"/>
                    </pic:cNvPicPr>
                  </pic:nvPicPr>
                  <pic:blipFill>
                    <a:blip r:embed="rId7"/>
                    <a:stretch>
                      <a:fillRect/>
                    </a:stretch>
                  </pic:blipFill>
                  <pic:spPr>
                    <a:xfrm>
                      <a:off x="0" y="0"/>
                      <a:ext cx="2428240" cy="1366520"/>
                    </a:xfrm>
                    <a:prstGeom prst="rect">
                      <a:avLst/>
                    </a:prstGeom>
                  </pic:spPr>
                </pic:pic>
              </a:graphicData>
            </a:graphic>
          </wp:anchor>
        </w:drawing>
      </w:r>
      <w:r w:rsidRPr="0069014F">
        <w:rPr>
          <w:rFonts w:ascii="仿宋_GB2312" w:eastAsia="仿宋_GB2312" w:hAnsi="仿宋_GB2312" w:cs="仿宋_GB2312" w:hint="eastAsia"/>
          <w:noProof/>
          <w:color w:val="auto"/>
          <w:sz w:val="32"/>
          <w:szCs w:val="32"/>
        </w:rPr>
        <w:drawing>
          <wp:anchor distT="0" distB="0" distL="114300" distR="114300" simplePos="0" relativeHeight="251659264" behindDoc="0" locked="0" layoutInCell="1" allowOverlap="1">
            <wp:simplePos x="0" y="0"/>
            <wp:positionH relativeFrom="column">
              <wp:posOffset>225425</wp:posOffset>
            </wp:positionH>
            <wp:positionV relativeFrom="paragraph">
              <wp:posOffset>149860</wp:posOffset>
            </wp:positionV>
            <wp:extent cx="2386965" cy="1343660"/>
            <wp:effectExtent l="0" t="0" r="635" b="2540"/>
            <wp:wrapSquare wrapText="bothSides"/>
            <wp:docPr id="10" name="图片 10" descr="33a8677bcba44641b974a666a4ae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3a8677bcba44641b974a666a4aef91"/>
                    <pic:cNvPicPr>
                      <a:picLocks noChangeAspect="1"/>
                    </pic:cNvPicPr>
                  </pic:nvPicPr>
                  <pic:blipFill>
                    <a:blip r:embed="rId8"/>
                    <a:stretch>
                      <a:fillRect/>
                    </a:stretch>
                  </pic:blipFill>
                  <pic:spPr>
                    <a:xfrm>
                      <a:off x="0" y="0"/>
                      <a:ext cx="2386965" cy="1343660"/>
                    </a:xfrm>
                    <a:prstGeom prst="rect">
                      <a:avLst/>
                    </a:prstGeom>
                  </pic:spPr>
                </pic:pic>
              </a:graphicData>
            </a:graphic>
          </wp:anchor>
        </w:drawing>
      </w:r>
    </w:p>
    <w:p w:rsidR="00613EBB" w:rsidRPr="0069014F" w:rsidRDefault="00613EBB">
      <w:pPr>
        <w:pStyle w:val="Default"/>
        <w:jc w:val="center"/>
        <w:rPr>
          <w:rFonts w:ascii="仿宋_GB2312" w:eastAsia="仿宋_GB2312" w:hAnsi="仿宋_GB2312" w:cs="仿宋_GB2312"/>
          <w:color w:val="auto"/>
          <w:sz w:val="32"/>
          <w:szCs w:val="32"/>
        </w:rPr>
      </w:pPr>
    </w:p>
    <w:p w:rsidR="00613EBB" w:rsidRPr="0069014F" w:rsidRDefault="00613EBB">
      <w:pPr>
        <w:pStyle w:val="Default"/>
        <w:jc w:val="center"/>
        <w:rPr>
          <w:rFonts w:ascii="仿宋_GB2312" w:eastAsia="仿宋_GB2312" w:hAnsi="仿宋_GB2312" w:cs="仿宋_GB2312"/>
          <w:color w:val="auto"/>
          <w:sz w:val="32"/>
          <w:szCs w:val="32"/>
        </w:rPr>
      </w:pPr>
    </w:p>
    <w:p w:rsidR="00613EBB" w:rsidRPr="0069014F" w:rsidRDefault="00D679E8">
      <w:pPr>
        <w:rPr>
          <w:rFonts w:ascii="楷体_GB2312" w:eastAsia="楷体_GB2312" w:hAnsi="楷体_GB2312" w:cs="楷体_GB2312"/>
          <w:b/>
          <w:bCs/>
          <w:sz w:val="32"/>
          <w:szCs w:val="32"/>
        </w:rPr>
      </w:pPr>
      <w:r w:rsidRPr="0069014F">
        <w:rPr>
          <w:rFonts w:ascii="仿宋_GB2312" w:eastAsia="仿宋_GB2312" w:hAnsi="仿宋_GB2312" w:cs="仿宋_GB2312" w:hint="eastAsia"/>
          <w:sz w:val="32"/>
          <w:szCs w:val="32"/>
        </w:rPr>
        <w:br w:type="page"/>
      </w:r>
      <w:bookmarkStart w:id="19" w:name="_Toc12436"/>
      <w:bookmarkEnd w:id="18"/>
      <w:r w:rsidRPr="0069014F">
        <w:rPr>
          <w:rFonts w:ascii="楷体_GB2312" w:eastAsia="楷体_GB2312" w:hAnsi="楷体_GB2312" w:cs="楷体_GB2312" w:hint="eastAsia"/>
          <w:b/>
          <w:bCs/>
          <w:sz w:val="32"/>
          <w:szCs w:val="32"/>
        </w:rPr>
        <w:lastRenderedPageBreak/>
        <w:t>（四）景观灯具通用检测要求</w:t>
      </w:r>
    </w:p>
    <w:p w:rsidR="00613EBB" w:rsidRPr="0069014F" w:rsidRDefault="00D679E8">
      <w:pPr>
        <w:spacing w:line="560" w:lineRule="exact"/>
        <w:rPr>
          <w:rFonts w:ascii="仿宋_GB2312" w:eastAsia="仿宋_GB2312" w:hAnsi="仿宋_GB2312" w:cs="仿宋_GB2312"/>
          <w:b/>
          <w:bCs/>
          <w:sz w:val="32"/>
          <w:szCs w:val="32"/>
        </w:rPr>
      </w:pPr>
      <w:bookmarkStart w:id="20" w:name="_Toc30365"/>
      <w:r w:rsidRPr="0069014F">
        <w:rPr>
          <w:rFonts w:ascii="仿宋_GB2312" w:eastAsia="仿宋_GB2312" w:hAnsi="仿宋_GB2312" w:cs="仿宋_GB2312" w:hint="eastAsia"/>
          <w:b/>
          <w:bCs/>
          <w:sz w:val="32"/>
          <w:szCs w:val="32"/>
        </w:rPr>
        <w:t>1.说明</w:t>
      </w:r>
      <w:bookmarkEnd w:id="20"/>
    </w:p>
    <w:p w:rsidR="00613EBB" w:rsidRPr="0069014F" w:rsidRDefault="00D679E8">
      <w:pPr>
        <w:spacing w:line="560" w:lineRule="exact"/>
        <w:rPr>
          <w:rFonts w:ascii="仿宋_GB2312" w:eastAsia="仿宋_GB2312" w:hAnsi="仿宋_GB2312" w:cs="仿宋_GB2312"/>
          <w:b/>
          <w:bCs/>
          <w:sz w:val="32"/>
          <w:szCs w:val="32"/>
        </w:rPr>
      </w:pPr>
      <w:bookmarkStart w:id="21" w:name="_Toc6588"/>
      <w:r w:rsidRPr="0069014F">
        <w:rPr>
          <w:rFonts w:ascii="仿宋_GB2312" w:eastAsia="仿宋_GB2312" w:hAnsi="仿宋_GB2312" w:cs="仿宋_GB2312" w:hint="eastAsia"/>
          <w:b/>
          <w:bCs/>
          <w:sz w:val="32"/>
          <w:szCs w:val="32"/>
        </w:rPr>
        <w:t>所有检测机构均必须为“国家级权威检测机构”。</w:t>
      </w:r>
    </w:p>
    <w:p w:rsidR="00613EBB" w:rsidRPr="0069014F" w:rsidRDefault="00D679E8">
      <w:pPr>
        <w:spacing w:line="560" w:lineRule="exact"/>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2.灯具不同阶段检测项目</w:t>
      </w:r>
      <w:bookmarkEnd w:id="21"/>
    </w:p>
    <w:tbl>
      <w:tblPr>
        <w:tblW w:w="10202" w:type="dxa"/>
        <w:jc w:val="center"/>
        <w:tblLayout w:type="fixed"/>
        <w:tblCellMar>
          <w:left w:w="0" w:type="dxa"/>
          <w:right w:w="0" w:type="dxa"/>
        </w:tblCellMar>
        <w:tblLook w:val="04A0" w:firstRow="1" w:lastRow="0" w:firstColumn="1" w:lastColumn="0" w:noHBand="0" w:noVBand="1"/>
      </w:tblPr>
      <w:tblGrid>
        <w:gridCol w:w="807"/>
        <w:gridCol w:w="2787"/>
        <w:gridCol w:w="2788"/>
        <w:gridCol w:w="1932"/>
        <w:gridCol w:w="1888"/>
      </w:tblGrid>
      <w:tr w:rsidR="00613EBB" w:rsidRPr="0069014F">
        <w:trPr>
          <w:trHeight w:val="2522"/>
          <w:tblHeader/>
          <w:jc w:val="center"/>
        </w:trPr>
        <w:tc>
          <w:tcPr>
            <w:tcW w:w="807" w:type="dxa"/>
            <w:tcBorders>
              <w:top w:val="single" w:sz="4" w:space="0" w:color="000000"/>
              <w:left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序号</w:t>
            </w:r>
          </w:p>
        </w:tc>
        <w:tc>
          <w:tcPr>
            <w:tcW w:w="5575" w:type="dxa"/>
            <w:gridSpan w:val="2"/>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检测项目</w:t>
            </w:r>
          </w:p>
        </w:tc>
        <w:tc>
          <w:tcPr>
            <w:tcW w:w="193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质保期间</w:t>
            </w:r>
          </w:p>
          <w:p w:rsidR="00613EBB" w:rsidRPr="0069014F" w:rsidRDefault="00D679E8">
            <w:pPr>
              <w:spacing w:line="560" w:lineRule="exact"/>
              <w:jc w:val="cente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全部灯具</w:t>
            </w:r>
          </w:p>
          <w:p w:rsidR="00613EBB" w:rsidRPr="0069014F" w:rsidRDefault="00D679E8">
            <w:pPr>
              <w:spacing w:line="560" w:lineRule="exact"/>
              <w:jc w:val="cente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抽检项目</w:t>
            </w:r>
          </w:p>
        </w:tc>
        <w:tc>
          <w:tcPr>
            <w:tcW w:w="1888"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t>投标前指定灯具需检测项目</w:t>
            </w:r>
          </w:p>
        </w:tc>
      </w:tr>
      <w:tr w:rsidR="00613EBB" w:rsidRPr="0069014F">
        <w:trPr>
          <w:trHeight w:val="90"/>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b/>
                <w:bCs/>
                <w:sz w:val="32"/>
                <w:szCs w:val="32"/>
              </w:rPr>
              <w:t>一、安规项目</w:t>
            </w:r>
          </w:p>
        </w:tc>
      </w:tr>
      <w:tr w:rsidR="00613EBB" w:rsidRPr="0069014F">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1</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外部接线和内部接线</w:t>
            </w:r>
          </w:p>
        </w:tc>
        <w:tc>
          <w:tcPr>
            <w:tcW w:w="193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r>
      <w:tr w:rsidR="00613EBB" w:rsidRPr="0069014F">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2</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防尘、防固体异物和防水：≥IP67</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r>
      <w:tr w:rsidR="00613EBB" w:rsidRPr="0069014F">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3</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潮湿后的绝缘电阻和电气强度</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r>
      <w:tr w:rsidR="00613EBB" w:rsidRPr="0069014F">
        <w:trPr>
          <w:trHeight w:val="468"/>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spacing w:line="56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b/>
                <w:bCs/>
                <w:sz w:val="32"/>
                <w:szCs w:val="32"/>
              </w:rPr>
              <w:t>二、光学项目</w:t>
            </w:r>
          </w:p>
        </w:tc>
      </w:tr>
      <w:tr w:rsidR="00613EBB" w:rsidRPr="0069014F">
        <w:trPr>
          <w:trHeight w:val="238"/>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1</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色度参数</w:t>
            </w: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波长</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spacing w:line="560" w:lineRule="exact"/>
              <w:jc w:val="center"/>
              <w:rPr>
                <w:rFonts w:ascii="仿宋_GB2312" w:eastAsia="仿宋_GB2312" w:hAnsi="仿宋_GB2312" w:cs="仿宋_GB2312"/>
                <w:sz w:val="32"/>
                <w:szCs w:val="32"/>
              </w:rPr>
            </w:pP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spacing w:line="560" w:lineRule="exact"/>
              <w:jc w:val="center"/>
              <w:rPr>
                <w:rFonts w:ascii="仿宋_GB2312" w:eastAsia="仿宋_GB2312" w:hAnsi="仿宋_GB2312" w:cs="仿宋_GB2312"/>
                <w:sz w:val="32"/>
                <w:szCs w:val="32"/>
              </w:rPr>
            </w:pPr>
          </w:p>
        </w:tc>
      </w:tr>
      <w:tr w:rsidR="00613EBB" w:rsidRPr="0069014F">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色温</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r>
      <w:tr w:rsidR="00613EBB" w:rsidRPr="0069014F">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色容差</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r>
      <w:tr w:rsidR="00613EBB" w:rsidRPr="0069014F">
        <w:trPr>
          <w:trHeight w:val="238"/>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显色指数</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r>
      <w:tr w:rsidR="00613EBB" w:rsidRPr="0069014F">
        <w:trPr>
          <w:trHeight w:val="184"/>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2</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pPr>
            <w:r w:rsidRPr="0069014F">
              <w:rPr>
                <w:rFonts w:ascii="仿宋_GB2312" w:eastAsia="仿宋_GB2312" w:hAnsi="仿宋_GB2312" w:cs="仿宋_GB2312" w:hint="eastAsia"/>
                <w:kern w:val="0"/>
                <w:sz w:val="32"/>
                <w:szCs w:val="32"/>
              </w:rPr>
              <w:t>电参数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电压</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56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56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r>
      <w:tr w:rsidR="00613EBB" w:rsidRPr="0069014F">
        <w:trPr>
          <w:trHeight w:val="184"/>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电流</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r>
      <w:tr w:rsidR="00613EBB" w:rsidRPr="0069014F">
        <w:trPr>
          <w:trHeight w:val="184"/>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功率</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r>
      <w:tr w:rsidR="00613EBB" w:rsidRPr="0069014F">
        <w:trPr>
          <w:trHeight w:val="282"/>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3</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光度参数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半峰发散角</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56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560" w:lineRule="exact"/>
              <w:jc w:val="center"/>
              <w:textAlignment w:val="center"/>
              <w:rPr>
                <w:rFonts w:ascii="仿宋_GB2312" w:eastAsia="仿宋_GB2312" w:hAnsi="仿宋_GB2312" w:cs="仿宋_GB2312"/>
                <w:sz w:val="32"/>
                <w:szCs w:val="32"/>
              </w:rPr>
            </w:pPr>
          </w:p>
        </w:tc>
      </w:tr>
      <w:tr w:rsidR="00613EBB" w:rsidRPr="0069014F">
        <w:trPr>
          <w:trHeight w:val="282"/>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613EB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整灯光效</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613EBB" w:rsidRPr="0069014F" w:rsidRDefault="00D679E8">
            <w:pPr>
              <w:widowControl/>
              <w:spacing w:line="480" w:lineRule="exact"/>
              <w:jc w:val="center"/>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sz w:val="32"/>
                <w:szCs w:val="32"/>
              </w:rPr>
              <w:t>√</w:t>
            </w:r>
          </w:p>
        </w:tc>
      </w:tr>
    </w:tbl>
    <w:p w:rsidR="00613EBB" w:rsidRPr="0069014F" w:rsidRDefault="00D679E8">
      <w:pPr>
        <w:rPr>
          <w:rFonts w:ascii="仿宋_GB2312" w:eastAsia="仿宋_GB2312" w:hAnsi="仿宋_GB2312" w:cs="仿宋_GB2312"/>
          <w:b/>
          <w:bCs/>
          <w:sz w:val="32"/>
          <w:szCs w:val="32"/>
        </w:rPr>
      </w:pPr>
      <w:r w:rsidRPr="0069014F">
        <w:rPr>
          <w:rFonts w:ascii="仿宋_GB2312" w:eastAsia="仿宋_GB2312" w:hAnsi="仿宋_GB2312" w:cs="仿宋_GB2312" w:hint="eastAsia"/>
          <w:b/>
          <w:bCs/>
          <w:sz w:val="32"/>
          <w:szCs w:val="32"/>
        </w:rPr>
        <w:br w:type="page"/>
      </w:r>
    </w:p>
    <w:p w:rsidR="00613EBB" w:rsidRPr="0069014F" w:rsidRDefault="00D679E8">
      <w:pPr>
        <w:numPr>
          <w:ilvl w:val="0"/>
          <w:numId w:val="12"/>
        </w:numPr>
        <w:spacing w:line="560" w:lineRule="exact"/>
        <w:ind w:firstLineChars="200" w:firstLine="643"/>
        <w:rPr>
          <w:rFonts w:ascii="仿宋_GB2312" w:eastAsia="仿宋_GB2312" w:hAnsi="仿宋_GB2312" w:cs="仿宋_GB2312"/>
          <w:b/>
          <w:bCs/>
          <w:color w:val="000000" w:themeColor="text1"/>
          <w:sz w:val="32"/>
          <w:szCs w:val="32"/>
        </w:rPr>
      </w:pPr>
      <w:r w:rsidRPr="0069014F">
        <w:rPr>
          <w:rFonts w:ascii="仿宋_GB2312" w:eastAsia="仿宋_GB2312" w:hAnsi="仿宋_GB2312" w:cs="仿宋_GB2312" w:hint="eastAsia"/>
          <w:b/>
          <w:bCs/>
          <w:color w:val="000000" w:themeColor="text1"/>
          <w:sz w:val="32"/>
          <w:szCs w:val="32"/>
        </w:rPr>
        <w:lastRenderedPageBreak/>
        <w:t>质保期期间灯具其他抽检项目</w:t>
      </w:r>
      <w:bookmarkEnd w:id="19"/>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613EBB" w:rsidRPr="0069014F">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spacing w:line="560" w:lineRule="exact"/>
              <w:jc w:val="center"/>
              <w:rPr>
                <w:rFonts w:ascii="仿宋_GB2312" w:eastAsia="仿宋_GB2312" w:hAnsi="仿宋_GB2312" w:cs="仿宋_GB2312"/>
                <w:b/>
                <w:sz w:val="32"/>
                <w:szCs w:val="32"/>
              </w:rPr>
            </w:pPr>
            <w:r w:rsidRPr="0069014F">
              <w:rPr>
                <w:rFonts w:ascii="仿宋_GB2312" w:eastAsia="仿宋_GB2312" w:hAnsi="仿宋_GB2312" w:cs="仿宋_GB2312" w:hint="eastAsia"/>
                <w:b/>
                <w:bCs/>
                <w:sz w:val="32"/>
                <w:szCs w:val="32"/>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spacing w:line="560" w:lineRule="exact"/>
              <w:jc w:val="center"/>
              <w:rPr>
                <w:rFonts w:ascii="仿宋_GB2312" w:eastAsia="仿宋_GB2312" w:hAnsi="仿宋_GB2312" w:cs="仿宋_GB2312"/>
                <w:b/>
                <w:sz w:val="32"/>
                <w:szCs w:val="32"/>
              </w:rPr>
            </w:pPr>
            <w:r w:rsidRPr="0069014F">
              <w:rPr>
                <w:rFonts w:ascii="仿宋_GB2312" w:eastAsia="仿宋_GB2312" w:hAnsi="仿宋_GB2312" w:cs="仿宋_GB2312" w:hint="eastAsia"/>
                <w:b/>
                <w:bCs/>
                <w:sz w:val="32"/>
                <w:szCs w:val="32"/>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560" w:lineRule="exact"/>
              <w:jc w:val="center"/>
              <w:textAlignment w:val="center"/>
              <w:rPr>
                <w:rFonts w:ascii="仿宋_GB2312" w:eastAsia="仿宋_GB2312" w:hAnsi="仿宋_GB2312" w:cs="仿宋_GB2312"/>
                <w:b/>
                <w:sz w:val="32"/>
                <w:szCs w:val="32"/>
              </w:rPr>
            </w:pPr>
            <w:r w:rsidRPr="0069014F">
              <w:rPr>
                <w:rFonts w:ascii="仿宋_GB2312" w:eastAsia="仿宋_GB2312" w:hAnsi="仿宋_GB2312" w:cs="仿宋_GB2312" w:hint="eastAsia"/>
                <w:b/>
                <w:bCs/>
                <w:sz w:val="32"/>
                <w:szCs w:val="32"/>
              </w:rPr>
              <w:t>检测项目</w:t>
            </w:r>
          </w:p>
        </w:tc>
      </w:tr>
      <w:tr w:rsidR="00613EBB" w:rsidRPr="0069014F">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必须采用高压铸铝合金、拉伸铝合金、以及304不锈钢等材质。</w:t>
            </w:r>
          </w:p>
        </w:tc>
      </w:tr>
      <w:tr w:rsidR="00613EBB" w:rsidRPr="0069014F">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613EBB" w:rsidRPr="0069014F" w:rsidRDefault="00613EBB">
            <w:pPr>
              <w:widowControl/>
              <w:spacing w:line="480" w:lineRule="exact"/>
              <w:jc w:val="center"/>
              <w:textAlignment w:val="center"/>
              <w:rPr>
                <w:rFonts w:ascii="仿宋_GB2312" w:eastAsia="仿宋_GB2312" w:hAnsi="仿宋_GB2312" w:cs="仿宋_GB2312"/>
                <w:kern w:val="0"/>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高处安装的灯具，必须配备防坠落装置（含防坠落钢丝绳）。</w:t>
            </w:r>
          </w:p>
        </w:tc>
      </w:tr>
      <w:tr w:rsidR="00613EBB" w:rsidRPr="0069014F">
        <w:trPr>
          <w:trHeight w:val="536"/>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2</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灯具（</w:t>
            </w:r>
            <w:r w:rsidRPr="0069014F">
              <w:rPr>
                <w:rFonts w:ascii="微软雅黑" w:eastAsia="微软雅黑" w:hAnsi="微软雅黑" w:cs="微软雅黑" w:hint="eastAsia"/>
                <w:kern w:val="0"/>
                <w:sz w:val="32"/>
                <w:szCs w:val="32"/>
              </w:rPr>
              <w:t>&gt;</w:t>
            </w:r>
            <w:r w:rsidRPr="0069014F">
              <w:rPr>
                <w:rFonts w:ascii="仿宋_GB2312" w:eastAsia="仿宋_GB2312" w:hAnsi="仿宋_GB2312" w:cs="仿宋_GB2312" w:hint="eastAsia"/>
                <w:kern w:val="0"/>
                <w:sz w:val="32"/>
                <w:szCs w:val="32"/>
              </w:rPr>
              <w:t>30W）必须有防水接头。</w:t>
            </w:r>
          </w:p>
        </w:tc>
      </w:tr>
      <w:tr w:rsidR="00613EBB" w:rsidRPr="0069014F">
        <w:trPr>
          <w:trHeight w:val="445"/>
          <w:jc w:val="center"/>
        </w:trPr>
        <w:tc>
          <w:tcPr>
            <w:tcW w:w="488" w:type="dxa"/>
            <w:vMerge/>
            <w:tcBorders>
              <w:left w:val="single" w:sz="4" w:space="0" w:color="000000"/>
              <w:right w:val="single" w:sz="4" w:space="0" w:color="000000"/>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right w:val="single" w:sz="4" w:space="0" w:color="000000"/>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灯具（</w:t>
            </w:r>
            <w:r w:rsidRPr="0069014F">
              <w:rPr>
                <w:rFonts w:ascii="微软雅黑" w:eastAsia="微软雅黑" w:hAnsi="微软雅黑" w:cs="微软雅黑" w:hint="eastAsia"/>
                <w:kern w:val="0"/>
                <w:sz w:val="32"/>
                <w:szCs w:val="32"/>
              </w:rPr>
              <w:t>&gt;</w:t>
            </w:r>
            <w:r w:rsidRPr="0069014F">
              <w:rPr>
                <w:rFonts w:ascii="仿宋_GB2312" w:eastAsia="仿宋_GB2312" w:hAnsi="仿宋_GB2312" w:cs="仿宋_GB2312" w:hint="eastAsia"/>
                <w:kern w:val="0"/>
                <w:sz w:val="32"/>
                <w:szCs w:val="32"/>
              </w:rPr>
              <w:t>30W）引出线（线芯）线径必须</w:t>
            </w:r>
            <w:r w:rsidRPr="0069014F">
              <w:rPr>
                <w:rFonts w:ascii="宋体" w:eastAsia="宋体" w:hAnsi="宋体" w:cs="宋体" w:hint="eastAsia"/>
                <w:kern w:val="0"/>
                <w:sz w:val="32"/>
                <w:szCs w:val="32"/>
              </w:rPr>
              <w:t>≥</w:t>
            </w:r>
            <w:r w:rsidRPr="0069014F">
              <w:rPr>
                <w:rFonts w:ascii="仿宋_GB2312" w:eastAsia="仿宋_GB2312" w:hAnsi="仿宋_GB2312" w:cs="仿宋_GB2312" w:hint="eastAsia"/>
                <w:kern w:val="0"/>
                <w:sz w:val="32"/>
                <w:szCs w:val="32"/>
              </w:rPr>
              <w:t>1.5mm²。</w:t>
            </w:r>
          </w:p>
        </w:tc>
      </w:tr>
      <w:tr w:rsidR="00613EBB" w:rsidRPr="0069014F">
        <w:trPr>
          <w:trHeight w:val="445"/>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接地规定：220V的灯具需检测。</w:t>
            </w:r>
          </w:p>
        </w:tc>
      </w:tr>
      <w:tr w:rsidR="00613EBB" w:rsidRPr="0069014F">
        <w:trPr>
          <w:trHeight w:val="1500"/>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613EBB" w:rsidRPr="0069014F" w:rsidRDefault="00D679E8">
            <w:pPr>
              <w:spacing w:line="48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3</w:t>
            </w:r>
          </w:p>
        </w:tc>
        <w:tc>
          <w:tcPr>
            <w:tcW w:w="1861"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rsidR="00613EBB" w:rsidRPr="0069014F" w:rsidRDefault="00D679E8">
            <w:pPr>
              <w:spacing w:line="480" w:lineRule="exact"/>
              <w:jc w:val="center"/>
              <w:rPr>
                <w:rFonts w:ascii="仿宋_GB2312" w:eastAsia="仿宋_GB2312" w:hAnsi="仿宋_GB2312" w:cs="仿宋_GB2312"/>
                <w:sz w:val="32"/>
                <w:szCs w:val="32"/>
              </w:rPr>
            </w:pPr>
            <w:r w:rsidRPr="0069014F">
              <w:rPr>
                <w:rFonts w:ascii="仿宋_GB2312" w:eastAsia="仿宋_GB2312" w:hAnsi="仿宋_GB2312" w:cs="仿宋_GB2312" w:hint="eastAsia"/>
                <w:sz w:val="32"/>
                <w:szCs w:val="32"/>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kern w:val="0"/>
                <w:sz w:val="32"/>
                <w:szCs w:val="32"/>
              </w:rPr>
            </w:pPr>
            <w:r w:rsidRPr="0069014F">
              <w:rPr>
                <w:rFonts w:ascii="仿宋_GB2312" w:eastAsia="仿宋_GB2312" w:hAnsi="仿宋_GB2312" w:cs="仿宋_GB2312" w:hint="eastAsia"/>
                <w:kern w:val="0"/>
                <w:sz w:val="32"/>
                <w:szCs w:val="32"/>
              </w:rPr>
              <w:t>防雷击、防静电能力、电磁干扰、灯具外壳温升、芯片引脚温升等。</w:t>
            </w:r>
          </w:p>
        </w:tc>
      </w:tr>
      <w:tr w:rsidR="00613EBB" w:rsidRPr="0069014F">
        <w:trPr>
          <w:trHeight w:val="357"/>
          <w:jc w:val="center"/>
        </w:trPr>
        <w:tc>
          <w:tcPr>
            <w:tcW w:w="48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4</w:t>
            </w:r>
          </w:p>
        </w:tc>
        <w:tc>
          <w:tcPr>
            <w:tcW w:w="18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3EBB" w:rsidRPr="0069014F" w:rsidRDefault="00D679E8">
            <w:pPr>
              <w:widowControl/>
              <w:spacing w:line="480" w:lineRule="exact"/>
              <w:jc w:val="center"/>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灯具寿命及光衰</w:t>
            </w: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颗粒寿命</w:t>
            </w:r>
            <w:r w:rsidRPr="0069014F">
              <w:rPr>
                <w:rFonts w:ascii="宋体" w:eastAsia="宋体" w:hAnsi="宋体" w:cs="宋体" w:hint="eastAsia"/>
                <w:kern w:val="0"/>
                <w:sz w:val="32"/>
                <w:szCs w:val="32"/>
              </w:rPr>
              <w:t>≥</w:t>
            </w:r>
            <w:r w:rsidRPr="0069014F">
              <w:rPr>
                <w:rFonts w:ascii="仿宋_GB2312" w:eastAsia="仿宋_GB2312" w:hAnsi="仿宋_GB2312" w:cs="仿宋_GB2312" w:hint="eastAsia"/>
                <w:kern w:val="0"/>
                <w:sz w:val="32"/>
                <w:szCs w:val="32"/>
              </w:rPr>
              <w:t>5万小时。</w:t>
            </w:r>
          </w:p>
        </w:tc>
      </w:tr>
      <w:tr w:rsidR="00613EBB" w:rsidRPr="0069014F">
        <w:trPr>
          <w:trHeight w:val="357"/>
          <w:jc w:val="center"/>
        </w:trPr>
        <w:tc>
          <w:tcPr>
            <w:tcW w:w="488"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18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13EBB" w:rsidRPr="0069014F" w:rsidRDefault="00613EB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613EBB" w:rsidRPr="0069014F" w:rsidRDefault="00D679E8">
            <w:pPr>
              <w:widowControl/>
              <w:spacing w:line="480" w:lineRule="exact"/>
              <w:jc w:val="left"/>
              <w:textAlignment w:val="center"/>
              <w:rPr>
                <w:rFonts w:ascii="仿宋_GB2312" w:eastAsia="仿宋_GB2312" w:hAnsi="仿宋_GB2312" w:cs="仿宋_GB2312"/>
                <w:sz w:val="32"/>
                <w:szCs w:val="32"/>
              </w:rPr>
            </w:pPr>
            <w:r w:rsidRPr="0069014F">
              <w:rPr>
                <w:rFonts w:ascii="仿宋_GB2312" w:eastAsia="仿宋_GB2312" w:hAnsi="仿宋_GB2312" w:cs="仿宋_GB2312" w:hint="eastAsia"/>
                <w:kern w:val="0"/>
                <w:sz w:val="32"/>
                <w:szCs w:val="32"/>
              </w:rPr>
              <w:t>灯具光衰符合国标要求。</w:t>
            </w:r>
          </w:p>
        </w:tc>
      </w:tr>
    </w:tbl>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bookmarkStart w:id="22" w:name="_Toc23670"/>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613EBB">
      <w:pPr>
        <w:spacing w:line="560" w:lineRule="exact"/>
        <w:ind w:left="420"/>
        <w:rPr>
          <w:rFonts w:ascii="楷体_GB2312" w:eastAsia="楷体_GB2312" w:hAnsi="楷体_GB2312" w:cs="楷体_GB2312"/>
          <w:b/>
          <w:bCs/>
          <w:color w:val="000000" w:themeColor="text1"/>
          <w:sz w:val="32"/>
          <w:szCs w:val="32"/>
        </w:rPr>
      </w:pPr>
    </w:p>
    <w:p w:rsidR="00613EBB" w:rsidRPr="0069014F" w:rsidRDefault="00D679E8">
      <w:pPr>
        <w:spacing w:line="560" w:lineRule="exact"/>
        <w:ind w:left="420"/>
        <w:rPr>
          <w:rFonts w:ascii="楷体_GB2312" w:eastAsia="楷体_GB2312" w:hAnsi="楷体_GB2312" w:cs="楷体_GB2312"/>
          <w:b/>
          <w:bCs/>
          <w:color w:val="000000" w:themeColor="text1"/>
          <w:sz w:val="32"/>
          <w:szCs w:val="32"/>
        </w:rPr>
      </w:pPr>
      <w:bookmarkStart w:id="23" w:name="_Toc694"/>
      <w:bookmarkEnd w:id="22"/>
      <w:r w:rsidRPr="0069014F">
        <w:rPr>
          <w:rFonts w:ascii="楷体_GB2312" w:eastAsia="楷体_GB2312" w:hAnsi="楷体_GB2312" w:cs="楷体_GB2312" w:hint="eastAsia"/>
          <w:b/>
          <w:bCs/>
          <w:color w:val="000000" w:themeColor="text1"/>
          <w:sz w:val="32"/>
          <w:szCs w:val="32"/>
        </w:rPr>
        <w:lastRenderedPageBreak/>
        <w:t>（五）所有设施运输要求</w:t>
      </w:r>
      <w:bookmarkEnd w:id="23"/>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24" w:name="_Toc28100"/>
      <w:r w:rsidRPr="0069014F">
        <w:rPr>
          <w:rFonts w:ascii="仿宋_GB2312" w:eastAsia="仿宋_GB2312" w:hAnsi="仿宋_GB2312" w:cs="仿宋_GB2312" w:hint="eastAsia"/>
          <w:b/>
          <w:bCs/>
          <w:color w:val="000000" w:themeColor="text1"/>
          <w:sz w:val="32"/>
          <w:szCs w:val="32"/>
        </w:rPr>
        <w:t>1.说明</w:t>
      </w:r>
      <w:bookmarkEnd w:id="24"/>
    </w:p>
    <w:p w:rsidR="00613EBB" w:rsidRPr="0069014F" w:rsidRDefault="00D679E8">
      <w:pPr>
        <w:pStyle w:val="Style2"/>
        <w:snapToGrid w:val="0"/>
        <w:spacing w:line="560" w:lineRule="exact"/>
        <w:ind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613EBB" w:rsidRPr="0069014F" w:rsidRDefault="00D679E8">
      <w:pPr>
        <w:pStyle w:val="Style2"/>
        <w:snapToGrid w:val="0"/>
        <w:spacing w:line="560" w:lineRule="exact"/>
        <w:ind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rsidR="00613EBB" w:rsidRPr="0069014F" w:rsidRDefault="00D679E8">
      <w:pPr>
        <w:spacing w:line="560" w:lineRule="exact"/>
        <w:ind w:firstLineChars="200" w:firstLine="643"/>
        <w:rPr>
          <w:rFonts w:ascii="仿宋_GB2312" w:eastAsia="仿宋_GB2312" w:hAnsi="仿宋_GB2312" w:cs="仿宋_GB2312"/>
          <w:b/>
          <w:bCs/>
          <w:color w:val="000000" w:themeColor="text1"/>
          <w:sz w:val="32"/>
          <w:szCs w:val="32"/>
        </w:rPr>
      </w:pPr>
      <w:bookmarkStart w:id="25" w:name="_Toc5657"/>
      <w:r w:rsidRPr="0069014F">
        <w:rPr>
          <w:rFonts w:ascii="仿宋_GB2312" w:eastAsia="仿宋_GB2312" w:hAnsi="仿宋_GB2312" w:cs="仿宋_GB2312" w:hint="eastAsia"/>
          <w:b/>
          <w:bCs/>
          <w:color w:val="000000" w:themeColor="text1"/>
          <w:sz w:val="32"/>
          <w:szCs w:val="32"/>
        </w:rPr>
        <w:t>2.运输用基本设备及常用材料</w:t>
      </w:r>
      <w:bookmarkEnd w:id="25"/>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(1)行车；(2)叉车；(3)各种规格的胶合板垫木；(4)带塑料保护套的钢丝绳、紧固拉钩套件、花兰螺丝、捆绑器、钢钉；(5)晴纶卷、橡胶板、稻草绳；(6)钢制打包带；(7)发泡塑料（喷塑杆专用）；(8)尼龙绳（用于替代目前喷塑杆包装中使用的草绳）；(9)胶合板配件箱；(10)木料切割机；(11)镀锌螺丝及螺母（用于小部件固定）。</w:t>
      </w:r>
    </w:p>
    <w:p w:rsidR="00613EBB" w:rsidRPr="0069014F" w:rsidRDefault="00D679E8">
      <w:pPr>
        <w:spacing w:line="560" w:lineRule="exact"/>
        <w:ind w:firstLineChars="200" w:firstLine="640"/>
        <w:rPr>
          <w:rFonts w:ascii="仿宋_GB2312" w:eastAsia="仿宋_GB2312" w:hAnsi="仿宋_GB2312" w:cs="仿宋_GB2312"/>
          <w:color w:val="000000" w:themeColor="text1"/>
          <w:sz w:val="32"/>
          <w:szCs w:val="32"/>
        </w:rPr>
      </w:pPr>
      <w:r w:rsidRPr="0069014F">
        <w:rPr>
          <w:rFonts w:ascii="仿宋_GB2312" w:eastAsia="仿宋_GB2312" w:hAnsi="仿宋_GB2312" w:cs="仿宋_GB2312" w:hint="eastAsia"/>
          <w:color w:val="000000" w:themeColor="text1"/>
          <w:sz w:val="32"/>
          <w:szCs w:val="32"/>
        </w:rPr>
        <w:t>在运输、装卸等环节，必须做好成品保护，确保货物完好无损。所有措施费用含在投标报价中。</w:t>
      </w:r>
    </w:p>
    <w:p w:rsidR="00613EBB" w:rsidRPr="0069014F" w:rsidRDefault="00613EBB"/>
    <w:p w:rsidR="00613EBB" w:rsidRPr="0069014F" w:rsidRDefault="00613EBB"/>
    <w:p w:rsidR="00613EBB" w:rsidRPr="0069014F" w:rsidRDefault="00613EBB"/>
    <w:p w:rsidR="00613EBB" w:rsidRPr="0069014F" w:rsidRDefault="00613EBB"/>
    <w:p w:rsidR="00613EBB" w:rsidRPr="0069014F" w:rsidRDefault="00613EBB"/>
    <w:p w:rsidR="00613EBB" w:rsidRPr="0069014F" w:rsidRDefault="00613EBB"/>
    <w:p w:rsidR="00613EBB" w:rsidRPr="0069014F" w:rsidRDefault="00613EBB">
      <w:pPr>
        <w:pStyle w:val="Default"/>
      </w:pPr>
    </w:p>
    <w:p w:rsidR="00613EBB" w:rsidRPr="0069014F" w:rsidRDefault="00613EBB">
      <w:pPr>
        <w:pStyle w:val="Default"/>
      </w:pPr>
    </w:p>
    <w:p w:rsidR="00613EBB" w:rsidRPr="0069014F" w:rsidRDefault="00D679E8">
      <w:pPr>
        <w:spacing w:line="560" w:lineRule="exact"/>
        <w:ind w:left="420"/>
        <w:rPr>
          <w:rFonts w:ascii="黑体" w:eastAsia="黑体" w:hAnsi="黑体" w:cs="黑体"/>
          <w:sz w:val="32"/>
          <w:szCs w:val="32"/>
        </w:rPr>
      </w:pPr>
      <w:bookmarkStart w:id="26" w:name="_Toc24532"/>
      <w:r w:rsidRPr="0069014F">
        <w:rPr>
          <w:rFonts w:ascii="黑体" w:eastAsia="黑体" w:hAnsi="黑体" w:cs="黑体" w:hint="eastAsia"/>
          <w:sz w:val="32"/>
          <w:szCs w:val="32"/>
        </w:rPr>
        <w:lastRenderedPageBreak/>
        <w:t>四、灯具详细参数</w:t>
      </w:r>
    </w:p>
    <w:bookmarkEnd w:id="26"/>
    <w:p w:rsidR="00613EBB" w:rsidRPr="0069014F" w:rsidRDefault="00D679E8">
      <w:pPr>
        <w:rPr>
          <w:rFonts w:ascii="楷体_GB2312" w:eastAsia="楷体_GB2312" w:hAnsi="楷体_GB2312" w:cs="楷体_GB2312"/>
          <w:sz w:val="32"/>
          <w:szCs w:val="32"/>
        </w:rPr>
      </w:pPr>
      <w:r w:rsidRPr="0069014F">
        <w:rPr>
          <w:rFonts w:ascii="楷体_GB2312" w:eastAsia="楷体_GB2312" w:hAnsi="楷体_GB2312" w:cs="楷体_GB2312" w:hint="eastAsia"/>
          <w:sz w:val="32"/>
          <w:szCs w:val="32"/>
        </w:rPr>
        <w:t>（一）30W LED 圆形地埋灯(3000K)</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60"/>
        <w:gridCol w:w="1224"/>
        <w:gridCol w:w="1740"/>
        <w:gridCol w:w="929"/>
        <w:gridCol w:w="55"/>
        <w:gridCol w:w="2010"/>
      </w:tblGrid>
      <w:tr w:rsidR="00613EBB" w:rsidRPr="0069014F">
        <w:trPr>
          <w:trHeight w:val="1800"/>
        </w:trPr>
        <w:tc>
          <w:tcPr>
            <w:tcW w:w="708"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灯具</w:t>
            </w:r>
          </w:p>
        </w:tc>
        <w:tc>
          <w:tcPr>
            <w:tcW w:w="69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外形</w:t>
            </w:r>
          </w:p>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（仅供参考）</w:t>
            </w:r>
          </w:p>
        </w:tc>
        <w:tc>
          <w:tcPr>
            <w:tcW w:w="3592" w:type="pct"/>
            <w:gridSpan w:val="5"/>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noProof/>
                <w:kern w:val="0"/>
                <w:sz w:val="24"/>
              </w:rPr>
              <w:drawing>
                <wp:anchor distT="0" distB="0" distL="114300" distR="114300" simplePos="0" relativeHeight="251661312" behindDoc="0" locked="0" layoutInCell="1" allowOverlap="1">
                  <wp:simplePos x="0" y="0"/>
                  <wp:positionH relativeFrom="column">
                    <wp:posOffset>422910</wp:posOffset>
                  </wp:positionH>
                  <wp:positionV relativeFrom="paragraph">
                    <wp:posOffset>-152400</wp:posOffset>
                  </wp:positionV>
                  <wp:extent cx="2933065" cy="1447800"/>
                  <wp:effectExtent l="0" t="0" r="635" b="0"/>
                  <wp:wrapSquare wrapText="bothSides"/>
                  <wp:docPr id="13" name="图片 1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3"/>
                          <pic:cNvPicPr>
                            <a:picLocks noChangeAspect="1"/>
                          </pic:cNvPicPr>
                        </pic:nvPicPr>
                        <pic:blipFill>
                          <a:blip r:embed="rId9"/>
                          <a:srcRect l="7748" t="19721" r="2854" b="10339"/>
                          <a:stretch>
                            <a:fillRect/>
                          </a:stretch>
                        </pic:blipFill>
                        <pic:spPr>
                          <a:xfrm>
                            <a:off x="0" y="0"/>
                            <a:ext cx="2933065" cy="1447800"/>
                          </a:xfrm>
                          <a:prstGeom prst="rect">
                            <a:avLst/>
                          </a:prstGeom>
                        </pic:spPr>
                      </pic:pic>
                    </a:graphicData>
                  </a:graphic>
                </wp:anchor>
              </w:drawing>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尺寸（中标后需现场对接 确定最终尺寸）</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面盖直径（φ1）</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250mm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出光面直径</w:t>
            </w:r>
          </w:p>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（φ2）</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188mm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高度（H）</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115mm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650"/>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预埋筒长度</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120mm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预埋筒内径（底部）</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165mm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±2mm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预埋筒外圈（上口）</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193mm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±2mm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材质</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灯具外壳</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压铸铝灯体；304不锈钢面盖；硅胶胶圈密封；铜镀镍防水接头，304不锈钢紧固螺丝；</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出光面</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10mm钢化玻璃</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1437"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外壳颜色</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面盖为不锈钢拉丝</w:t>
            </w:r>
          </w:p>
        </w:tc>
      </w:tr>
      <w:tr w:rsidR="00613EBB" w:rsidRPr="0069014F">
        <w:trPr>
          <w:trHeight w:val="285"/>
        </w:trPr>
        <w:tc>
          <w:tcPr>
            <w:tcW w:w="70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光学</w:t>
            </w:r>
          </w:p>
        </w:tc>
        <w:tc>
          <w:tcPr>
            <w:tcW w:w="69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半峰发散角</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w:t>
            </w:r>
          </w:p>
        </w:tc>
        <w:tc>
          <w:tcPr>
            <w:tcW w:w="1642" w:type="pct"/>
            <w:gridSpan w:val="3"/>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配光要求</w:t>
            </w:r>
          </w:p>
        </w:tc>
        <w:tc>
          <w:tcPr>
            <w:tcW w:w="1212"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对称配光，含偏配光</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光效</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≥90lm/W</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色温</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3000K±50K</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实际功率</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30W±3W</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电压</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AC220</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防水等级</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IP67</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控制系统</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静态</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lastRenderedPageBreak/>
              <w:t>备注</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提供符合原安装方式的配件，且安装、维修方便，整套灯具需包含预埋件，报价含在灯具中。</w:t>
            </w:r>
          </w:p>
        </w:tc>
      </w:tr>
    </w:tbl>
    <w:p w:rsidR="00613EBB" w:rsidRPr="0069014F" w:rsidRDefault="00613EBB">
      <w:pPr>
        <w:pStyle w:val="Default"/>
        <w:rPr>
          <w:rFonts w:eastAsiaTheme="minorEastAsia"/>
          <w:color w:val="auto"/>
        </w:rPr>
      </w:pPr>
    </w:p>
    <w:p w:rsidR="00613EBB" w:rsidRPr="0069014F" w:rsidRDefault="00613EBB">
      <w:pPr>
        <w:pStyle w:val="Default"/>
        <w:rPr>
          <w:rFonts w:eastAsiaTheme="minorEastAsia"/>
          <w:color w:val="auto"/>
        </w:rPr>
      </w:pPr>
    </w:p>
    <w:p w:rsidR="00613EBB" w:rsidRPr="0069014F" w:rsidRDefault="00D679E8">
      <w:pPr>
        <w:rPr>
          <w:rFonts w:ascii="楷体_GB2312" w:eastAsia="楷体_GB2312" w:hAnsi="楷体_GB2312" w:cs="楷体_GB2312"/>
          <w:sz w:val="32"/>
          <w:szCs w:val="32"/>
        </w:rPr>
      </w:pPr>
      <w:r w:rsidRPr="0069014F">
        <w:rPr>
          <w:rFonts w:ascii="楷体_GB2312" w:eastAsia="楷体_GB2312" w:hAnsi="楷体_GB2312" w:cs="楷体_GB2312" w:hint="eastAsia"/>
          <w:sz w:val="32"/>
          <w:szCs w:val="32"/>
        </w:rPr>
        <w:t>（二）15W LED 圆形地埋灯(3000K)</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160"/>
        <w:gridCol w:w="1224"/>
        <w:gridCol w:w="1740"/>
        <w:gridCol w:w="929"/>
        <w:gridCol w:w="55"/>
        <w:gridCol w:w="2010"/>
      </w:tblGrid>
      <w:tr w:rsidR="00613EBB" w:rsidRPr="0069014F">
        <w:trPr>
          <w:trHeight w:val="1800"/>
        </w:trPr>
        <w:tc>
          <w:tcPr>
            <w:tcW w:w="708"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灯具</w:t>
            </w:r>
          </w:p>
        </w:tc>
        <w:tc>
          <w:tcPr>
            <w:tcW w:w="69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外形</w:t>
            </w:r>
          </w:p>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（仅供参考）</w:t>
            </w:r>
          </w:p>
        </w:tc>
        <w:tc>
          <w:tcPr>
            <w:tcW w:w="3592" w:type="pct"/>
            <w:gridSpan w:val="5"/>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noProof/>
                <w:kern w:val="0"/>
                <w:sz w:val="24"/>
              </w:rPr>
              <w:drawing>
                <wp:anchor distT="0" distB="0" distL="114300" distR="114300" simplePos="0" relativeHeight="251662336" behindDoc="0" locked="0" layoutInCell="1" allowOverlap="1">
                  <wp:simplePos x="0" y="0"/>
                  <wp:positionH relativeFrom="column">
                    <wp:posOffset>422910</wp:posOffset>
                  </wp:positionH>
                  <wp:positionV relativeFrom="paragraph">
                    <wp:posOffset>-152400</wp:posOffset>
                  </wp:positionV>
                  <wp:extent cx="2933065" cy="1447800"/>
                  <wp:effectExtent l="0" t="0" r="635" b="0"/>
                  <wp:wrapSquare wrapText="bothSides"/>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9"/>
                          <a:srcRect l="7748" t="19721" r="2854" b="10339"/>
                          <a:stretch>
                            <a:fillRect/>
                          </a:stretch>
                        </pic:blipFill>
                        <pic:spPr>
                          <a:xfrm>
                            <a:off x="0" y="0"/>
                            <a:ext cx="2933065" cy="1447800"/>
                          </a:xfrm>
                          <a:prstGeom prst="rect">
                            <a:avLst/>
                          </a:prstGeom>
                        </pic:spPr>
                      </pic:pic>
                    </a:graphicData>
                  </a:graphic>
                </wp:anchor>
              </w:drawing>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尺寸（中标后需现场对接 确定最终尺寸）</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面盖直径（φ1）</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210mm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出光面直径</w:t>
            </w:r>
          </w:p>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（φ2）</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140mm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高度（H）</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110mm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650"/>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预埋筒长度</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120mm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预埋筒内径（底部）</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155mm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预埋筒外圈（上口）</w:t>
            </w:r>
          </w:p>
        </w:tc>
        <w:tc>
          <w:tcPr>
            <w:tcW w:w="104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195mm</w:t>
            </w:r>
          </w:p>
        </w:tc>
        <w:tc>
          <w:tcPr>
            <w:tcW w:w="560"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允许偏差</w:t>
            </w:r>
          </w:p>
        </w:tc>
        <w:tc>
          <w:tcPr>
            <w:tcW w:w="1245"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±5mm</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val="restar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材质</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灯具外壳</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压铸铝灯体；304不锈钢面盖；硅胶胶圈密封；铜镀镍防水接头，304不锈钢紧固螺丝；</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699"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出光面</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10mm钢化玻璃</w:t>
            </w:r>
          </w:p>
        </w:tc>
      </w:tr>
      <w:tr w:rsidR="00613EBB" w:rsidRPr="0069014F">
        <w:trPr>
          <w:trHeight w:val="285"/>
        </w:trPr>
        <w:tc>
          <w:tcPr>
            <w:tcW w:w="708" w:type="pct"/>
            <w:vMerge/>
            <w:shd w:val="clear" w:color="auto" w:fill="auto"/>
            <w:vAlign w:val="center"/>
          </w:tcPr>
          <w:p w:rsidR="00613EBB" w:rsidRPr="0069014F" w:rsidRDefault="00613EBB">
            <w:pPr>
              <w:widowControl/>
              <w:spacing w:line="340" w:lineRule="exact"/>
              <w:jc w:val="center"/>
              <w:textAlignment w:val="center"/>
              <w:rPr>
                <w:rFonts w:ascii="仿宋_GB2312" w:eastAsia="仿宋_GB2312" w:hAnsi="仿宋_GB2312" w:cs="仿宋_GB2312"/>
                <w:bCs/>
                <w:kern w:val="0"/>
                <w:sz w:val="24"/>
              </w:rPr>
            </w:pPr>
          </w:p>
        </w:tc>
        <w:tc>
          <w:tcPr>
            <w:tcW w:w="1437" w:type="pct"/>
            <w:gridSpan w:val="2"/>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外壳颜色</w:t>
            </w:r>
          </w:p>
        </w:tc>
        <w:tc>
          <w:tcPr>
            <w:tcW w:w="2854" w:type="pct"/>
            <w:gridSpan w:val="4"/>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面盖为不锈钢拉丝</w:t>
            </w:r>
          </w:p>
        </w:tc>
      </w:tr>
      <w:tr w:rsidR="00613EBB" w:rsidRPr="0069014F">
        <w:trPr>
          <w:trHeight w:val="285"/>
        </w:trPr>
        <w:tc>
          <w:tcPr>
            <w:tcW w:w="70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光学</w:t>
            </w:r>
          </w:p>
        </w:tc>
        <w:tc>
          <w:tcPr>
            <w:tcW w:w="699"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半峰发散角</w:t>
            </w:r>
          </w:p>
        </w:tc>
        <w:tc>
          <w:tcPr>
            <w:tcW w:w="738"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w:t>
            </w:r>
          </w:p>
        </w:tc>
        <w:tc>
          <w:tcPr>
            <w:tcW w:w="1642" w:type="pct"/>
            <w:gridSpan w:val="3"/>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配光要求</w:t>
            </w:r>
          </w:p>
        </w:tc>
        <w:tc>
          <w:tcPr>
            <w:tcW w:w="1212" w:type="pct"/>
            <w:shd w:val="clear" w:color="auto" w:fill="auto"/>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对称配光，含偏配光</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光效</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≥90lm/W</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色温</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3000K±50K</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实际功率</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15W±1.5W</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电压</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AC220</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lastRenderedPageBreak/>
              <w:t>防水等级</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IP67</w:t>
            </w:r>
          </w:p>
        </w:tc>
      </w:tr>
      <w:tr w:rsidR="00613EBB" w:rsidRPr="0069014F">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控制系统</w:t>
            </w:r>
          </w:p>
        </w:tc>
        <w:tc>
          <w:tcPr>
            <w:tcW w:w="3592" w:type="pct"/>
            <w:gridSpan w:val="5"/>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静态</w:t>
            </w:r>
          </w:p>
        </w:tc>
      </w:tr>
      <w:tr w:rsidR="00613EBB">
        <w:trPr>
          <w:trHeight w:val="90"/>
        </w:trPr>
        <w:tc>
          <w:tcPr>
            <w:tcW w:w="1407" w:type="pct"/>
            <w:gridSpan w:val="2"/>
            <w:vAlign w:val="center"/>
          </w:tcPr>
          <w:p w:rsidR="00613EBB" w:rsidRPr="0069014F"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备注</w:t>
            </w:r>
          </w:p>
        </w:tc>
        <w:tc>
          <w:tcPr>
            <w:tcW w:w="3592" w:type="pct"/>
            <w:gridSpan w:val="5"/>
            <w:vAlign w:val="center"/>
          </w:tcPr>
          <w:p w:rsidR="00613EBB" w:rsidRDefault="00D679E8">
            <w:pPr>
              <w:widowControl/>
              <w:spacing w:line="340" w:lineRule="exact"/>
              <w:jc w:val="center"/>
              <w:textAlignment w:val="center"/>
              <w:rPr>
                <w:rFonts w:ascii="仿宋_GB2312" w:eastAsia="仿宋_GB2312" w:hAnsi="仿宋_GB2312" w:cs="仿宋_GB2312"/>
                <w:bCs/>
                <w:kern w:val="0"/>
                <w:sz w:val="24"/>
              </w:rPr>
            </w:pPr>
            <w:r w:rsidRPr="0069014F">
              <w:rPr>
                <w:rFonts w:ascii="仿宋_GB2312" w:eastAsia="仿宋_GB2312" w:hAnsi="仿宋_GB2312" w:cs="仿宋_GB2312" w:hint="eastAsia"/>
                <w:bCs/>
                <w:kern w:val="0"/>
                <w:sz w:val="24"/>
              </w:rPr>
              <w:t>提供符合原安装方式的配件，且安装、维修方便，报价含在灯具中。整套灯具需包含预埋件。</w:t>
            </w:r>
            <w:bookmarkStart w:id="27" w:name="_GoBack"/>
            <w:bookmarkEnd w:id="27"/>
          </w:p>
        </w:tc>
      </w:tr>
    </w:tbl>
    <w:p w:rsidR="00613EBB" w:rsidRDefault="00613EBB">
      <w:pPr>
        <w:pStyle w:val="Default"/>
        <w:rPr>
          <w:rFonts w:eastAsiaTheme="minorEastAsia"/>
        </w:rPr>
      </w:pPr>
    </w:p>
    <w:sectPr w:rsidR="00613E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9E8" w:rsidRDefault="00D679E8" w:rsidP="00D679E8">
      <w:r>
        <w:separator/>
      </w:r>
    </w:p>
  </w:endnote>
  <w:endnote w:type="continuationSeparator" w:id="0">
    <w:p w:rsidR="00D679E8" w:rsidRDefault="00D679E8" w:rsidP="00D6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9E8" w:rsidRDefault="00D679E8" w:rsidP="00D679E8">
      <w:r>
        <w:separator/>
      </w:r>
    </w:p>
  </w:footnote>
  <w:footnote w:type="continuationSeparator" w:id="0">
    <w:p w:rsidR="00D679E8" w:rsidRDefault="00D679E8" w:rsidP="00D67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1" w15:restartNumberingAfterBreak="0">
    <w:nsid w:val="BEC569CD"/>
    <w:multiLevelType w:val="singleLevel"/>
    <w:tmpl w:val="BEC569CD"/>
    <w:lvl w:ilvl="0">
      <w:start w:val="1"/>
      <w:numFmt w:val="decimal"/>
      <w:lvlText w:val="(%1)"/>
      <w:lvlJc w:val="left"/>
      <w:pPr>
        <w:ind w:left="425" w:hanging="425"/>
      </w:pPr>
      <w:rPr>
        <w:rFonts w:hint="default"/>
      </w:rPr>
    </w:lvl>
  </w:abstractNum>
  <w:abstractNum w:abstractNumId="2" w15:restartNumberingAfterBreak="0">
    <w:nsid w:val="CE8E1EAB"/>
    <w:multiLevelType w:val="multilevel"/>
    <w:tmpl w:val="CE8E1EAB"/>
    <w:lvl w:ilvl="0">
      <w:start w:val="1"/>
      <w:numFmt w:val="chineseCounting"/>
      <w:suff w:val="nothing"/>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decimal"/>
      <w:suff w:val="nothing"/>
      <w:lvlText w:val="（%3）"/>
      <w:lvlJc w:val="left"/>
      <w:pPr>
        <w:ind w:left="0" w:firstLine="420"/>
      </w:pPr>
      <w:rPr>
        <w:rFonts w:hint="eastAsia"/>
      </w:rPr>
    </w:lvl>
    <w:lvl w:ilvl="3">
      <w:start w:val="1"/>
      <w:numFmt w:val="decimalEnclosedCircleChinese"/>
      <w:suff w:val="nothing"/>
      <w:lvlText w:val="%4"/>
      <w:lvlJc w:val="left"/>
      <w:pPr>
        <w:ind w:left="0" w:firstLine="420"/>
      </w:pPr>
      <w:rPr>
        <w:rFonts w:hint="eastAsia"/>
      </w:rPr>
    </w:lvl>
    <w:lvl w:ilvl="4">
      <w:start w:val="1"/>
      <w:numFmt w:val="decimal"/>
      <w:suff w:val="nothing"/>
      <w:lvlText w:val="%5）"/>
      <w:lvlJc w:val="left"/>
      <w:pPr>
        <w:ind w:left="0" w:firstLine="420"/>
      </w:pPr>
      <w:rPr>
        <w:rFonts w:hint="eastAsia"/>
      </w:rPr>
    </w:lvl>
    <w:lvl w:ilvl="5">
      <w:start w:val="1"/>
      <w:numFmt w:val="lowerLetter"/>
      <w:suff w:val="nothing"/>
      <w:lvlText w:val="%6．"/>
      <w:lvlJc w:val="left"/>
      <w:pPr>
        <w:ind w:left="0" w:firstLine="420"/>
      </w:pPr>
      <w:rPr>
        <w:rFonts w:hint="eastAsia"/>
      </w:rPr>
    </w:lvl>
    <w:lvl w:ilvl="6">
      <w:start w:val="1"/>
      <w:numFmt w:val="lowerLetter"/>
      <w:suff w:val="nothing"/>
      <w:lvlText w:val="%7）"/>
      <w:lvlJc w:val="left"/>
      <w:pPr>
        <w:ind w:left="0" w:firstLine="420"/>
      </w:pPr>
      <w:rPr>
        <w:rFonts w:hint="eastAsia"/>
      </w:rPr>
    </w:lvl>
    <w:lvl w:ilvl="7">
      <w:start w:val="1"/>
      <w:numFmt w:val="lowerRoman"/>
      <w:suff w:val="nothing"/>
      <w:lvlText w:val="%8．"/>
      <w:lvlJc w:val="left"/>
      <w:pPr>
        <w:ind w:left="0" w:firstLine="420"/>
      </w:pPr>
      <w:rPr>
        <w:rFonts w:hint="eastAsia"/>
      </w:rPr>
    </w:lvl>
    <w:lvl w:ilvl="8">
      <w:start w:val="1"/>
      <w:numFmt w:val="lowerRoman"/>
      <w:suff w:val="nothing"/>
      <w:lvlText w:val="%9）"/>
      <w:lvlJc w:val="left"/>
      <w:pPr>
        <w:ind w:left="0" w:firstLine="420"/>
      </w:pPr>
      <w:rPr>
        <w:rFonts w:hint="eastAsia"/>
      </w:rPr>
    </w:lvl>
  </w:abstractNum>
  <w:abstractNum w:abstractNumId="3" w15:restartNumberingAfterBreak="0">
    <w:nsid w:val="D2AF975E"/>
    <w:multiLevelType w:val="singleLevel"/>
    <w:tmpl w:val="D2AF975E"/>
    <w:lvl w:ilvl="0">
      <w:start w:val="1"/>
      <w:numFmt w:val="decimal"/>
      <w:lvlText w:val="(%1)"/>
      <w:lvlJc w:val="left"/>
      <w:pPr>
        <w:ind w:left="425" w:hanging="425"/>
      </w:pPr>
      <w:rPr>
        <w:rFonts w:hint="default"/>
      </w:rPr>
    </w:lvl>
  </w:abstractNum>
  <w:abstractNum w:abstractNumId="4" w15:restartNumberingAfterBreak="0">
    <w:nsid w:val="ED0BCBF4"/>
    <w:multiLevelType w:val="singleLevel"/>
    <w:tmpl w:val="ED0BCBF4"/>
    <w:lvl w:ilvl="0">
      <w:start w:val="1"/>
      <w:numFmt w:val="chineseCounting"/>
      <w:suff w:val="nothing"/>
      <w:lvlText w:val="（%1）"/>
      <w:lvlJc w:val="left"/>
      <w:pPr>
        <w:ind w:left="0" w:firstLine="420"/>
      </w:pPr>
      <w:rPr>
        <w:rFonts w:hint="eastAsia"/>
      </w:rPr>
    </w:lvl>
  </w:abstractNum>
  <w:abstractNum w:abstractNumId="5" w15:restartNumberingAfterBreak="0">
    <w:nsid w:val="1EBAD914"/>
    <w:multiLevelType w:val="singleLevel"/>
    <w:tmpl w:val="1EBAD914"/>
    <w:lvl w:ilvl="0">
      <w:start w:val="3"/>
      <w:numFmt w:val="decimal"/>
      <w:lvlText w:val="%1."/>
      <w:lvlJc w:val="left"/>
      <w:pPr>
        <w:tabs>
          <w:tab w:val="left" w:pos="312"/>
        </w:tabs>
      </w:pPr>
    </w:lvl>
  </w:abstractNum>
  <w:abstractNum w:abstractNumId="6" w15:restartNumberingAfterBreak="0">
    <w:nsid w:val="2CA3D927"/>
    <w:multiLevelType w:val="singleLevel"/>
    <w:tmpl w:val="2CA3D927"/>
    <w:lvl w:ilvl="0">
      <w:start w:val="1"/>
      <w:numFmt w:val="chineseCounting"/>
      <w:suff w:val="nothing"/>
      <w:lvlText w:val="（%1）"/>
      <w:lvlJc w:val="left"/>
      <w:pPr>
        <w:ind w:left="0" w:firstLine="420"/>
      </w:pPr>
      <w:rPr>
        <w:rFonts w:hint="eastAsia"/>
      </w:rPr>
    </w:lvl>
  </w:abstractNum>
  <w:abstractNum w:abstractNumId="7" w15:restartNumberingAfterBreak="0">
    <w:nsid w:val="57CB0BB2"/>
    <w:multiLevelType w:val="singleLevel"/>
    <w:tmpl w:val="57CB0BB2"/>
    <w:lvl w:ilvl="0">
      <w:start w:val="1"/>
      <w:numFmt w:val="decimal"/>
      <w:lvlText w:val="(%1)"/>
      <w:lvlJc w:val="left"/>
      <w:pPr>
        <w:ind w:left="425" w:hanging="425"/>
      </w:pPr>
      <w:rPr>
        <w:rFonts w:hint="default"/>
      </w:rPr>
    </w:lvl>
  </w:abstractNum>
  <w:abstractNum w:abstractNumId="8" w15:restartNumberingAfterBreak="0">
    <w:nsid w:val="5FE67837"/>
    <w:multiLevelType w:val="singleLevel"/>
    <w:tmpl w:val="5FE67837"/>
    <w:lvl w:ilvl="0">
      <w:start w:val="1"/>
      <w:numFmt w:val="decimal"/>
      <w:lvlText w:val="(%1)"/>
      <w:lvlJc w:val="left"/>
      <w:pPr>
        <w:ind w:left="425" w:hanging="425"/>
      </w:pPr>
      <w:rPr>
        <w:rFonts w:hint="default"/>
      </w:rPr>
    </w:lvl>
  </w:abstractNum>
  <w:abstractNum w:abstractNumId="9" w15:restartNumberingAfterBreak="0">
    <w:nsid w:val="61363B8F"/>
    <w:multiLevelType w:val="singleLevel"/>
    <w:tmpl w:val="61363B8F"/>
    <w:lvl w:ilvl="0">
      <w:start w:val="1"/>
      <w:numFmt w:val="decimal"/>
      <w:lvlText w:val="(%1)"/>
      <w:lvlJc w:val="left"/>
      <w:pPr>
        <w:ind w:left="425" w:hanging="425"/>
      </w:pPr>
      <w:rPr>
        <w:rFonts w:hint="default"/>
        <w:color w:val="auto"/>
      </w:rPr>
    </w:lvl>
  </w:abstractNum>
  <w:abstractNum w:abstractNumId="10" w15:restartNumberingAfterBreak="0">
    <w:nsid w:val="6C07A860"/>
    <w:multiLevelType w:val="singleLevel"/>
    <w:tmpl w:val="6C07A860"/>
    <w:lvl w:ilvl="0">
      <w:start w:val="1"/>
      <w:numFmt w:val="decimal"/>
      <w:lvlText w:val="(%1)"/>
      <w:lvlJc w:val="left"/>
      <w:pPr>
        <w:ind w:left="425" w:hanging="425"/>
      </w:pPr>
      <w:rPr>
        <w:rFonts w:hint="default"/>
      </w:rPr>
    </w:lvl>
  </w:abstractNum>
  <w:abstractNum w:abstractNumId="11" w15:restartNumberingAfterBreak="0">
    <w:nsid w:val="7FFE60EE"/>
    <w:multiLevelType w:val="singleLevel"/>
    <w:tmpl w:val="7FFE60EE"/>
    <w:lvl w:ilvl="0">
      <w:start w:val="1"/>
      <w:numFmt w:val="decimal"/>
      <w:suff w:val="space"/>
      <w:lvlText w:val="(%1)"/>
      <w:lvlJc w:val="left"/>
    </w:lvl>
  </w:abstractNum>
  <w:num w:numId="1">
    <w:abstractNumId w:val="2"/>
  </w:num>
  <w:num w:numId="2">
    <w:abstractNumId w:val="6"/>
  </w:num>
  <w:num w:numId="3">
    <w:abstractNumId w:val="0"/>
  </w:num>
  <w:num w:numId="4">
    <w:abstractNumId w:val="4"/>
  </w:num>
  <w:num w:numId="5">
    <w:abstractNumId w:val="3"/>
  </w:num>
  <w:num w:numId="6">
    <w:abstractNumId w:val="1"/>
  </w:num>
  <w:num w:numId="7">
    <w:abstractNumId w:val="9"/>
  </w:num>
  <w:num w:numId="8">
    <w:abstractNumId w:val="10"/>
  </w:num>
  <w:num w:numId="9">
    <w:abstractNumId w:val="8"/>
  </w:num>
  <w:num w:numId="10">
    <w:abstractNumId w:val="7"/>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Y4MWY1NDY3OGExMDk2OTkyMjcyNzg4ZjA1OGRjOWYifQ=="/>
  </w:docVars>
  <w:rsids>
    <w:rsidRoot w:val="59764397"/>
    <w:rsid w:val="00613EBB"/>
    <w:rsid w:val="0069014F"/>
    <w:rsid w:val="00D679E8"/>
    <w:rsid w:val="01EA46B0"/>
    <w:rsid w:val="024D3304"/>
    <w:rsid w:val="02FD2ED4"/>
    <w:rsid w:val="03597BFD"/>
    <w:rsid w:val="0366655B"/>
    <w:rsid w:val="03BF720C"/>
    <w:rsid w:val="04131BBB"/>
    <w:rsid w:val="047168CE"/>
    <w:rsid w:val="051B0EC4"/>
    <w:rsid w:val="07844A2E"/>
    <w:rsid w:val="0CFD165C"/>
    <w:rsid w:val="0DCE1532"/>
    <w:rsid w:val="0E05748E"/>
    <w:rsid w:val="0EFE61BA"/>
    <w:rsid w:val="103622E0"/>
    <w:rsid w:val="10CA1238"/>
    <w:rsid w:val="10E934FB"/>
    <w:rsid w:val="10F82492"/>
    <w:rsid w:val="1194159F"/>
    <w:rsid w:val="12226E48"/>
    <w:rsid w:val="124D0556"/>
    <w:rsid w:val="14C441F0"/>
    <w:rsid w:val="160F5722"/>
    <w:rsid w:val="16D24FDB"/>
    <w:rsid w:val="19FE51AE"/>
    <w:rsid w:val="1AE75746"/>
    <w:rsid w:val="1E682698"/>
    <w:rsid w:val="1F5A1721"/>
    <w:rsid w:val="20A12A0A"/>
    <w:rsid w:val="210F5905"/>
    <w:rsid w:val="22D77422"/>
    <w:rsid w:val="232E479A"/>
    <w:rsid w:val="24202E81"/>
    <w:rsid w:val="268918D2"/>
    <w:rsid w:val="285919D0"/>
    <w:rsid w:val="293B2BCF"/>
    <w:rsid w:val="29A85B2B"/>
    <w:rsid w:val="2A9C5BA4"/>
    <w:rsid w:val="2ABA6A28"/>
    <w:rsid w:val="2ACD2ECB"/>
    <w:rsid w:val="2CDE6947"/>
    <w:rsid w:val="2D701990"/>
    <w:rsid w:val="2E9758E7"/>
    <w:rsid w:val="2E9D6506"/>
    <w:rsid w:val="2EAA1A3C"/>
    <w:rsid w:val="3031424E"/>
    <w:rsid w:val="306E7B96"/>
    <w:rsid w:val="310B6BF3"/>
    <w:rsid w:val="312E1C7D"/>
    <w:rsid w:val="316861D4"/>
    <w:rsid w:val="31B77AF2"/>
    <w:rsid w:val="32D90C49"/>
    <w:rsid w:val="33216637"/>
    <w:rsid w:val="33230C8A"/>
    <w:rsid w:val="33AB32FB"/>
    <w:rsid w:val="33B4392F"/>
    <w:rsid w:val="35381FF3"/>
    <w:rsid w:val="354B6EE5"/>
    <w:rsid w:val="366C449A"/>
    <w:rsid w:val="37A76B29"/>
    <w:rsid w:val="38C41932"/>
    <w:rsid w:val="390E2362"/>
    <w:rsid w:val="3B2E621F"/>
    <w:rsid w:val="3CD15B81"/>
    <w:rsid w:val="3D096144"/>
    <w:rsid w:val="3D2C1009"/>
    <w:rsid w:val="3E0C3437"/>
    <w:rsid w:val="3ECF4342"/>
    <w:rsid w:val="3FEB7A28"/>
    <w:rsid w:val="406C1F69"/>
    <w:rsid w:val="41930E66"/>
    <w:rsid w:val="41DC422F"/>
    <w:rsid w:val="41FE7EF8"/>
    <w:rsid w:val="42293D69"/>
    <w:rsid w:val="4229626C"/>
    <w:rsid w:val="425F59DD"/>
    <w:rsid w:val="42AA627B"/>
    <w:rsid w:val="43310202"/>
    <w:rsid w:val="44110F59"/>
    <w:rsid w:val="44230592"/>
    <w:rsid w:val="44501024"/>
    <w:rsid w:val="44964AAC"/>
    <w:rsid w:val="46AA6174"/>
    <w:rsid w:val="47403EFC"/>
    <w:rsid w:val="4833407E"/>
    <w:rsid w:val="48814143"/>
    <w:rsid w:val="48CB25B9"/>
    <w:rsid w:val="48D219D8"/>
    <w:rsid w:val="4AE05B16"/>
    <w:rsid w:val="4BD305C8"/>
    <w:rsid w:val="4BEB56C2"/>
    <w:rsid w:val="4C074664"/>
    <w:rsid w:val="4C672C52"/>
    <w:rsid w:val="4D3A1520"/>
    <w:rsid w:val="4D5E2762"/>
    <w:rsid w:val="4E4C3D2B"/>
    <w:rsid w:val="4E877446"/>
    <w:rsid w:val="509C7606"/>
    <w:rsid w:val="51FA51EC"/>
    <w:rsid w:val="529C0520"/>
    <w:rsid w:val="52A03BD4"/>
    <w:rsid w:val="537137C2"/>
    <w:rsid w:val="53995657"/>
    <w:rsid w:val="5635696C"/>
    <w:rsid w:val="56BA169B"/>
    <w:rsid w:val="56CE59C3"/>
    <w:rsid w:val="573C5DC9"/>
    <w:rsid w:val="57EB3A37"/>
    <w:rsid w:val="586D44A2"/>
    <w:rsid w:val="58D75E75"/>
    <w:rsid w:val="59764397"/>
    <w:rsid w:val="5B082E9B"/>
    <w:rsid w:val="5BDD7C46"/>
    <w:rsid w:val="5C493836"/>
    <w:rsid w:val="5D111612"/>
    <w:rsid w:val="5E594459"/>
    <w:rsid w:val="5E60690D"/>
    <w:rsid w:val="5ECF231B"/>
    <w:rsid w:val="5ED16E83"/>
    <w:rsid w:val="5F256383"/>
    <w:rsid w:val="5FAD3DC3"/>
    <w:rsid w:val="60835328"/>
    <w:rsid w:val="60A40EE0"/>
    <w:rsid w:val="6253652F"/>
    <w:rsid w:val="63134D21"/>
    <w:rsid w:val="634B0A82"/>
    <w:rsid w:val="63C60514"/>
    <w:rsid w:val="63E47698"/>
    <w:rsid w:val="640F0810"/>
    <w:rsid w:val="6410768C"/>
    <w:rsid w:val="64BE2C06"/>
    <w:rsid w:val="66900BB5"/>
    <w:rsid w:val="69080CCA"/>
    <w:rsid w:val="6A6C7ECC"/>
    <w:rsid w:val="6BA56AFF"/>
    <w:rsid w:val="6D68643F"/>
    <w:rsid w:val="6EA30EDF"/>
    <w:rsid w:val="6ED44ED9"/>
    <w:rsid w:val="6ED924EF"/>
    <w:rsid w:val="6EF57311"/>
    <w:rsid w:val="6F0B3590"/>
    <w:rsid w:val="6FBA7E3F"/>
    <w:rsid w:val="70DD196E"/>
    <w:rsid w:val="71B268A8"/>
    <w:rsid w:val="729F2D23"/>
    <w:rsid w:val="72A5093A"/>
    <w:rsid w:val="731618CD"/>
    <w:rsid w:val="7343144B"/>
    <w:rsid w:val="73BA0AB6"/>
    <w:rsid w:val="741F3B8C"/>
    <w:rsid w:val="74534B68"/>
    <w:rsid w:val="74CD0CD8"/>
    <w:rsid w:val="74D268FF"/>
    <w:rsid w:val="766232A1"/>
    <w:rsid w:val="776B5CAF"/>
    <w:rsid w:val="778E6507"/>
    <w:rsid w:val="77922668"/>
    <w:rsid w:val="78D32754"/>
    <w:rsid w:val="79A302E9"/>
    <w:rsid w:val="7BC5771E"/>
    <w:rsid w:val="7BEE6AB8"/>
    <w:rsid w:val="7CB95C9C"/>
    <w:rsid w:val="7D2A3B95"/>
    <w:rsid w:val="7D8F2F72"/>
    <w:rsid w:val="7E5A35A0"/>
    <w:rsid w:val="7E66156B"/>
    <w:rsid w:val="7F290581"/>
    <w:rsid w:val="7F453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8F1A6A06-BE42-4A60-8E1C-3B78212C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Lines="50" w:afterLines="150"/>
      <w:jc w:val="center"/>
      <w:outlineLvl w:val="0"/>
    </w:pPr>
    <w:rPr>
      <w:rFonts w:ascii="Times New Roman" w:hAnsi="Times New Roman" w:cs="Times New Roman"/>
      <w:b/>
      <w:kern w:val="44"/>
      <w:sz w:val="48"/>
      <w:szCs w:val="20"/>
    </w:rPr>
  </w:style>
  <w:style w:type="paragraph" w:styleId="3">
    <w:name w:val="heading 3"/>
    <w:basedOn w:val="a"/>
    <w:next w:val="a"/>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styleId="a3">
    <w:name w:val="header"/>
    <w:basedOn w:val="a"/>
    <w:link w:val="Char"/>
    <w:rsid w:val="00D679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679E8"/>
    <w:rPr>
      <w:rFonts w:asciiTheme="minorHAnsi" w:eastAsiaTheme="minorEastAsia" w:hAnsiTheme="minorHAnsi" w:cstheme="minorBidi"/>
      <w:kern w:val="2"/>
      <w:sz w:val="18"/>
      <w:szCs w:val="18"/>
    </w:rPr>
  </w:style>
  <w:style w:type="paragraph" w:styleId="a4">
    <w:name w:val="footer"/>
    <w:basedOn w:val="a"/>
    <w:link w:val="Char0"/>
    <w:rsid w:val="00D679E8"/>
    <w:pPr>
      <w:tabs>
        <w:tab w:val="center" w:pos="4153"/>
        <w:tab w:val="right" w:pos="8306"/>
      </w:tabs>
      <w:snapToGrid w:val="0"/>
      <w:jc w:val="left"/>
    </w:pPr>
    <w:rPr>
      <w:sz w:val="18"/>
      <w:szCs w:val="18"/>
    </w:rPr>
  </w:style>
  <w:style w:type="character" w:customStyle="1" w:styleId="Char0">
    <w:name w:val="页脚 Char"/>
    <w:basedOn w:val="a0"/>
    <w:link w:val="a4"/>
    <w:rsid w:val="00D679E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3279</Words>
  <Characters>3739</Characters>
  <Application>Microsoft Office Word</Application>
  <DocSecurity>0</DocSecurity>
  <Lines>249</Lines>
  <Paragraphs>250</Paragraphs>
  <ScaleCrop>false</ScaleCrop>
  <Company/>
  <LinksUpToDate>false</LinksUpToDate>
  <CharactersWithSpaces>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yangyic</dc:creator>
  <cp:lastModifiedBy>admin</cp:lastModifiedBy>
  <cp:revision>3</cp:revision>
  <cp:lastPrinted>2023-11-14T01:14:00Z</cp:lastPrinted>
  <dcterms:created xsi:type="dcterms:W3CDTF">2024-01-09T07:35:00Z</dcterms:created>
  <dcterms:modified xsi:type="dcterms:W3CDTF">2024-01-11T06:54:00Z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5F8192C8EEF442F0879CB31C6D5659B4_13</vt:lpwstr>
  </property>
</Properties>
</file>