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wordWrap/>
        <w:overflowPunct/>
        <w:topLinePunct w:val="0"/>
        <w:autoSpaceDE/>
        <w:autoSpaceDN/>
        <w:bidi w:val="0"/>
        <w:spacing w:line="570" w:lineRule="exact"/>
        <w:jc w:val="center"/>
        <w:textAlignment w:val="auto"/>
        <w:rPr>
          <w:rFonts w:hint="eastAsia" w:ascii="Arial Unicode MS" w:hAnsi="Arial Unicode MS" w:eastAsia="Arial Unicode MS" w:cs="Arial Unicode MS"/>
          <w:b w:val="0"/>
          <w:bCs w:val="0"/>
          <w:color w:val="auto"/>
          <w:sz w:val="44"/>
          <w:szCs w:val="44"/>
          <w:highlight w:val="none"/>
        </w:rPr>
      </w:pPr>
      <w:bookmarkStart w:id="0" w:name="_Toc92188479"/>
      <w:r>
        <w:rPr>
          <w:rFonts w:hint="eastAsia" w:ascii="Arial Unicode MS" w:hAnsi="Arial Unicode MS" w:eastAsia="Arial Unicode MS" w:cs="Arial Unicode MS"/>
          <w:b w:val="0"/>
          <w:bCs w:val="0"/>
          <w:color w:val="auto"/>
          <w:sz w:val="44"/>
          <w:szCs w:val="44"/>
          <w:highlight w:val="none"/>
          <w:lang w:val="en-US" w:eastAsia="zh-CN"/>
        </w:rPr>
        <w:t>大庙弄LED庭院灯（卡槽式金箍棒灯型）</w:t>
      </w:r>
      <w:r>
        <w:rPr>
          <w:rFonts w:hint="eastAsia" w:ascii="Arial Unicode MS" w:hAnsi="Arial Unicode MS" w:eastAsia="Arial Unicode MS" w:cs="Arial Unicode MS"/>
          <w:b w:val="0"/>
          <w:bCs w:val="0"/>
          <w:color w:val="auto"/>
          <w:sz w:val="44"/>
          <w:szCs w:val="44"/>
          <w:highlight w:val="none"/>
        </w:rPr>
        <w:t>技术文件</w:t>
      </w:r>
      <w:bookmarkEnd w:id="0"/>
      <w:bookmarkStart w:id="59" w:name="_GoBack"/>
      <w:bookmarkEnd w:id="59"/>
    </w:p>
    <w:p>
      <w:pPr>
        <w:pStyle w:val="4"/>
        <w:pageBreakBefore w:val="0"/>
        <w:kinsoku/>
        <w:wordWrap/>
        <w:overflowPunct/>
        <w:topLinePunct w:val="0"/>
        <w:autoSpaceDE/>
        <w:autoSpaceDN/>
        <w:bidi w:val="0"/>
        <w:spacing w:line="570" w:lineRule="exact"/>
        <w:ind w:left="197" w:leftChars="94" w:right="210" w:firstLine="438" w:firstLineChars="137"/>
        <w:jc w:val="left"/>
        <w:textAlignment w:val="auto"/>
        <w:rPr>
          <w:rFonts w:hint="eastAsia" w:ascii="黑体" w:hAnsi="黑体" w:eastAsia="黑体" w:cs="黑体"/>
          <w:b w:val="0"/>
          <w:bCs/>
          <w:color w:val="auto"/>
          <w:sz w:val="32"/>
          <w:szCs w:val="32"/>
          <w:highlight w:val="none"/>
        </w:rPr>
      </w:pPr>
      <w:bookmarkStart w:id="1" w:name="_Toc92188480"/>
      <w:bookmarkStart w:id="2" w:name="_Toc19004"/>
      <w:r>
        <w:rPr>
          <w:rFonts w:hint="eastAsia" w:ascii="黑体" w:hAnsi="黑体" w:eastAsia="黑体" w:cs="黑体"/>
          <w:b w:val="0"/>
          <w:bCs/>
          <w:color w:val="auto"/>
          <w:sz w:val="32"/>
          <w:szCs w:val="32"/>
          <w:highlight w:val="none"/>
        </w:rPr>
        <w:t>一、灯具清单</w:t>
      </w:r>
      <w:bookmarkEnd w:id="1"/>
      <w:bookmarkEnd w:id="2"/>
    </w:p>
    <w:tbl>
      <w:tblPr>
        <w:tblStyle w:val="8"/>
        <w:tblW w:w="5052" w:type="pct"/>
        <w:jc w:val="center"/>
        <w:tblLayout w:type="fixed"/>
        <w:tblCellMar>
          <w:top w:w="15" w:type="dxa"/>
          <w:left w:w="108" w:type="dxa"/>
          <w:bottom w:w="15" w:type="dxa"/>
          <w:right w:w="108" w:type="dxa"/>
        </w:tblCellMar>
      </w:tblPr>
      <w:tblGrid>
        <w:gridCol w:w="536"/>
        <w:gridCol w:w="1574"/>
        <w:gridCol w:w="809"/>
        <w:gridCol w:w="1009"/>
        <w:gridCol w:w="682"/>
        <w:gridCol w:w="705"/>
        <w:gridCol w:w="413"/>
        <w:gridCol w:w="1191"/>
        <w:gridCol w:w="1693"/>
      </w:tblGrid>
      <w:tr>
        <w:tblPrEx>
          <w:tblCellMar>
            <w:top w:w="15" w:type="dxa"/>
            <w:left w:w="108" w:type="dxa"/>
            <w:bottom w:w="15" w:type="dxa"/>
            <w:right w:w="108" w:type="dxa"/>
          </w:tblCellMar>
        </w:tblPrEx>
        <w:trPr>
          <w:trHeight w:val="365" w:hRule="atLeast"/>
          <w:jc w:val="center"/>
        </w:trPr>
        <w:tc>
          <w:tcPr>
            <w:tcW w:w="311"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序号</w:t>
            </w:r>
          </w:p>
        </w:tc>
        <w:tc>
          <w:tcPr>
            <w:tcW w:w="913"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灯具名称</w:t>
            </w:r>
          </w:p>
        </w:tc>
        <w:tc>
          <w:tcPr>
            <w:tcW w:w="469"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光源</w:t>
            </w:r>
          </w:p>
        </w:tc>
        <w:tc>
          <w:tcPr>
            <w:tcW w:w="585" w:type="pct"/>
            <w:tcBorders>
              <w:top w:val="single" w:color="000000" w:sz="4" w:space="0"/>
              <w:left w:val="single" w:color="000000" w:sz="4" w:space="0"/>
              <w:bottom w:val="single" w:color="000000" w:sz="4" w:space="0"/>
              <w:right w:val="single" w:color="000000"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色温</w:t>
            </w:r>
          </w:p>
        </w:tc>
        <w:tc>
          <w:tcPr>
            <w:tcW w:w="395" w:type="pct"/>
            <w:tcBorders>
              <w:top w:val="single" w:color="000000" w:sz="4" w:space="0"/>
              <w:left w:val="single" w:color="000000" w:sz="4" w:space="0"/>
              <w:bottom w:val="single" w:color="000000" w:sz="4" w:space="0"/>
              <w:right w:val="single" w:color="auto"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功率</w:t>
            </w:r>
          </w:p>
        </w:tc>
        <w:tc>
          <w:tcPr>
            <w:tcW w:w="409" w:type="pct"/>
            <w:tcBorders>
              <w:top w:val="single" w:color="000000" w:sz="4" w:space="0"/>
              <w:left w:val="single" w:color="auto" w:sz="4" w:space="0"/>
              <w:bottom w:val="single" w:color="000000" w:sz="4" w:space="0"/>
              <w:right w:val="single" w:color="auto"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lang w:val="en-US" w:eastAsia="zh-CN"/>
              </w:rPr>
              <w:t>数量</w:t>
            </w:r>
          </w:p>
        </w:tc>
        <w:tc>
          <w:tcPr>
            <w:tcW w:w="239" w:type="pct"/>
            <w:tcBorders>
              <w:top w:val="single" w:color="000000" w:sz="4" w:space="0"/>
              <w:left w:val="single" w:color="auto" w:sz="4" w:space="0"/>
              <w:bottom w:val="single" w:color="000000" w:sz="4" w:space="0"/>
              <w:right w:val="single" w:color="auto"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单位</w:t>
            </w:r>
          </w:p>
        </w:tc>
        <w:tc>
          <w:tcPr>
            <w:tcW w:w="691" w:type="pct"/>
            <w:tcBorders>
              <w:top w:val="single" w:color="000000" w:sz="4" w:space="0"/>
              <w:left w:val="single" w:color="auto" w:sz="4" w:space="0"/>
              <w:bottom w:val="single" w:color="000000" w:sz="4" w:space="0"/>
              <w:right w:val="single" w:color="auto"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lang w:val="en-US" w:eastAsia="zh-CN"/>
              </w:rPr>
              <w:t>预算价（元）</w:t>
            </w:r>
          </w:p>
        </w:tc>
        <w:tc>
          <w:tcPr>
            <w:tcW w:w="982" w:type="pct"/>
            <w:tcBorders>
              <w:top w:val="single" w:color="000000" w:sz="4" w:space="0"/>
              <w:left w:val="single" w:color="auto" w:sz="4" w:space="0"/>
              <w:bottom w:val="single" w:color="000000" w:sz="4" w:space="0"/>
              <w:right w:val="single" w:color="000000" w:sz="4" w:space="0"/>
            </w:tcBorders>
            <w:shd w:val="clear" w:color="auto" w:fill="D9D9D9"/>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材料编码</w:t>
            </w:r>
          </w:p>
        </w:tc>
      </w:tr>
      <w:tr>
        <w:tblPrEx>
          <w:tblCellMar>
            <w:top w:w="15" w:type="dxa"/>
            <w:left w:w="108" w:type="dxa"/>
            <w:bottom w:w="15" w:type="dxa"/>
            <w:right w:w="108" w:type="dxa"/>
          </w:tblCellMar>
        </w:tblPrEx>
        <w:trPr>
          <w:trHeight w:val="779" w:hRule="atLeast"/>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1</w:t>
            </w:r>
          </w:p>
        </w:tc>
        <w:tc>
          <w:tcPr>
            <w:tcW w:w="913"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lang w:val="en-US" w:eastAsia="zh-CN"/>
              </w:rPr>
              <w:t>金箍棒型庭院灯（加卡槽）</w:t>
            </w:r>
          </w:p>
        </w:tc>
        <w:tc>
          <w:tcPr>
            <w:tcW w:w="469"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default"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rPr>
              <w:t>LED</w:t>
            </w:r>
            <w:r>
              <w:rPr>
                <w:rFonts w:hint="eastAsia" w:ascii="仿宋" w:hAnsi="仿宋" w:eastAsia="仿宋" w:cs="仿宋"/>
                <w:color w:val="auto"/>
                <w:kern w:val="0"/>
                <w:sz w:val="30"/>
                <w:szCs w:val="30"/>
                <w:highlight w:val="none"/>
                <w:lang w:val="en-US" w:eastAsia="zh-CN"/>
              </w:rPr>
              <w:t xml:space="preserve">  </w:t>
            </w:r>
          </w:p>
        </w:tc>
        <w:tc>
          <w:tcPr>
            <w:tcW w:w="585"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3000K</w:t>
            </w:r>
          </w:p>
        </w:tc>
        <w:tc>
          <w:tcPr>
            <w:tcW w:w="395" w:type="pct"/>
            <w:tcBorders>
              <w:top w:val="single" w:color="000000" w:sz="4" w:space="0"/>
              <w:left w:val="single" w:color="000000" w:sz="4" w:space="0"/>
              <w:bottom w:val="single" w:color="000000" w:sz="4" w:space="0"/>
              <w:right w:val="single" w:color="auto" w:sz="4" w:space="0"/>
            </w:tcBorders>
            <w:noWrap w:val="0"/>
            <w:vAlign w:val="center"/>
          </w:tcPr>
          <w:p>
            <w:pPr>
              <w:pageBreakBefore w:val="0"/>
              <w:widowControl/>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lang w:val="en-US" w:eastAsia="zh-CN"/>
              </w:rPr>
              <w:t>4</w:t>
            </w:r>
            <w:r>
              <w:rPr>
                <w:rFonts w:hint="eastAsia" w:ascii="仿宋" w:hAnsi="仿宋" w:eastAsia="仿宋" w:cs="仿宋"/>
                <w:color w:val="auto"/>
                <w:kern w:val="0"/>
                <w:sz w:val="30"/>
                <w:szCs w:val="30"/>
                <w:highlight w:val="none"/>
              </w:rPr>
              <w:t>0W</w:t>
            </w:r>
          </w:p>
        </w:tc>
        <w:tc>
          <w:tcPr>
            <w:tcW w:w="409" w:type="pct"/>
            <w:tcBorders>
              <w:top w:val="single" w:color="000000" w:sz="4" w:space="0"/>
              <w:left w:val="single" w:color="auto" w:sz="4" w:space="0"/>
              <w:bottom w:val="single" w:color="000000" w:sz="4" w:space="0"/>
              <w:right w:val="single" w:color="auto" w:sz="4" w:space="0"/>
            </w:tcBorders>
            <w:noWrap w:val="0"/>
            <w:vAlign w:val="center"/>
          </w:tcPr>
          <w:p>
            <w:pPr>
              <w:pageBreakBefore w:val="0"/>
              <w:widowControl/>
              <w:kinsoku/>
              <w:wordWrap/>
              <w:overflowPunct/>
              <w:topLinePunct w:val="0"/>
              <w:autoSpaceDE/>
              <w:autoSpaceDN/>
              <w:bidi w:val="0"/>
              <w:snapToGrid w:val="0"/>
              <w:spacing w:line="570" w:lineRule="exact"/>
              <w:jc w:val="center"/>
              <w:textAlignment w:val="auto"/>
              <w:rPr>
                <w:rFonts w:hint="default"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lang w:val="en-US" w:eastAsia="zh-CN"/>
              </w:rPr>
              <w:t>27</w:t>
            </w:r>
          </w:p>
        </w:tc>
        <w:tc>
          <w:tcPr>
            <w:tcW w:w="239" w:type="pct"/>
            <w:tcBorders>
              <w:top w:val="single" w:color="000000" w:sz="4" w:space="0"/>
              <w:left w:val="single" w:color="auto" w:sz="4" w:space="0"/>
              <w:bottom w:val="single" w:color="000000" w:sz="4" w:space="0"/>
              <w:right w:val="single" w:color="auto" w:sz="4" w:space="0"/>
            </w:tcBorders>
            <w:noWrap w:val="0"/>
            <w:vAlign w:val="center"/>
          </w:tcPr>
          <w:p>
            <w:pPr>
              <w:pageBreakBefore w:val="0"/>
              <w:widowControl/>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0"/>
                <w:sz w:val="30"/>
                <w:szCs w:val="30"/>
                <w:highlight w:val="none"/>
              </w:rPr>
            </w:pPr>
            <w:r>
              <w:rPr>
                <w:rFonts w:hint="eastAsia" w:ascii="仿宋" w:hAnsi="仿宋" w:eastAsia="仿宋" w:cs="仿宋"/>
                <w:color w:val="auto"/>
                <w:kern w:val="0"/>
                <w:sz w:val="30"/>
                <w:szCs w:val="30"/>
                <w:highlight w:val="none"/>
              </w:rPr>
              <w:t>套</w:t>
            </w:r>
          </w:p>
        </w:tc>
        <w:tc>
          <w:tcPr>
            <w:tcW w:w="691" w:type="pct"/>
            <w:tcBorders>
              <w:top w:val="single" w:color="000000" w:sz="4" w:space="0"/>
              <w:left w:val="single" w:color="auto" w:sz="4" w:space="0"/>
              <w:bottom w:val="single" w:color="000000" w:sz="4" w:space="0"/>
              <w:right w:val="single" w:color="auto" w:sz="4" w:space="0"/>
            </w:tcBorders>
            <w:noWrap w:val="0"/>
            <w:vAlign w:val="center"/>
          </w:tcPr>
          <w:p>
            <w:pPr>
              <w:pageBreakBefore w:val="0"/>
              <w:widowControl/>
              <w:kinsoku/>
              <w:wordWrap/>
              <w:overflowPunct/>
              <w:topLinePunct w:val="0"/>
              <w:autoSpaceDE/>
              <w:autoSpaceDN/>
              <w:bidi w:val="0"/>
              <w:snapToGrid w:val="0"/>
              <w:spacing w:line="570" w:lineRule="exact"/>
              <w:jc w:val="center"/>
              <w:textAlignment w:val="auto"/>
              <w:rPr>
                <w:rFonts w:hint="default"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lang w:val="en-US" w:eastAsia="zh-CN"/>
              </w:rPr>
              <w:t>81000</w:t>
            </w:r>
          </w:p>
        </w:tc>
        <w:tc>
          <w:tcPr>
            <w:tcW w:w="982" w:type="pct"/>
            <w:tcBorders>
              <w:top w:val="single" w:color="000000" w:sz="4" w:space="0"/>
              <w:left w:val="single" w:color="auto"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0"/>
                <w:sz w:val="30"/>
                <w:szCs w:val="30"/>
                <w:highlight w:val="none"/>
                <w:lang w:val="en-US" w:eastAsia="zh-CN"/>
              </w:rPr>
            </w:pPr>
            <w:r>
              <w:rPr>
                <w:rFonts w:hint="eastAsia" w:ascii="仿宋" w:hAnsi="仿宋" w:eastAsia="仿宋" w:cs="仿宋"/>
                <w:color w:val="auto"/>
                <w:kern w:val="0"/>
                <w:sz w:val="30"/>
                <w:szCs w:val="30"/>
                <w:highlight w:val="none"/>
              </w:rPr>
              <w:t>0105010657000001</w:t>
            </w:r>
          </w:p>
        </w:tc>
      </w:tr>
      <w:tr>
        <w:tblPrEx>
          <w:tblCellMar>
            <w:top w:w="15" w:type="dxa"/>
            <w:left w:w="108" w:type="dxa"/>
            <w:bottom w:w="15" w:type="dxa"/>
            <w:right w:w="108" w:type="dxa"/>
          </w:tblCellMar>
        </w:tblPrEx>
        <w:trPr>
          <w:trHeight w:val="509" w:hRule="atLeast"/>
          <w:jc w:val="center"/>
        </w:trPr>
        <w:tc>
          <w:tcPr>
            <w:tcW w:w="311" w:type="pct"/>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kinsoku/>
              <w:wordWrap/>
              <w:overflowPunct/>
              <w:topLinePunct w:val="0"/>
              <w:autoSpaceDE/>
              <w:autoSpaceDN/>
              <w:bidi w:val="0"/>
              <w:snapToGrid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备注</w:t>
            </w:r>
          </w:p>
        </w:tc>
        <w:tc>
          <w:tcPr>
            <w:tcW w:w="4688" w:type="pct"/>
            <w:gridSpan w:val="8"/>
            <w:tcBorders>
              <w:top w:val="single" w:color="000000" w:sz="4" w:space="0"/>
              <w:left w:val="single" w:color="000000" w:sz="4" w:space="0"/>
              <w:bottom w:val="single" w:color="000000" w:sz="4" w:space="0"/>
              <w:right w:val="single" w:color="000000" w:sz="4" w:space="0"/>
            </w:tcBorders>
            <w:noWrap w:val="0"/>
            <w:vAlign w:val="center"/>
          </w:tcPr>
          <w:p>
            <w:pPr>
              <w:pageBreakBefore w:val="0"/>
              <w:widowControl/>
              <w:numPr>
                <w:ilvl w:val="0"/>
                <w:numId w:val="1"/>
              </w:numPr>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庭院灯灯头</w:t>
            </w:r>
            <w:r>
              <w:rPr>
                <w:rFonts w:hint="eastAsia" w:ascii="仿宋" w:hAnsi="仿宋" w:eastAsia="仿宋" w:cs="仿宋"/>
                <w:color w:val="auto"/>
                <w:kern w:val="0"/>
                <w:sz w:val="32"/>
                <w:szCs w:val="32"/>
                <w:highlight w:val="none"/>
                <w:lang w:eastAsia="zh-CN"/>
              </w:rPr>
              <w:t>、</w:t>
            </w:r>
            <w:r>
              <w:rPr>
                <w:rFonts w:hint="eastAsia" w:ascii="仿宋" w:hAnsi="仿宋" w:eastAsia="仿宋" w:cs="仿宋"/>
                <w:color w:val="auto"/>
                <w:kern w:val="0"/>
                <w:sz w:val="32"/>
                <w:szCs w:val="32"/>
                <w:highlight w:val="none"/>
              </w:rPr>
              <w:t>灯杆应分别单独报价（报价中含有运输费等所有费用）。</w:t>
            </w:r>
          </w:p>
          <w:p>
            <w:pPr>
              <w:pageBreakBefore w:val="0"/>
              <w:widowControl/>
              <w:numPr>
                <w:ilvl w:val="0"/>
                <w:numId w:val="1"/>
              </w:numPr>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根据成交供应商的成交单价，按实际供货量结算。</w:t>
            </w:r>
          </w:p>
        </w:tc>
      </w:tr>
    </w:tbl>
    <w:p>
      <w:pPr>
        <w:pStyle w:val="4"/>
        <w:pageBreakBefore w:val="0"/>
        <w:kinsoku/>
        <w:wordWrap/>
        <w:overflowPunct/>
        <w:topLinePunct w:val="0"/>
        <w:autoSpaceDE/>
        <w:autoSpaceDN/>
        <w:bidi w:val="0"/>
        <w:spacing w:line="570" w:lineRule="exact"/>
        <w:ind w:left="197" w:leftChars="94" w:right="210" w:firstLine="438" w:firstLineChars="137"/>
        <w:jc w:val="left"/>
        <w:textAlignment w:val="auto"/>
        <w:rPr>
          <w:rFonts w:hint="eastAsia" w:ascii="黑体" w:hAnsi="黑体" w:eastAsia="黑体" w:cs="黑体"/>
          <w:b w:val="0"/>
          <w:bCs/>
          <w:color w:val="auto"/>
          <w:sz w:val="32"/>
          <w:szCs w:val="32"/>
          <w:highlight w:val="none"/>
        </w:rPr>
      </w:pPr>
      <w:bookmarkStart w:id="3" w:name="_Toc92188481"/>
      <w:r>
        <w:rPr>
          <w:rFonts w:hint="eastAsia" w:ascii="黑体" w:hAnsi="黑体" w:eastAsia="黑体" w:cs="黑体"/>
          <w:b w:val="0"/>
          <w:bCs/>
          <w:color w:val="auto"/>
          <w:sz w:val="32"/>
          <w:szCs w:val="32"/>
          <w:highlight w:val="none"/>
        </w:rPr>
        <w:t>二、庭院灯一般要求</w:t>
      </w:r>
      <w:bookmarkEnd w:id="3"/>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楷体" w:hAnsi="楷体" w:eastAsia="楷体" w:cs="楷体"/>
          <w:b w:val="0"/>
          <w:bCs w:val="0"/>
          <w:color w:val="auto"/>
          <w:sz w:val="32"/>
          <w:szCs w:val="32"/>
          <w:highlight w:val="none"/>
        </w:rPr>
      </w:pPr>
      <w:r>
        <w:rPr>
          <w:rFonts w:hint="eastAsia" w:ascii="楷体" w:hAnsi="楷体" w:eastAsia="楷体" w:cs="楷体"/>
          <w:b w:val="0"/>
          <w:bCs w:val="0"/>
          <w:color w:val="auto"/>
          <w:sz w:val="32"/>
          <w:szCs w:val="32"/>
          <w:highlight w:val="none"/>
          <w:lang w:val="en-US" w:eastAsia="zh-CN"/>
        </w:rPr>
        <w:t>1.一</w:t>
      </w:r>
      <w:r>
        <w:rPr>
          <w:rFonts w:hint="eastAsia" w:ascii="楷体" w:hAnsi="楷体" w:eastAsia="楷体" w:cs="楷体"/>
          <w:b w:val="0"/>
          <w:bCs w:val="0"/>
          <w:color w:val="auto"/>
          <w:sz w:val="32"/>
          <w:szCs w:val="32"/>
          <w:highlight w:val="none"/>
        </w:rPr>
        <w:t>般要求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成交后灯具供应阶段，投标人确定的灯具将视情况抽样检测。</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成交后，提供灯具安装说明书。</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成交后，按要求提供灯具实样一套，需进行供货前评审，评审通过后方能供货。</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报价含灯罩出线：出线为BVV3×2.5,长度不小于灯杆高度(2.9米或具体与灯杆同高)。</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每套灯具报价需含一套安装辅材（具体材料清单见图</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图</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）：卡式熔壳（人民电器）、卡式熔芯（上海沪工）</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u w:val="none"/>
          <w:lang w:val="en-US" w:eastAsia="zh-CN"/>
        </w:rPr>
      </w:pPr>
    </w:p>
    <w:p>
      <w:pPr>
        <w:pageBreakBefore w:val="0"/>
        <w:kinsoku/>
        <w:wordWrap/>
        <w:overflowPunct/>
        <w:topLinePunct w:val="0"/>
        <w:autoSpaceDE/>
        <w:autoSpaceDN/>
        <w:bidi w:val="0"/>
        <w:snapToGrid w:val="0"/>
        <w:spacing w:line="240" w:lineRule="auto"/>
        <w:jc w:val="center"/>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drawing>
          <wp:anchor distT="0" distB="0" distL="114300" distR="114300" simplePos="0" relativeHeight="251661312" behindDoc="0" locked="0" layoutInCell="1" allowOverlap="1">
            <wp:simplePos x="0" y="0"/>
            <wp:positionH relativeFrom="column">
              <wp:posOffset>25400</wp:posOffset>
            </wp:positionH>
            <wp:positionV relativeFrom="paragraph">
              <wp:posOffset>75565</wp:posOffset>
            </wp:positionV>
            <wp:extent cx="1964690" cy="1367790"/>
            <wp:effectExtent l="0" t="0" r="3810" b="3810"/>
            <wp:wrapNone/>
            <wp:docPr id="8" name="图片 8" descr="xx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xx3"/>
                    <pic:cNvPicPr>
                      <a:picLocks noChangeAspect="1"/>
                    </pic:cNvPicPr>
                  </pic:nvPicPr>
                  <pic:blipFill>
                    <a:blip r:embed="rId8"/>
                    <a:stretch>
                      <a:fillRect/>
                    </a:stretch>
                  </pic:blipFill>
                  <pic:spPr>
                    <a:xfrm>
                      <a:off x="0" y="0"/>
                      <a:ext cx="1964690" cy="1367790"/>
                    </a:xfrm>
                    <a:prstGeom prst="rect">
                      <a:avLst/>
                    </a:prstGeom>
                  </pic:spPr>
                </pic:pic>
              </a:graphicData>
            </a:graphic>
          </wp:anchor>
        </w:drawing>
      </w: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drawing>
          <wp:anchor distT="0" distB="0" distL="114300" distR="114300" simplePos="0" relativeHeight="251661312" behindDoc="1" locked="0" layoutInCell="1" allowOverlap="1">
            <wp:simplePos x="0" y="0"/>
            <wp:positionH relativeFrom="column">
              <wp:posOffset>2671445</wp:posOffset>
            </wp:positionH>
            <wp:positionV relativeFrom="paragraph">
              <wp:posOffset>305435</wp:posOffset>
            </wp:positionV>
            <wp:extent cx="1823720" cy="565150"/>
            <wp:effectExtent l="0" t="0" r="5080" b="6350"/>
            <wp:wrapNone/>
            <wp:docPr id="4" name="图片 4" descr="XX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XX1"/>
                    <pic:cNvPicPr>
                      <a:picLocks noChangeAspect="1"/>
                    </pic:cNvPicPr>
                  </pic:nvPicPr>
                  <pic:blipFill>
                    <a:blip r:embed="rId9"/>
                    <a:stretch>
                      <a:fillRect/>
                    </a:stretch>
                  </pic:blipFill>
                  <pic:spPr>
                    <a:xfrm>
                      <a:off x="0" y="0"/>
                      <a:ext cx="1823720" cy="565150"/>
                    </a:xfrm>
                    <a:prstGeom prst="rect">
                      <a:avLst/>
                    </a:prstGeom>
                  </pic:spPr>
                </pic:pic>
              </a:graphicData>
            </a:graphic>
          </wp:anchor>
        </w:drawing>
      </w:r>
    </w:p>
    <w:p>
      <w:pPr>
        <w:pageBreakBefore w:val="0"/>
        <w:kinsoku/>
        <w:wordWrap/>
        <w:overflowPunct/>
        <w:topLinePunct w:val="0"/>
        <w:autoSpaceDE/>
        <w:autoSpaceDN/>
        <w:bidi w:val="0"/>
        <w:snapToGrid w:val="0"/>
        <w:spacing w:line="240" w:lineRule="auto"/>
        <w:jc w:val="center"/>
        <w:textAlignment w:val="auto"/>
        <w:rPr>
          <w:rFonts w:hint="eastAsia" w:ascii="仿宋" w:hAnsi="仿宋" w:eastAsia="仿宋" w:cs="仿宋"/>
          <w:color w:val="auto"/>
          <w:sz w:val="32"/>
          <w:szCs w:val="32"/>
          <w:highlight w:val="none"/>
          <w:u w:val="none"/>
          <w:lang w:val="en-US" w:eastAsia="zh-CN"/>
        </w:rPr>
      </w:pPr>
    </w:p>
    <w:p>
      <w:pPr>
        <w:pageBreakBefore w:val="0"/>
        <w:kinsoku/>
        <w:wordWrap/>
        <w:overflowPunct/>
        <w:topLinePunct w:val="0"/>
        <w:autoSpaceDE/>
        <w:autoSpaceDN/>
        <w:bidi w:val="0"/>
        <w:snapToGrid w:val="0"/>
        <w:spacing w:line="570" w:lineRule="exact"/>
        <w:jc w:val="center"/>
        <w:textAlignment w:val="auto"/>
        <w:rPr>
          <w:rFonts w:hint="default"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 xml:space="preserve">        </w:t>
      </w: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u w:val="none"/>
          <w:lang w:val="en-US" w:eastAsia="zh-CN"/>
        </w:rPr>
      </w:pPr>
    </w:p>
    <w:p>
      <w:pPr>
        <w:pageBreakBefore w:val="0"/>
        <w:kinsoku/>
        <w:wordWrap/>
        <w:overflowPunct/>
        <w:topLinePunct w:val="0"/>
        <w:autoSpaceDE/>
        <w:autoSpaceDN/>
        <w:bidi w:val="0"/>
        <w:snapToGrid w:val="0"/>
        <w:spacing w:line="570" w:lineRule="exact"/>
        <w:jc w:val="both"/>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 xml:space="preserve">                              </w:t>
      </w:r>
    </w:p>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lang w:val="en-US" w:eastAsia="zh-CN"/>
        </w:rPr>
        <w:t xml:space="preserve">图1 </w:t>
      </w:r>
      <w:r>
        <w:rPr>
          <w:rFonts w:hint="eastAsia" w:ascii="仿宋" w:hAnsi="仿宋" w:eastAsia="仿宋" w:cs="仿宋"/>
          <w:color w:val="auto"/>
          <w:sz w:val="28"/>
          <w:szCs w:val="28"/>
          <w:highlight w:val="none"/>
          <w:u w:val="none"/>
          <w:lang w:val="en-US" w:eastAsia="zh-CN"/>
        </w:rPr>
        <w:t>面板、8×25螺丝、D8弹簧垫、D8螺母、卡式熔壳、卡式熔芯</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240" w:lineRule="auto"/>
        <w:ind w:firstLine="640" w:firstLineChars="200"/>
        <w:jc w:val="left"/>
        <w:textAlignment w:val="auto"/>
        <w:rPr>
          <w:rFonts w:hint="eastAsia" w:ascii="仿宋" w:hAnsi="仿宋" w:eastAsia="仿宋" w:cs="仿宋"/>
          <w:color w:val="auto"/>
          <w:sz w:val="32"/>
          <w:szCs w:val="32"/>
          <w:highlight w:val="none"/>
          <w:u w:val="single"/>
          <w:lang w:val="en-US" w:eastAsia="zh-CN"/>
        </w:rPr>
      </w:pPr>
      <w:r>
        <w:rPr>
          <w:rFonts w:hint="eastAsia" w:ascii="仿宋" w:hAnsi="仿宋" w:eastAsia="仿宋" w:cs="仿宋"/>
          <w:color w:val="auto"/>
          <w:sz w:val="32"/>
          <w:szCs w:val="32"/>
          <w:highlight w:val="none"/>
          <w:u w:val="single"/>
          <w:lang w:val="en-US" w:eastAsia="zh-CN"/>
        </w:rPr>
        <w:drawing>
          <wp:anchor distT="0" distB="0" distL="114300" distR="114300" simplePos="0" relativeHeight="251662336" behindDoc="0" locked="0" layoutInCell="1" allowOverlap="1">
            <wp:simplePos x="0" y="0"/>
            <wp:positionH relativeFrom="column">
              <wp:posOffset>1376680</wp:posOffset>
            </wp:positionH>
            <wp:positionV relativeFrom="paragraph">
              <wp:posOffset>107315</wp:posOffset>
            </wp:positionV>
            <wp:extent cx="1810385" cy="2407285"/>
            <wp:effectExtent l="0" t="0" r="0" b="0"/>
            <wp:wrapNone/>
            <wp:docPr id="1" name="图片 1"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
                    <pic:cNvPicPr>
                      <a:picLocks noChangeAspect="1"/>
                    </pic:cNvPicPr>
                  </pic:nvPicPr>
                  <pic:blipFill>
                    <a:blip r:embed="rId10"/>
                    <a:stretch>
                      <a:fillRect/>
                    </a:stretch>
                  </pic:blipFill>
                  <pic:spPr>
                    <a:xfrm>
                      <a:off x="0" y="0"/>
                      <a:ext cx="1810385" cy="2407285"/>
                    </a:xfrm>
                    <a:prstGeom prst="rect">
                      <a:avLst/>
                    </a:prstGeom>
                  </pic:spPr>
                </pic:pic>
              </a:graphicData>
            </a:graphic>
          </wp:anchor>
        </w:drawing>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240" w:lineRule="auto"/>
        <w:ind w:firstLine="640" w:firstLineChars="200"/>
        <w:jc w:val="left"/>
        <w:textAlignment w:val="auto"/>
        <w:rPr>
          <w:rFonts w:hint="eastAsia"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570" w:lineRule="exact"/>
        <w:ind w:firstLine="640" w:firstLineChars="200"/>
        <w:jc w:val="left"/>
        <w:textAlignment w:val="auto"/>
        <w:rPr>
          <w:rFonts w:hint="default"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570" w:lineRule="exact"/>
        <w:ind w:firstLine="640" w:firstLineChars="200"/>
        <w:jc w:val="left"/>
        <w:textAlignment w:val="auto"/>
        <w:rPr>
          <w:rFonts w:hint="default" w:ascii="仿宋" w:hAnsi="仿宋" w:eastAsia="仿宋" w:cs="仿宋"/>
          <w:color w:val="auto"/>
          <w:sz w:val="32"/>
          <w:szCs w:val="32"/>
          <w:highlight w:val="none"/>
          <w:u w:val="single"/>
          <w:lang w:val="en-US" w:eastAsia="zh-CN"/>
        </w:rPr>
      </w:pPr>
    </w:p>
    <w:p>
      <w:pPr>
        <w:pageBreakBefore w:val="0"/>
        <w:kinsoku/>
        <w:wordWrap/>
        <w:overflowPunct/>
        <w:topLinePunct w:val="0"/>
        <w:autoSpaceDE/>
        <w:autoSpaceDN/>
        <w:bidi w:val="0"/>
        <w:spacing w:line="570" w:lineRule="exact"/>
        <w:ind w:firstLine="560" w:firstLineChars="200"/>
        <w:jc w:val="center"/>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lang w:val="en-US" w:eastAsia="zh-CN"/>
        </w:rPr>
        <w:t xml:space="preserve">图2 </w:t>
      </w:r>
      <w:r>
        <w:rPr>
          <w:rFonts w:hint="eastAsia" w:ascii="仿宋" w:hAnsi="仿宋" w:eastAsia="仿宋" w:cs="仿宋"/>
          <w:color w:val="auto"/>
          <w:sz w:val="28"/>
          <w:szCs w:val="28"/>
          <w:highlight w:val="none"/>
          <w:u w:val="none"/>
          <w:lang w:val="en-US" w:eastAsia="zh-CN"/>
        </w:rPr>
        <w:t>热镀锌螺母D16、热镀锌加大垫片D16</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庭院灯安装辅材：热镀锌螺母D16(8个/套)、热镀锌加大垫片D16(8个/套)、304不锈钢8×25螺丝(2个/套)、304不锈钢D8垫片(4个/套)、304不锈钢D8弹簧垫(2个/套)、304不锈钢D8螺母(2个/套)、面板(1块/套)、卡式熔壳(1个/套)、4A卡式熔芯(1个/套)。</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质保：庭院灯灯头（含LED光源）整灯质保5年以上，庭院灯灯杆质保10年以上不掉漆、不生锈、喷塑不褪色。</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7</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本招标文件中未标注公差的，按照GB-T1804的精度C级别标准执行，其中安装公差和位置公差按照精度M级别标准执行。</w:t>
      </w:r>
    </w:p>
    <w:p>
      <w:pPr>
        <w:pageBreakBefore w:val="0"/>
        <w:kinsoku/>
        <w:wordWrap/>
        <w:overflowPunct/>
        <w:topLinePunct w:val="0"/>
        <w:autoSpaceDE/>
        <w:autoSpaceDN/>
        <w:bidi w:val="0"/>
        <w:snapToGrid w:val="0"/>
        <w:spacing w:line="57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kern w:val="2"/>
          <w:sz w:val="32"/>
          <w:szCs w:val="32"/>
          <w:highlight w:val="none"/>
          <w:lang w:val="en-US" w:eastAsia="zh-CN" w:bidi="ar-SA"/>
        </w:rPr>
        <w:t>本庭院灯不含单灯控制器，但检修门内须预留后续加装单灯控制器的条件。</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楷体" w:hAnsi="楷体" w:eastAsia="楷体" w:cs="楷体"/>
          <w:b w:val="0"/>
          <w:bCs w:val="0"/>
          <w:color w:val="auto"/>
          <w:sz w:val="32"/>
          <w:szCs w:val="32"/>
          <w:highlight w:val="none"/>
        </w:rPr>
      </w:pPr>
      <w:r>
        <w:rPr>
          <w:rFonts w:hint="eastAsia" w:ascii="楷体" w:hAnsi="楷体" w:eastAsia="楷体" w:cs="楷体"/>
          <w:b w:val="0"/>
          <w:bCs w:val="0"/>
          <w:color w:val="auto"/>
          <w:sz w:val="32"/>
          <w:szCs w:val="32"/>
          <w:highlight w:val="none"/>
          <w:lang w:val="en-US" w:eastAsia="zh-CN"/>
        </w:rPr>
        <w:t>2.应严格执行相关</w:t>
      </w:r>
      <w:r>
        <w:rPr>
          <w:rFonts w:hint="eastAsia" w:ascii="楷体" w:hAnsi="楷体" w:eastAsia="楷体" w:cs="楷体"/>
          <w:b w:val="0"/>
          <w:bCs w:val="0"/>
          <w:color w:val="auto"/>
          <w:sz w:val="32"/>
          <w:szCs w:val="32"/>
          <w:highlight w:val="none"/>
        </w:rPr>
        <w:t>标准</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产品必须符合下列文件中的条款，凡是不注日期的引用文件，其最新版本适用于本标准。</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GB7000.1灯具 第1部分：一般要求与试验。</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GB7000.201灯具 第2-1部分：特殊要求 固定式通用灯具。</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GB7000.203灯具第2-3部分：特殊要求 道路与街路照明灯具。</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GB/T10485道路车辆—外部照明和光信号装置环境耐久性第二部分第15条中对透光罩的要求。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GB/T 4208外壳防护等级（IP代码）。</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GB/T 17743电气照明和类似设备的无线电骚扰特性的限值和测量方法。</w:t>
      </w:r>
    </w:p>
    <w:p>
      <w:pPr>
        <w:pageBreakBefore w:val="0"/>
        <w:kinsoku/>
        <w:wordWrap/>
        <w:overflowPunct/>
        <w:topLinePunct w:val="0"/>
        <w:autoSpaceDE/>
        <w:autoSpaceDN/>
        <w:bidi w:val="0"/>
        <w:snapToGrid w:val="0"/>
        <w:spacing w:line="570" w:lineRule="exact"/>
        <w:ind w:firstLine="640" w:firstLineChars="200"/>
        <w:jc w:val="both"/>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（7）GB l7625.1</w:t>
      </w:r>
      <w:r>
        <w:rPr>
          <w:rFonts w:hint="eastAsia" w:ascii="仿宋" w:hAnsi="仿宋" w:eastAsia="仿宋" w:cs="仿宋"/>
          <w:color w:val="auto"/>
          <w:sz w:val="32"/>
          <w:szCs w:val="32"/>
          <w:highlight w:val="none"/>
        </w:rPr>
        <w:t>电磁兼容限值谐波电流发射限值</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(设备每相输入电流≤16A)。</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（8）</w:t>
      </w:r>
      <w:r>
        <w:rPr>
          <w:rFonts w:hint="eastAsia" w:ascii="仿宋" w:hAnsi="仿宋" w:eastAsia="仿宋" w:cs="仿宋"/>
          <w:color w:val="auto"/>
          <w:sz w:val="32"/>
          <w:szCs w:val="32"/>
          <w:highlight w:val="none"/>
        </w:rPr>
        <w:t>QB/T1551灯具油漆涂层。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QB/T3741灯具电镀、化学覆盖层。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rPr>
        <w:t>CJJ45城市道路照明设计标准。</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rPr>
        <w:t>GB-T1804</w:t>
      </w:r>
      <w:r>
        <w:rPr>
          <w:rFonts w:hint="eastAsia" w:ascii="仿宋" w:hAnsi="仿宋" w:eastAsia="仿宋" w:cs="仿宋"/>
          <w:color w:val="auto"/>
          <w:sz w:val="32"/>
          <w:szCs w:val="32"/>
          <w:highlight w:val="none"/>
          <w:lang w:val="en-US" w:eastAsia="zh-CN"/>
        </w:rPr>
        <w:t>一般公差未注公差的线性和角度尺寸的公差</w:t>
      </w:r>
      <w:r>
        <w:rPr>
          <w:rFonts w:hint="eastAsia" w:ascii="仿宋" w:hAnsi="仿宋" w:eastAsia="仿宋" w:cs="仿宋"/>
          <w:color w:val="auto"/>
          <w:sz w:val="32"/>
          <w:szCs w:val="32"/>
          <w:highlight w:val="none"/>
        </w:rPr>
        <w:t>。</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其他国家及江苏省现行标准规范、图集等；以及相关的灯具的现行的国家规范和标准。</w:t>
      </w:r>
      <w:bookmarkStart w:id="4" w:name="_Toc22741"/>
    </w:p>
    <w:p>
      <w:pPr>
        <w:pageBreakBefore w:val="0"/>
        <w:kinsoku/>
        <w:wordWrap/>
        <w:overflowPunct/>
        <w:topLinePunct w:val="0"/>
        <w:autoSpaceDE/>
        <w:autoSpaceDN/>
        <w:bidi w:val="0"/>
        <w:snapToGrid w:val="0"/>
        <w:spacing w:line="570" w:lineRule="exact"/>
        <w:ind w:firstLine="640" w:firstLineChars="200"/>
        <w:jc w:val="left"/>
        <w:textAlignment w:val="auto"/>
        <w:rPr>
          <w:rFonts w:hint="default" w:ascii="楷体" w:hAnsi="楷体" w:eastAsia="楷体" w:cs="楷体"/>
          <w:b w:val="0"/>
          <w:bCs w:val="0"/>
          <w:color w:val="auto"/>
          <w:sz w:val="32"/>
          <w:szCs w:val="32"/>
          <w:highlight w:val="none"/>
          <w:lang w:val="en-US" w:eastAsia="zh-CN"/>
        </w:rPr>
      </w:pPr>
      <w:r>
        <w:rPr>
          <w:rFonts w:hint="eastAsia" w:ascii="楷体" w:hAnsi="楷体" w:eastAsia="楷体" w:cs="楷体"/>
          <w:b w:val="0"/>
          <w:bCs w:val="0"/>
          <w:color w:val="auto"/>
          <w:sz w:val="32"/>
          <w:szCs w:val="32"/>
          <w:highlight w:val="none"/>
          <w:lang w:val="en-US" w:eastAsia="zh-CN"/>
        </w:rPr>
        <w:t>3.整灯（含灯具、灯杆等）外形示意图</w:t>
      </w:r>
      <w:bookmarkEnd w:id="4"/>
      <w:r>
        <w:rPr>
          <w:rFonts w:hint="eastAsia" w:ascii="楷体" w:hAnsi="楷体" w:eastAsia="楷体" w:cs="楷体"/>
          <w:b w:val="0"/>
          <w:bCs w:val="0"/>
          <w:color w:val="auto"/>
          <w:sz w:val="32"/>
          <w:szCs w:val="32"/>
          <w:highlight w:val="none"/>
          <w:lang w:val="en-US" w:eastAsia="zh-CN"/>
        </w:rPr>
        <w:t>（图3）</w:t>
      </w: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bCs/>
          <w:color w:val="auto"/>
          <w:sz w:val="32"/>
          <w:szCs w:val="32"/>
          <w:highlight w:val="none"/>
          <w:lang w:eastAsia="zh-CN"/>
        </w:rPr>
      </w:pPr>
      <w:r>
        <w:rPr>
          <w:rFonts w:hint="eastAsia" w:ascii="仿宋" w:hAnsi="仿宋" w:eastAsia="仿宋" w:cs="仿宋"/>
          <w:b/>
          <w:color w:val="auto"/>
          <w:sz w:val="32"/>
          <w:szCs w:val="32"/>
          <w:highlight w:val="none"/>
          <w:lang w:eastAsia="zh-CN"/>
        </w:rPr>
        <w:drawing>
          <wp:anchor distT="0" distB="0" distL="114300" distR="114300" simplePos="0" relativeHeight="251663360" behindDoc="0" locked="0" layoutInCell="1" allowOverlap="1">
            <wp:simplePos x="0" y="0"/>
            <wp:positionH relativeFrom="column">
              <wp:posOffset>2000250</wp:posOffset>
            </wp:positionH>
            <wp:positionV relativeFrom="paragraph">
              <wp:posOffset>57150</wp:posOffset>
            </wp:positionV>
            <wp:extent cx="638810" cy="3177540"/>
            <wp:effectExtent l="0" t="0" r="8890" b="3810"/>
            <wp:wrapSquare wrapText="bothSides"/>
            <wp:docPr id="6" name="图片 6" descr="33afe9227898c520dff0b507bf422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3afe9227898c520dff0b507bf4226e"/>
                    <pic:cNvPicPr>
                      <a:picLocks noChangeAspect="1"/>
                    </pic:cNvPicPr>
                  </pic:nvPicPr>
                  <pic:blipFill>
                    <a:blip r:embed="rId11"/>
                    <a:stretch>
                      <a:fillRect/>
                    </a:stretch>
                  </pic:blipFill>
                  <pic:spPr>
                    <a:xfrm>
                      <a:off x="0" y="0"/>
                      <a:ext cx="638810" cy="3177540"/>
                    </a:xfrm>
                    <a:prstGeom prst="rect">
                      <a:avLst/>
                    </a:prstGeom>
                  </pic:spPr>
                </pic:pic>
              </a:graphicData>
            </a:graphic>
          </wp:anchor>
        </w:drawing>
      </w: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rPr>
      </w:pPr>
      <w:r>
        <w:rPr>
          <w:sz w:val="32"/>
        </w:rPr>
        <mc:AlternateContent>
          <mc:Choice Requires="wps">
            <w:drawing>
              <wp:anchor distT="0" distB="0" distL="114300" distR="114300" simplePos="0" relativeHeight="251665408" behindDoc="0" locked="0" layoutInCell="1" allowOverlap="1">
                <wp:simplePos x="0" y="0"/>
                <wp:positionH relativeFrom="column">
                  <wp:posOffset>2338705</wp:posOffset>
                </wp:positionH>
                <wp:positionV relativeFrom="paragraph">
                  <wp:posOffset>200025</wp:posOffset>
                </wp:positionV>
                <wp:extent cx="0" cy="603250"/>
                <wp:effectExtent l="6350" t="0" r="6350" b="6350"/>
                <wp:wrapNone/>
                <wp:docPr id="17" name="直接连接符 17"/>
                <wp:cNvGraphicFramePr/>
                <a:graphic xmlns:a="http://schemas.openxmlformats.org/drawingml/2006/main">
                  <a:graphicData uri="http://schemas.microsoft.com/office/word/2010/wordprocessingShape">
                    <wps:wsp>
                      <wps:cNvCnPr/>
                      <wps:spPr>
                        <a:xfrm>
                          <a:off x="3481705" y="4010025"/>
                          <a:ext cx="0" cy="603250"/>
                        </a:xfrm>
                        <a:prstGeom prst="line">
                          <a:avLst/>
                        </a:prstGeom>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84.15pt;margin-top:15.75pt;height:47.5pt;width:0pt;z-index:251665408;mso-width-relative:page;mso-height-relative:page;" filled="f" stroked="t" coordsize="21600,21600" o:gfxdata="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MF8TJLYAAAACgEAAA8AAAAAAAAAAQAgAAAAIgAAAGRycy9kb3ducmV2LnhtbFBLAQIU&#10;ABQAAAAIAIdO4kA7p4mK8wEAAL4DAAAOAAAAAAAAAAEAIAAAACcBAABkcnMvZTJvRG9jLnhtbFBL&#10;BQYAAAAABgAGAFkBAACMBQAAAAA=&#10;">
                <v:fill on="f" focussize="0,0"/>
                <v:stroke weight="1pt" color="#000000" miterlimit="8" joinstyle="miter"/>
                <v:imagedata o:title=""/>
                <o:lock v:ext="edit" aspectratio="f"/>
              </v:line>
            </w:pict>
          </mc:Fallback>
        </mc:AlternateContent>
      </w: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rPr>
      </w:pP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rPr>
      </w:pPr>
      <w:r>
        <w:rPr>
          <w:sz w:val="32"/>
        </w:rPr>
        <mc:AlternateContent>
          <mc:Choice Requires="wps">
            <w:drawing>
              <wp:anchor distT="0" distB="0" distL="114300" distR="114300" simplePos="0" relativeHeight="251664384" behindDoc="0" locked="0" layoutInCell="1" allowOverlap="1">
                <wp:simplePos x="0" y="0"/>
                <wp:positionH relativeFrom="column">
                  <wp:posOffset>2265680</wp:posOffset>
                </wp:positionH>
                <wp:positionV relativeFrom="paragraph">
                  <wp:posOffset>83185</wp:posOffset>
                </wp:positionV>
                <wp:extent cx="144145" cy="1270"/>
                <wp:effectExtent l="0" t="0" r="0" b="0"/>
                <wp:wrapNone/>
                <wp:docPr id="15" name="直接连接符 15"/>
                <wp:cNvGraphicFramePr/>
                <a:graphic xmlns:a="http://schemas.openxmlformats.org/drawingml/2006/main">
                  <a:graphicData uri="http://schemas.microsoft.com/office/word/2010/wordprocessingShape">
                    <wps:wsp>
                      <wps:cNvCnPr/>
                      <wps:spPr>
                        <a:xfrm>
                          <a:off x="3408680" y="4617085"/>
                          <a:ext cx="144145" cy="1270"/>
                        </a:xfrm>
                        <a:prstGeom prst="line">
                          <a:avLst/>
                        </a:prstGeom>
                        <a:ln w="3175"/>
                      </wps:spPr>
                      <wps:style>
                        <a:lnRef idx="2">
                          <a:prstClr val="black"/>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178.4pt;margin-top:6.55pt;height:0.1pt;width:11.35pt;z-index:251664384;mso-width-relative:page;mso-height-relative:page;" filled="f" stroked="t" coordsize="21600,21600" o:gfxdata="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mCtCrNUAAAAJAQAADwAAAAAAAAABACAAAAAiAAAAZHJzL2Rvd25yZXYueG1sUEsBAhQA&#10;FAAAAAgAh07iQDblnub1AQAAwAMAAA4AAAAAAAAAAQAgAAAAJAEAAGRycy9lMm9Eb2MueG1sUEsF&#10;BgAAAAAGAAYAWQEAAIsFAAAAAA==&#10;">
                <v:fill on="f" focussize="0,0"/>
                <v:stroke weight="0.25pt" color="#000000" miterlimit="8" joinstyle="miter"/>
                <v:imagedata o:title=""/>
                <o:lock v:ext="edit" aspectratio="f"/>
              </v:line>
            </w:pict>
          </mc:Fallback>
        </mc:AlternateContent>
      </w: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rPr>
      </w:pP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lang w:eastAsia="zh-CN"/>
        </w:rPr>
      </w:pP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rPr>
      </w:pP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b/>
          <w:color w:val="auto"/>
          <w:sz w:val="32"/>
          <w:szCs w:val="32"/>
          <w:highlight w:val="none"/>
        </w:rPr>
      </w:pP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u w:val="none"/>
          <w:lang w:val="en-US" w:eastAsia="zh-CN"/>
        </w:rPr>
      </w:pPr>
      <w:r>
        <w:rPr>
          <w:rFonts w:hint="eastAsia" w:ascii="仿宋" w:hAnsi="仿宋" w:eastAsia="仿宋" w:cs="仿宋"/>
          <w:color w:val="auto"/>
          <w:sz w:val="32"/>
          <w:szCs w:val="32"/>
          <w:highlight w:val="none"/>
          <w:u w:val="none"/>
          <w:lang w:val="en-US" w:eastAsia="zh-CN"/>
        </w:rPr>
        <w:t xml:space="preserve">                 </w:t>
      </w:r>
    </w:p>
    <w:p>
      <w:pPr>
        <w:pageBreakBefore w:val="0"/>
        <w:kinsoku/>
        <w:wordWrap/>
        <w:overflowPunct/>
        <w:topLinePunct w:val="0"/>
        <w:autoSpaceDE/>
        <w:autoSpaceDN/>
        <w:bidi w:val="0"/>
        <w:snapToGrid w:val="0"/>
        <w:spacing w:line="570" w:lineRule="exact"/>
        <w:jc w:val="center"/>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图3 整灯（含灯具、灯杆等）外形示意图</w:t>
      </w:r>
    </w:p>
    <w:p>
      <w:pPr>
        <w:pStyle w:val="4"/>
        <w:pageBreakBefore w:val="0"/>
        <w:kinsoku/>
        <w:wordWrap/>
        <w:overflowPunct/>
        <w:topLinePunct w:val="0"/>
        <w:autoSpaceDE/>
        <w:autoSpaceDN/>
        <w:bidi w:val="0"/>
        <w:spacing w:line="570" w:lineRule="exact"/>
        <w:ind w:left="197" w:leftChars="94" w:right="210" w:firstLine="438" w:firstLineChars="137"/>
        <w:jc w:val="left"/>
        <w:textAlignment w:val="auto"/>
        <w:rPr>
          <w:rFonts w:hint="eastAsia" w:ascii="黑体" w:hAnsi="黑体" w:eastAsia="黑体" w:cs="黑体"/>
          <w:b w:val="0"/>
          <w:bCs/>
          <w:color w:val="auto"/>
          <w:sz w:val="32"/>
          <w:szCs w:val="32"/>
          <w:highlight w:val="none"/>
        </w:rPr>
      </w:pPr>
      <w:bookmarkStart w:id="5" w:name="_Toc92188482"/>
      <w:r>
        <w:rPr>
          <w:rFonts w:hint="eastAsia" w:ascii="黑体" w:hAnsi="黑体" w:eastAsia="黑体" w:cs="黑体"/>
          <w:b w:val="0"/>
          <w:bCs/>
          <w:color w:val="auto"/>
          <w:sz w:val="32"/>
          <w:szCs w:val="32"/>
          <w:highlight w:val="none"/>
        </w:rPr>
        <w:t>三、庭院灯技术要求</w:t>
      </w:r>
      <w:bookmarkEnd w:id="5"/>
    </w:p>
    <w:p>
      <w:pPr>
        <w:pageBreakBefore w:val="0"/>
        <w:kinsoku/>
        <w:wordWrap/>
        <w:overflowPunct/>
        <w:topLinePunct w:val="0"/>
        <w:autoSpaceDE/>
        <w:autoSpaceDN/>
        <w:bidi w:val="0"/>
        <w:snapToGrid w:val="0"/>
        <w:spacing w:line="570" w:lineRule="exact"/>
        <w:ind w:left="0" w:leftChars="0" w:firstLine="736" w:firstLineChars="230"/>
        <w:jc w:val="left"/>
        <w:textAlignment w:val="auto"/>
        <w:rPr>
          <w:rFonts w:hint="eastAsia" w:ascii="楷体" w:hAnsi="楷体" w:eastAsia="楷体" w:cs="楷体"/>
          <w:color w:val="auto"/>
          <w:sz w:val="32"/>
          <w:szCs w:val="32"/>
          <w:highlight w:val="none"/>
        </w:rPr>
      </w:pPr>
      <w:bookmarkStart w:id="6" w:name="_Toc14090"/>
      <w:r>
        <w:rPr>
          <w:rFonts w:hint="eastAsia" w:ascii="楷体" w:hAnsi="楷体" w:eastAsia="楷体" w:cs="楷体"/>
          <w:color w:val="auto"/>
          <w:sz w:val="32"/>
          <w:szCs w:val="32"/>
          <w:highlight w:val="none"/>
          <w:lang w:val="en-US" w:eastAsia="zh-CN"/>
        </w:rPr>
        <w:t>1.</w:t>
      </w:r>
      <w:r>
        <w:rPr>
          <w:rFonts w:hint="eastAsia" w:ascii="楷体" w:hAnsi="楷体" w:eastAsia="楷体" w:cs="楷体"/>
          <w:color w:val="auto"/>
          <w:sz w:val="32"/>
          <w:szCs w:val="32"/>
          <w:highlight w:val="none"/>
        </w:rPr>
        <w:t>灯具部分的具体要求</w:t>
      </w:r>
      <w:bookmarkEnd w:id="6"/>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7" w:name="_Toc7829"/>
      <w:bookmarkStart w:id="8" w:name="_Toc328"/>
      <w:bookmarkStart w:id="9" w:name="_Toc23425"/>
      <w:bookmarkStart w:id="10" w:name="_Toc13723"/>
      <w:bookmarkStart w:id="11" w:name="_Toc28447"/>
      <w:bookmarkStart w:id="12" w:name="_Toc4110"/>
      <w:bookmarkStart w:id="13" w:name="_Toc6546"/>
      <w:bookmarkStart w:id="14" w:name="_Toc1176"/>
      <w:r>
        <w:rPr>
          <w:rFonts w:hint="eastAsia" w:ascii="仿宋" w:hAnsi="仿宋" w:eastAsia="仿宋" w:cs="仿宋"/>
          <w:b w:val="0"/>
          <w:bCs w:val="0"/>
          <w:color w:val="auto"/>
          <w:kern w:val="2"/>
          <w:sz w:val="32"/>
          <w:szCs w:val="32"/>
          <w:highlight w:val="none"/>
          <w:lang w:val="en-US" w:eastAsia="zh-CN" w:bidi="ar-SA"/>
        </w:rPr>
        <w:t>(1)外形尺寸和外观质量</w:t>
      </w:r>
      <w:bookmarkEnd w:id="7"/>
      <w:bookmarkEnd w:id="8"/>
      <w:bookmarkEnd w:id="9"/>
      <w:bookmarkEnd w:id="10"/>
      <w:bookmarkEnd w:id="11"/>
      <w:bookmarkEnd w:id="12"/>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kern w:val="2"/>
          <w:sz w:val="32"/>
          <w:szCs w:val="32"/>
          <w:highlight w:val="none"/>
          <w:lang w:val="en-US" w:eastAsia="zh-CN" w:bidi="ar-SA"/>
        </w:rPr>
        <w:t>1)灯具外形尺寸见灯具技</w:t>
      </w:r>
      <w:r>
        <w:rPr>
          <w:rFonts w:hint="eastAsia" w:ascii="仿宋" w:hAnsi="仿宋" w:eastAsia="仿宋" w:cs="仿宋"/>
          <w:color w:val="auto"/>
          <w:sz w:val="32"/>
          <w:szCs w:val="32"/>
          <w:highlight w:val="none"/>
        </w:rPr>
        <w:t>术参数表。</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灯具外观需与图片一致。</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灯具的表面应光滑，以防污物堆积和便于清洗，无损伤、变形、涂层剥落，透光罩应无气泡、明显划痕和裂纹等缺陷，灯杆表面喷超耐侯防涂鸦涂料。</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15" w:name="_Toc19104"/>
      <w:bookmarkStart w:id="16" w:name="_Toc28868"/>
      <w:bookmarkStart w:id="17" w:name="_Toc1199"/>
      <w:bookmarkStart w:id="18" w:name="_Toc4530"/>
      <w:r>
        <w:rPr>
          <w:rFonts w:hint="eastAsia" w:ascii="仿宋" w:hAnsi="仿宋" w:eastAsia="仿宋" w:cs="仿宋"/>
          <w:b w:val="0"/>
          <w:bCs w:val="0"/>
          <w:color w:val="auto"/>
          <w:kern w:val="2"/>
          <w:sz w:val="32"/>
          <w:szCs w:val="32"/>
          <w:highlight w:val="none"/>
          <w:lang w:val="en-US" w:eastAsia="zh-CN" w:bidi="ar-SA"/>
        </w:rPr>
        <w:t>（2）安全要求</w:t>
      </w:r>
      <w:bookmarkEnd w:id="13"/>
      <w:bookmarkEnd w:id="14"/>
      <w:bookmarkEnd w:id="15"/>
      <w:bookmarkEnd w:id="16"/>
      <w:bookmarkEnd w:id="17"/>
      <w:bookmarkEnd w:id="18"/>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bookmarkStart w:id="19" w:name="_Toc16367"/>
      <w:bookmarkStart w:id="20" w:name="_Toc23696"/>
      <w:bookmarkStart w:id="21" w:name="_Toc10606"/>
      <w:bookmarkStart w:id="22" w:name="_Toc16557"/>
      <w:bookmarkStart w:id="23" w:name="_Toc29147"/>
      <w:bookmarkStart w:id="24" w:name="_Toc10142"/>
      <w:r>
        <w:rPr>
          <w:rFonts w:hint="eastAsia" w:ascii="仿宋" w:hAnsi="仿宋" w:eastAsia="仿宋" w:cs="仿宋"/>
          <w:color w:val="auto"/>
          <w:sz w:val="32"/>
          <w:szCs w:val="32"/>
          <w:highlight w:val="none"/>
        </w:rPr>
        <w:t>灯具应符合GB7000.1及GB7000.203的要求。当GB7000.1及GB7000.203与“灯具一般要求”有冲突时，以“灯具一般要求”为准。</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（3）光源要求</w:t>
      </w:r>
      <w:bookmarkEnd w:id="19"/>
      <w:bookmarkEnd w:id="20"/>
      <w:bookmarkEnd w:id="21"/>
      <w:bookmarkEnd w:id="22"/>
      <w:bookmarkEnd w:id="23"/>
      <w:bookmarkEnd w:id="24"/>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LED颗粒应满足拥有LM-80认证，推荐采用Philips Lumileds、Cree、OSRAM、Nichia原厂封装芯片，不得采用集成式芯片，交货前须附原厂供货证明。采用全模块化结构设计，模块可以现场拆换，每个LED模块具有独立的散热、防水和配光，可随意组合。</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25" w:name="_Toc2167"/>
      <w:bookmarkStart w:id="26" w:name="_Toc19980"/>
      <w:bookmarkStart w:id="27" w:name="_Toc4270"/>
      <w:bookmarkStart w:id="28" w:name="_Toc30033"/>
      <w:bookmarkStart w:id="29" w:name="_Toc31812"/>
      <w:bookmarkStart w:id="30" w:name="_Toc18961"/>
      <w:r>
        <w:rPr>
          <w:rFonts w:hint="eastAsia" w:ascii="仿宋" w:hAnsi="仿宋" w:eastAsia="仿宋" w:cs="仿宋"/>
          <w:b w:val="0"/>
          <w:bCs w:val="0"/>
          <w:color w:val="auto"/>
          <w:kern w:val="2"/>
          <w:sz w:val="32"/>
          <w:szCs w:val="32"/>
          <w:highlight w:val="none"/>
          <w:lang w:val="en-US" w:eastAsia="zh-CN" w:bidi="ar-SA"/>
        </w:rPr>
        <w:t>（4）灯具一般要求</w:t>
      </w:r>
      <w:bookmarkEnd w:id="25"/>
      <w:bookmarkEnd w:id="26"/>
      <w:bookmarkEnd w:id="27"/>
      <w:bookmarkEnd w:id="28"/>
      <w:bookmarkEnd w:id="29"/>
      <w:bookmarkEnd w:id="30"/>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灯具散热设计要先进合理，灯具适应温度：-40℃～+</w:t>
      </w:r>
      <w:r>
        <w:rPr>
          <w:rFonts w:hint="eastAsia" w:ascii="仿宋" w:hAnsi="仿宋" w:eastAsia="仿宋" w:cs="仿宋"/>
          <w:color w:val="auto"/>
          <w:sz w:val="32"/>
          <w:szCs w:val="32"/>
          <w:highlight w:val="none"/>
          <w:lang w:val="en-US" w:eastAsia="zh-CN"/>
        </w:rPr>
        <w:t>50</w:t>
      </w:r>
      <w:r>
        <w:rPr>
          <w:rFonts w:hint="eastAsia" w:ascii="仿宋" w:hAnsi="仿宋" w:eastAsia="仿宋" w:cs="仿宋"/>
          <w:color w:val="auto"/>
          <w:sz w:val="32"/>
          <w:szCs w:val="32"/>
          <w:highlight w:val="none"/>
        </w:rPr>
        <w:t>℃。灯具工作湿度环境：≤95%RH。</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灯具引出线为BVVB3×2.5mm2，长度不小于灯杆高度，芯线颜色必须符合国标要求，且有明显区别。接头必须具有防水措施、连接方便易操作。</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有针对感应雷击及静电的专用防护元件，器件性能符合IEC61000-4（Level 4）的检测标准。</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灯具的浪涌保护器应独立设置，电压保护水平Up输出值应小于控制装置的抗浪涌电压，且不应大于2KV，接线应具有防误接措施。共模抗浪涌电压不应低于10KV，差模抗浪涌电压不应低于5KV。</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LED灯具的寿命应不小于30000h。 LED灯具在正常工作6000h的光通维持率不应小于97%。正常工作12000h的光通量维持率不应小于90%。同时灯具在正常工作12000h内年损坏率不应高于1%，12000h</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rPr>
        <w:t>25000h内年损坏率不应高于3%。</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电器绝缘等级：Class I。</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31" w:name="_Toc14136"/>
      <w:bookmarkStart w:id="32" w:name="_Toc7064"/>
      <w:bookmarkStart w:id="33" w:name="_Toc25052"/>
      <w:bookmarkStart w:id="34" w:name="_Toc15203"/>
      <w:bookmarkStart w:id="35" w:name="_Toc27516"/>
      <w:bookmarkStart w:id="36" w:name="_Toc17624"/>
      <w:r>
        <w:rPr>
          <w:rFonts w:hint="eastAsia" w:ascii="仿宋" w:hAnsi="仿宋" w:eastAsia="仿宋" w:cs="仿宋"/>
          <w:b w:val="0"/>
          <w:bCs w:val="0"/>
          <w:color w:val="auto"/>
          <w:kern w:val="2"/>
          <w:sz w:val="32"/>
          <w:szCs w:val="32"/>
          <w:highlight w:val="none"/>
          <w:lang w:val="en-US" w:eastAsia="zh-CN" w:bidi="ar-SA"/>
        </w:rPr>
        <w:t>（5）材料要求</w:t>
      </w:r>
      <w:bookmarkEnd w:id="31"/>
      <w:bookmarkEnd w:id="32"/>
      <w:bookmarkEnd w:id="33"/>
      <w:bookmarkEnd w:id="34"/>
      <w:bookmarkEnd w:id="35"/>
      <w:bookmarkEnd w:id="36"/>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灯具所采用的电线(缆)、LED和其他电子部件均应符合相应的国家标准或行业标准的规定要求。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灯具的插销、铰链、螺钉和其他外部构件应用304不锈钢制成，其安装构件应不受混凝土的化学反应腐蚀。</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灯具密封件应耐温、耐老化和耐道路上可能出现的腐蚀性气体，并应方便更换。</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37" w:name="_Toc21146"/>
      <w:bookmarkStart w:id="38" w:name="_Toc3035"/>
      <w:bookmarkStart w:id="39" w:name="_Toc23148"/>
      <w:bookmarkStart w:id="40" w:name="_Toc22548"/>
      <w:r>
        <w:rPr>
          <w:rFonts w:hint="eastAsia" w:ascii="仿宋" w:hAnsi="仿宋" w:eastAsia="仿宋" w:cs="仿宋"/>
          <w:b w:val="0"/>
          <w:bCs w:val="0"/>
          <w:color w:val="auto"/>
          <w:kern w:val="2"/>
          <w:sz w:val="32"/>
          <w:szCs w:val="32"/>
          <w:highlight w:val="none"/>
          <w:lang w:val="en-US" w:eastAsia="zh-CN" w:bidi="ar-SA"/>
        </w:rPr>
        <w:t>（6）结构要求</w:t>
      </w:r>
      <w:bookmarkEnd w:id="37"/>
      <w:bookmarkEnd w:id="38"/>
      <w:bookmarkEnd w:id="39"/>
      <w:bookmarkEnd w:id="40"/>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灯具应安装方便，安装角度应能灵活调节。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灯具应有特设的导线出(入)口密封装置，该装置为304不锈钢材料或铜材质。</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灯具内应有电源接线端子，外部接线和内部接线穿过硬质材料时应有保护措施。</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41" w:name="_Toc27482"/>
      <w:bookmarkStart w:id="42" w:name="_Toc17082"/>
      <w:bookmarkStart w:id="43" w:name="_Toc24603"/>
      <w:bookmarkStart w:id="44" w:name="_Toc24577"/>
      <w:bookmarkStart w:id="45" w:name="_Toc2219"/>
      <w:bookmarkStart w:id="46" w:name="_Toc1906"/>
      <w:r>
        <w:rPr>
          <w:rFonts w:hint="eastAsia" w:ascii="仿宋" w:hAnsi="仿宋" w:eastAsia="仿宋" w:cs="仿宋"/>
          <w:b w:val="0"/>
          <w:bCs w:val="0"/>
          <w:color w:val="auto"/>
          <w:kern w:val="2"/>
          <w:sz w:val="32"/>
          <w:szCs w:val="32"/>
          <w:highlight w:val="none"/>
          <w:lang w:val="en-US" w:eastAsia="zh-CN" w:bidi="ar-SA"/>
        </w:rPr>
        <w:t>（7）灯具驱动电源的要求</w:t>
      </w:r>
      <w:bookmarkEnd w:id="41"/>
      <w:bookmarkEnd w:id="42"/>
      <w:bookmarkEnd w:id="43"/>
      <w:bookmarkEnd w:id="44"/>
      <w:bookmarkEnd w:id="45"/>
      <w:bookmarkEnd w:id="46"/>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可接220V/50HZ交流电压，经驱动电源转换，输出直流电压与LED负载相匹配，并为LED提供恒定直流电流驱动。提供完善的保护，如输入电压不足、过电压保护、输出开路与短路保护等。驱动电源在额定电压±20%范围内应正常工作。驱动电源推荐采用MEAN WELL、茂硕、英飞特、飞利浦等品牌，交货前须附原厂供货证明。</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驱动电源</w:t>
      </w:r>
      <w:r>
        <w:rPr>
          <w:rFonts w:hint="eastAsia" w:ascii="仿宋" w:hAnsi="仿宋" w:eastAsia="仿宋" w:cs="仿宋"/>
          <w:color w:val="auto"/>
          <w:sz w:val="32"/>
          <w:szCs w:val="32"/>
          <w:highlight w:val="none"/>
          <w:lang w:val="en-US" w:eastAsia="zh-CN"/>
        </w:rPr>
        <w:t>可实现0～10V无极调光。</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3）驱动电源需确保可接受采购方单灯控制器控制。</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4）驱动电源防护等级不低于IP65。</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47" w:name="_Toc9364"/>
      <w:bookmarkStart w:id="48" w:name="_Toc6094"/>
      <w:r>
        <w:rPr>
          <w:rFonts w:hint="eastAsia" w:ascii="仿宋" w:hAnsi="仿宋" w:eastAsia="仿宋" w:cs="仿宋"/>
          <w:b w:val="0"/>
          <w:bCs w:val="0"/>
          <w:color w:val="auto"/>
          <w:kern w:val="2"/>
          <w:sz w:val="32"/>
          <w:szCs w:val="32"/>
          <w:highlight w:val="none"/>
          <w:lang w:val="en-US" w:eastAsia="zh-CN" w:bidi="ar-SA"/>
        </w:rPr>
        <w:t>（8）电磁兼容等要求</w:t>
      </w:r>
      <w:bookmarkEnd w:id="47"/>
      <w:bookmarkEnd w:id="48"/>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灯具的无线电骚扰特性应符合GB/T 17743的要求。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灯具电磁兼容抗扰度应符合GB/T 18595 的要求。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灯具的输入电流谐波应符合GB l7625.1的要求。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LED电子控制装置应采用高压输出的LED电子控制装置，输出电流不超过1.5A。并应符合GB 19510.14的规定。</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LED灯具的蓝光控制应符合GB 7000.1的规定。</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bookmarkStart w:id="49" w:name="_Toc23592"/>
      <w:bookmarkStart w:id="50" w:name="_Toc8155"/>
      <w:bookmarkStart w:id="51" w:name="_Toc15302"/>
      <w:bookmarkStart w:id="52" w:name="_Toc10479"/>
      <w:bookmarkStart w:id="53" w:name="_Toc21333"/>
      <w:bookmarkStart w:id="54" w:name="_Toc2186"/>
      <w:r>
        <w:rPr>
          <w:rFonts w:hint="eastAsia" w:ascii="仿宋" w:hAnsi="仿宋" w:eastAsia="仿宋" w:cs="仿宋"/>
          <w:b w:val="0"/>
          <w:bCs w:val="0"/>
          <w:color w:val="auto"/>
          <w:kern w:val="2"/>
          <w:sz w:val="32"/>
          <w:szCs w:val="32"/>
          <w:highlight w:val="none"/>
          <w:lang w:val="en-US" w:eastAsia="zh-CN" w:bidi="ar-SA"/>
        </w:rPr>
        <w:t>（9）耐腐蚀性</w:t>
      </w:r>
      <w:bookmarkEnd w:id="49"/>
      <w:bookmarkEnd w:id="50"/>
      <w:bookmarkEnd w:id="51"/>
      <w:bookmarkEnd w:id="52"/>
      <w:bookmarkEnd w:id="53"/>
      <w:bookmarkEnd w:id="54"/>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灯具应具有良好的耐腐蚀性能；灯具上涂层应符合QB/T 1551中II类使用条件的要求；灯具上的电镀或化学覆盖件，覆盖层应符合QB/T3741中Ⅲ类使用条件的要求。灯具灯体材质表面应有耐腐蚀、抗破坏处理手段，处理工艺需达10年使用寿命。压克力</w:t>
      </w:r>
      <w:r>
        <w:rPr>
          <w:rFonts w:hint="eastAsia" w:ascii="仿宋" w:hAnsi="仿宋" w:eastAsia="仿宋" w:cs="仿宋"/>
          <w:color w:val="auto"/>
          <w:sz w:val="32"/>
          <w:szCs w:val="32"/>
          <w:highlight w:val="none"/>
          <w:lang w:val="en-US" w:eastAsia="zh-CN"/>
        </w:rPr>
        <w:t>或PC</w:t>
      </w:r>
      <w:r>
        <w:rPr>
          <w:rFonts w:hint="eastAsia" w:ascii="仿宋" w:hAnsi="仿宋" w:eastAsia="仿宋" w:cs="仿宋"/>
          <w:color w:val="auto"/>
          <w:sz w:val="32"/>
          <w:szCs w:val="32"/>
          <w:highlight w:val="none"/>
        </w:rPr>
        <w:t>材料部分保证5年不发黄（如有）。</w:t>
      </w:r>
    </w:p>
    <w:p>
      <w:pPr>
        <w:pageBreakBefore w:val="0"/>
        <w:kinsoku/>
        <w:wordWrap/>
        <w:overflowPunct/>
        <w:topLinePunct w:val="0"/>
        <w:autoSpaceDE/>
        <w:autoSpaceDN/>
        <w:bidi w:val="0"/>
        <w:snapToGrid w:val="0"/>
        <w:spacing w:line="570" w:lineRule="exact"/>
        <w:ind w:firstLine="640" w:firstLineChars="200"/>
        <w:jc w:val="left"/>
        <w:textAlignment w:val="auto"/>
        <w:rPr>
          <w:rFonts w:hint="default" w:ascii="仿宋" w:hAnsi="仿宋" w:eastAsia="仿宋" w:cs="仿宋"/>
          <w:b w:val="0"/>
          <w:bCs w:val="0"/>
          <w:color w:val="auto"/>
          <w:kern w:val="2"/>
          <w:sz w:val="32"/>
          <w:szCs w:val="32"/>
          <w:highlight w:val="none"/>
          <w:lang w:val="en-US" w:eastAsia="zh-CN" w:bidi="ar-SA"/>
        </w:rPr>
      </w:pPr>
      <w:bookmarkStart w:id="55" w:name="_Toc21272"/>
      <w:r>
        <w:rPr>
          <w:rFonts w:hint="eastAsia" w:ascii="仿宋" w:hAnsi="仿宋" w:eastAsia="仿宋" w:cs="仿宋"/>
          <w:b w:val="0"/>
          <w:bCs w:val="0"/>
          <w:color w:val="auto"/>
          <w:kern w:val="2"/>
          <w:sz w:val="32"/>
          <w:szCs w:val="32"/>
          <w:highlight w:val="none"/>
          <w:lang w:val="en-US" w:eastAsia="zh-CN" w:bidi="ar-SA"/>
        </w:rPr>
        <w:t>（10）庭院灯灯具详细技术参数要求</w:t>
      </w:r>
      <w:bookmarkEnd w:id="55"/>
      <w:r>
        <w:rPr>
          <w:rFonts w:hint="eastAsia" w:ascii="仿宋" w:hAnsi="仿宋" w:eastAsia="仿宋" w:cs="仿宋"/>
          <w:b w:val="0"/>
          <w:bCs w:val="0"/>
          <w:color w:val="auto"/>
          <w:kern w:val="2"/>
          <w:sz w:val="32"/>
          <w:szCs w:val="32"/>
          <w:highlight w:val="none"/>
          <w:lang w:val="en-US" w:eastAsia="zh-CN" w:bidi="ar-SA"/>
        </w:rPr>
        <w:t>详见下表：</w:t>
      </w:r>
    </w:p>
    <w:tbl>
      <w:tblPr>
        <w:tblStyle w:val="8"/>
        <w:tblW w:w="485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08"/>
        <w:gridCol w:w="4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金箍棒型庭院灯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表面均匀发光，其余详见上文要求。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透光罩：抗紫外线聚碳酸酯(PC)透光罩（透明）(可根据甲方要求调整)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2479"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LED颗粒：非集成式</w:t>
            </w:r>
          </w:p>
        </w:tc>
        <w:tc>
          <w:tcPr>
            <w:tcW w:w="2520"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整灯系统总功率：≤44</w:t>
            </w:r>
            <w:r>
              <w:rPr>
                <w:rFonts w:hint="eastAsia" w:ascii="仿宋" w:hAnsi="仿宋" w:eastAsia="仿宋" w:cs="仿宋"/>
                <w:color w:val="auto"/>
                <w:sz w:val="32"/>
                <w:szCs w:val="32"/>
                <w:highlight w:val="none"/>
                <w:lang w:val="en-US" w:eastAsia="zh-CN"/>
              </w:rPr>
              <w:t>w</w:t>
            </w:r>
            <w:r>
              <w:rPr>
                <w:rFonts w:hint="eastAsia" w:ascii="仿宋" w:hAnsi="仿宋" w:eastAsia="仿宋" w:cs="仿宋"/>
                <w:color w:val="auto"/>
                <w:sz w:val="32"/>
                <w:szCs w:val="32"/>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整灯光效:≥</w:t>
            </w:r>
            <w:r>
              <w:rPr>
                <w:rFonts w:hint="eastAsia" w:ascii="仿宋" w:hAnsi="仿宋" w:eastAsia="仿宋" w:cs="仿宋"/>
                <w:color w:val="auto"/>
                <w:sz w:val="32"/>
                <w:szCs w:val="32"/>
                <w:highlight w:val="none"/>
                <w:lang w:val="en-US" w:eastAsia="zh-CN"/>
              </w:rPr>
              <w:t>38</w:t>
            </w:r>
            <w:r>
              <w:rPr>
                <w:rFonts w:hint="eastAsia" w:ascii="仿宋" w:hAnsi="仿宋" w:eastAsia="仿宋" w:cs="仿宋"/>
                <w:color w:val="auto"/>
                <w:sz w:val="32"/>
                <w:szCs w:val="32"/>
                <w:highlight w:val="none"/>
              </w:rPr>
              <w:t>lm/w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2479"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显色指数:(CRI)＞70</w:t>
            </w:r>
          </w:p>
        </w:tc>
        <w:tc>
          <w:tcPr>
            <w:tcW w:w="2520"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灯具色容差:≤</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rPr>
              <w:t>SDCM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0" w:hRule="atLeast"/>
        </w:trPr>
        <w:tc>
          <w:tcPr>
            <w:tcW w:w="2479"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单灯功率因数:≥0.9</w:t>
            </w:r>
          </w:p>
        </w:tc>
        <w:tc>
          <w:tcPr>
            <w:tcW w:w="2520"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整灯防护等级：≥IP65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479"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色温： 3000</w:t>
            </w:r>
            <w:r>
              <w:rPr>
                <w:rFonts w:hint="eastAsia" w:ascii="仿宋" w:hAnsi="仿宋" w:eastAsia="仿宋" w:cs="仿宋"/>
                <w:color w:val="auto"/>
                <w:sz w:val="32"/>
                <w:szCs w:val="32"/>
                <w:highlight w:val="none"/>
                <w:lang w:val="en-US" w:eastAsia="zh-CN"/>
              </w:rPr>
              <w:t>k</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00</w:t>
            </w:r>
            <w:r>
              <w:rPr>
                <w:rFonts w:hint="eastAsia" w:ascii="仿宋" w:hAnsi="仿宋" w:eastAsia="仿宋" w:cs="仿宋"/>
                <w:color w:val="auto"/>
                <w:sz w:val="32"/>
                <w:szCs w:val="32"/>
                <w:highlight w:val="none"/>
                <w:lang w:val="en-US" w:eastAsia="zh-CN"/>
              </w:rPr>
              <w:t>k</w:t>
            </w:r>
          </w:p>
        </w:tc>
        <w:tc>
          <w:tcPr>
            <w:tcW w:w="2520" w:type="pc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输入电压：176-264V/50-60Hz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9" w:hRule="atLeas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灯具外观及尺寸:如图（</w:t>
            </w:r>
            <w:r>
              <w:rPr>
                <w:rFonts w:hint="eastAsia" w:ascii="仿宋" w:hAnsi="仿宋" w:eastAsia="仿宋" w:cs="仿宋"/>
                <w:color w:val="auto"/>
                <w:sz w:val="32"/>
                <w:szCs w:val="32"/>
                <w:highlight w:val="none"/>
                <w:lang w:val="en-US" w:eastAsia="zh-CN"/>
              </w:rPr>
              <w:t>灯头</w:t>
            </w:r>
            <w:r>
              <w:rPr>
                <w:rFonts w:hint="eastAsia" w:ascii="仿宋" w:hAnsi="仿宋" w:eastAsia="仿宋" w:cs="仿宋"/>
                <w:color w:val="auto"/>
                <w:sz w:val="32"/>
                <w:szCs w:val="32"/>
                <w:highlight w:val="none"/>
              </w:rPr>
              <w:t>直径200mm</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高度</w:t>
            </w:r>
            <w:r>
              <w:rPr>
                <w:rFonts w:hint="eastAsia" w:ascii="仿宋" w:hAnsi="仿宋" w:eastAsia="仿宋" w:cs="仿宋"/>
                <w:color w:val="auto"/>
                <w:sz w:val="32"/>
                <w:szCs w:val="32"/>
                <w:highlight w:val="none"/>
                <w:lang w:val="en-US" w:eastAsia="zh-CN"/>
              </w:rPr>
              <w:t>55</w:t>
            </w:r>
            <w:r>
              <w:rPr>
                <w:rFonts w:hint="eastAsia" w:ascii="仿宋" w:hAnsi="仿宋" w:eastAsia="仿宋" w:cs="仿宋"/>
                <w:color w:val="auto"/>
                <w:sz w:val="32"/>
                <w:szCs w:val="32"/>
                <w:highlight w:val="none"/>
              </w:rPr>
              <w:t>0mm</w:t>
            </w:r>
            <w:r>
              <w:rPr>
                <w:rFonts w:hint="eastAsia" w:ascii="仿宋" w:hAnsi="仿宋" w:eastAsia="仿宋" w:cs="仿宋"/>
                <w:color w:val="auto"/>
                <w:sz w:val="32"/>
                <w:szCs w:val="32"/>
                <w:highlight w:val="none"/>
                <w:lang w:val="en-US" w:eastAsia="zh-CN"/>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（允许公差范围为±10mm）；水晶柱直径52mm，高度355mm（允许公差范围为±5mm）。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8" w:hRule="atLeast"/>
        </w:trPr>
        <w:tc>
          <w:tcPr>
            <w:tcW w:w="5000" w:type="pct"/>
            <w:gridSpan w:val="2"/>
            <w:noWrap w:val="0"/>
            <w:vAlign w:val="center"/>
          </w:tcPr>
          <w:p>
            <w:pPr>
              <w:pageBreakBefore w:val="0"/>
              <w:kinsoku/>
              <w:wordWrap/>
              <w:overflowPunct/>
              <w:topLinePunct w:val="0"/>
              <w:autoSpaceDE/>
              <w:autoSpaceDN/>
              <w:bidi w:val="0"/>
              <w:spacing w:line="240" w:lineRule="auto"/>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drawing>
                <wp:inline distT="0" distB="0" distL="114300" distR="114300">
                  <wp:extent cx="5117465" cy="3083560"/>
                  <wp:effectExtent l="0" t="0" r="6985" b="2540"/>
                  <wp:docPr id="2" name="图片 2" descr="d53497a6fa29fc3c32ebff3591350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53497a6fa29fc3c32ebff35913500b"/>
                          <pic:cNvPicPr>
                            <a:picLocks noChangeAspect="1"/>
                          </pic:cNvPicPr>
                        </pic:nvPicPr>
                        <pic:blipFill>
                          <a:blip r:embed="rId12"/>
                          <a:stretch>
                            <a:fillRect/>
                          </a:stretch>
                        </pic:blipFill>
                        <pic:spPr>
                          <a:xfrm>
                            <a:off x="0" y="0"/>
                            <a:ext cx="5117465" cy="308356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3" w:hRule="atLeast"/>
        </w:trPr>
        <w:tc>
          <w:tcPr>
            <w:tcW w:w="5000" w:type="pct"/>
            <w:gridSpan w:val="2"/>
            <w:noWrap w:val="0"/>
            <w:vAlign w:val="center"/>
          </w:tcPr>
          <w:p>
            <w:pPr>
              <w:pageBreakBefore w:val="0"/>
              <w:kinsoku/>
              <w:wordWrap/>
              <w:overflowPunct/>
              <w:topLinePunct w:val="0"/>
              <w:autoSpaceDE/>
              <w:autoSpaceDN/>
              <w:bidi w:val="0"/>
              <w:spacing w:line="570" w:lineRule="exact"/>
              <w:ind w:firstLine="640" w:firstLineChars="200"/>
              <w:jc w:val="left"/>
              <w:textAlignment w:val="auto"/>
              <w:rPr>
                <w:rFonts w:hint="eastAsia"/>
                <w:lang w:val="en-US" w:eastAsia="zh-CN"/>
              </w:rPr>
            </w:pPr>
            <w:r>
              <w:rPr>
                <w:rFonts w:hint="eastAsia" w:ascii="仿宋" w:hAnsi="仿宋" w:eastAsia="仿宋" w:cs="仿宋"/>
                <w:color w:val="auto"/>
                <w:sz w:val="32"/>
                <w:szCs w:val="32"/>
                <w:highlight w:val="none"/>
              </w:rPr>
              <w:t>说明：如尺寸图示，光源上下端盖:材质为铝材，型号6063-T5，</w:t>
            </w:r>
            <w:r>
              <w:rPr>
                <w:rFonts w:hint="eastAsia" w:ascii="仿宋" w:hAnsi="仿宋" w:eastAsia="仿宋" w:cs="仿宋"/>
                <w:color w:val="auto"/>
                <w:sz w:val="32"/>
                <w:szCs w:val="32"/>
                <w:highlight w:val="none"/>
                <w:lang w:val="en-US" w:eastAsia="zh-CN"/>
              </w:rPr>
              <w:t>壁厚4.5mm，</w:t>
            </w:r>
            <w:r>
              <w:rPr>
                <w:rFonts w:hint="eastAsia" w:ascii="仿宋" w:hAnsi="仿宋" w:eastAsia="仿宋" w:cs="仿宋"/>
                <w:color w:val="auto"/>
                <w:sz w:val="32"/>
                <w:szCs w:val="32"/>
                <w:highlight w:val="none"/>
              </w:rPr>
              <w:t>附生产厂家“产品质量证明书”。光源装饰罩:采用PC材料（需提供检验报告）</w:t>
            </w:r>
            <w:r>
              <w:rPr>
                <w:rFonts w:hint="eastAsia" w:ascii="仿宋" w:hAnsi="仿宋" w:eastAsia="仿宋" w:cs="仿宋"/>
                <w:color w:val="auto"/>
                <w:sz w:val="32"/>
                <w:szCs w:val="32"/>
                <w:highlight w:val="none"/>
              </w:rPr>
              <w:t>，上下对称布置。水晶柱:采用亚克力材料，安装后增加支撑强度。过线铝管：采用铝型材等径圆管。灯具面罩：采用PC透明材料（需提供检验报告）</w:t>
            </w:r>
            <w:r>
              <w:rPr>
                <w:rFonts w:hint="eastAsia" w:ascii="仿宋" w:hAnsi="仿宋" w:eastAsia="仿宋" w:cs="仿宋"/>
                <w:color w:val="auto"/>
                <w:sz w:val="32"/>
                <w:szCs w:val="32"/>
                <w:highlight w:val="none"/>
              </w:rPr>
              <w:t>，遵循上压下原则，互相搭接。</w:t>
            </w:r>
            <w:r>
              <w:rPr>
                <w:rFonts w:hint="eastAsia" w:ascii="仿宋" w:hAnsi="仿宋" w:eastAsia="仿宋" w:cs="仿宋"/>
                <w:color w:val="auto"/>
                <w:sz w:val="32"/>
                <w:szCs w:val="32"/>
                <w:highlight w:val="none"/>
                <w:lang w:val="en-US" w:eastAsia="zh-CN"/>
              </w:rPr>
              <w:t>灯头直径200mm，高度550mm（允许公差范围为±10mm）；水晶柱直径52mm，高度355mm（允许公差范围为±5mm）</w:t>
            </w:r>
            <w:r>
              <w:rPr>
                <w:rFonts w:hint="eastAsia" w:ascii="仿宋" w:hAnsi="仿宋" w:eastAsia="仿宋" w:cs="仿宋"/>
                <w:color w:val="auto"/>
                <w:sz w:val="32"/>
                <w:szCs w:val="3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2"/>
            <w:noWrap w:val="0"/>
            <w:vAlign w:val="center"/>
          </w:tcPr>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模拟安装条件</w:t>
            </w:r>
          </w:p>
          <w:tbl>
            <w:tblPr>
              <w:tblStyle w:val="8"/>
              <w:tblW w:w="6751" w:type="dxa"/>
              <w:tblInd w:w="0" w:type="dxa"/>
              <w:tblLayout w:type="fixed"/>
              <w:tblCellMar>
                <w:top w:w="0" w:type="dxa"/>
                <w:left w:w="108" w:type="dxa"/>
                <w:bottom w:w="0" w:type="dxa"/>
                <w:right w:w="108" w:type="dxa"/>
              </w:tblCellMar>
            </w:tblPr>
            <w:tblGrid>
              <w:gridCol w:w="886"/>
              <w:gridCol w:w="3910"/>
              <w:gridCol w:w="1955"/>
            </w:tblGrid>
            <w:tr>
              <w:tblPrEx>
                <w:tblCellMar>
                  <w:top w:w="0" w:type="dxa"/>
                  <w:left w:w="108" w:type="dxa"/>
                  <w:bottom w:w="0" w:type="dxa"/>
                  <w:right w:w="108" w:type="dxa"/>
                </w:tblCellMar>
              </w:tblPrEx>
              <w:trPr>
                <w:trHeight w:val="442" w:hRule="atLeast"/>
              </w:trPr>
              <w:tc>
                <w:tcPr>
                  <w:tcW w:w="656" w:type="pct"/>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p>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灯具系统安装条件</w:t>
                  </w:r>
                </w:p>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p>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道路类别：</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园路</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道路宽度(m)：</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5</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车道数</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w:t>
                  </w:r>
                </w:p>
              </w:tc>
            </w:tr>
            <w:tr>
              <w:tblPrEx>
                <w:tblCellMar>
                  <w:top w:w="0" w:type="dxa"/>
                  <w:left w:w="108" w:type="dxa"/>
                  <w:bottom w:w="0" w:type="dxa"/>
                  <w:right w:w="108" w:type="dxa"/>
                </w:tblCellMar>
              </w:tblPrEx>
              <w:trPr>
                <w:trHeight w:val="624"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道路表面材料</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沥青</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灯具布置方式</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单侧</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灯具安装高度(m)</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default"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3.5</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灯杆的安装间距(m)</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20</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灯杆与路沿</w:t>
                  </w:r>
                  <w:r>
                    <w:rPr>
                      <w:rFonts w:hint="eastAsia" w:ascii="仿宋" w:hAnsi="仿宋" w:eastAsia="仿宋" w:cs="仿宋"/>
                      <w:color w:val="auto"/>
                      <w:kern w:val="0"/>
                      <w:sz w:val="32"/>
                      <w:szCs w:val="32"/>
                      <w:highlight w:val="none"/>
                      <w:lang w:val="en-US" w:eastAsia="zh-CN"/>
                    </w:rPr>
                    <w:t>外侧</w:t>
                  </w:r>
                  <w:r>
                    <w:rPr>
                      <w:rFonts w:hint="eastAsia" w:ascii="仿宋" w:hAnsi="仿宋" w:eastAsia="仿宋" w:cs="仿宋"/>
                      <w:color w:val="auto"/>
                      <w:kern w:val="0"/>
                      <w:sz w:val="32"/>
                      <w:szCs w:val="32"/>
                      <w:highlight w:val="none"/>
                    </w:rPr>
                    <w:t>的距离(m)</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0.5</w:t>
                  </w:r>
                </w:p>
              </w:tc>
            </w:tr>
            <w:tr>
              <w:tblPrEx>
                <w:tblCellMar>
                  <w:top w:w="0" w:type="dxa"/>
                  <w:left w:w="108" w:type="dxa"/>
                  <w:bottom w:w="0" w:type="dxa"/>
                  <w:right w:w="108" w:type="dxa"/>
                </w:tblCellMar>
              </w:tblPrEx>
              <w:trPr>
                <w:trHeight w:val="412"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灯臂长度</w:t>
                  </w:r>
                  <w:r>
                    <w:rPr>
                      <w:rFonts w:hint="eastAsia" w:ascii="仿宋" w:hAnsi="仿宋" w:eastAsia="仿宋" w:cs="仿宋"/>
                      <w:color w:val="auto"/>
                      <w:kern w:val="0"/>
                      <w:sz w:val="32"/>
                      <w:szCs w:val="32"/>
                      <w:highlight w:val="none"/>
                      <w:lang w:val="en-US" w:eastAsia="zh-CN"/>
                    </w:rPr>
                    <w:t>(</w:t>
                  </w:r>
                  <w:r>
                    <w:rPr>
                      <w:rFonts w:hint="eastAsia" w:ascii="仿宋" w:hAnsi="仿宋" w:eastAsia="仿宋" w:cs="仿宋"/>
                      <w:color w:val="auto"/>
                      <w:kern w:val="0"/>
                      <w:sz w:val="32"/>
                      <w:szCs w:val="32"/>
                      <w:highlight w:val="none"/>
                    </w:rPr>
                    <w:t>m</w:t>
                  </w:r>
                  <w:r>
                    <w:rPr>
                      <w:rFonts w:hint="eastAsia" w:ascii="仿宋" w:hAnsi="仿宋" w:eastAsia="仿宋" w:cs="仿宋"/>
                      <w:color w:val="auto"/>
                      <w:kern w:val="0"/>
                      <w:sz w:val="32"/>
                      <w:szCs w:val="32"/>
                      <w:highlight w:val="none"/>
                      <w:lang w:val="en-US" w:eastAsia="zh-CN"/>
                    </w:rPr>
                    <w:t>)</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0</w:t>
                  </w:r>
                </w:p>
              </w:tc>
            </w:tr>
            <w:tr>
              <w:tblPrEx>
                <w:tblCellMar>
                  <w:top w:w="0" w:type="dxa"/>
                  <w:left w:w="108" w:type="dxa"/>
                  <w:bottom w:w="0" w:type="dxa"/>
                  <w:right w:w="108" w:type="dxa"/>
                </w:tblCellMar>
              </w:tblPrEx>
              <w:trPr>
                <w:trHeight w:val="327" w:hRule="atLeas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lang w:eastAsia="zh-CN"/>
                    </w:rPr>
                  </w:pPr>
                  <w:r>
                    <w:rPr>
                      <w:rFonts w:hint="eastAsia" w:ascii="仿宋" w:hAnsi="仿宋" w:eastAsia="仿宋" w:cs="仿宋"/>
                      <w:color w:val="auto"/>
                      <w:kern w:val="0"/>
                      <w:sz w:val="32"/>
                      <w:szCs w:val="32"/>
                      <w:highlight w:val="none"/>
                    </w:rPr>
                    <w:t>灯具仰角</w:t>
                  </w:r>
                  <w:r>
                    <w:rPr>
                      <w:rFonts w:hint="eastAsia" w:ascii="仿宋" w:hAnsi="仿宋" w:eastAsia="仿宋" w:cs="仿宋"/>
                      <w:color w:val="auto"/>
                      <w:kern w:val="0"/>
                      <w:sz w:val="32"/>
                      <w:szCs w:val="32"/>
                      <w:highlight w:val="none"/>
                      <w:lang w:val="en-US" w:eastAsia="zh-CN"/>
                    </w:rPr>
                    <w:t>(</w:t>
                  </w:r>
                  <w:r>
                    <w:rPr>
                      <w:rFonts w:hint="eastAsia" w:ascii="仿宋" w:hAnsi="仿宋" w:eastAsia="仿宋" w:cs="仿宋"/>
                      <w:color w:val="auto"/>
                      <w:kern w:val="0"/>
                      <w:sz w:val="32"/>
                      <w:szCs w:val="32"/>
                      <w:highlight w:val="none"/>
                    </w:rPr>
                    <w:t>度</w:t>
                  </w:r>
                  <w:r>
                    <w:rPr>
                      <w:rFonts w:hint="eastAsia" w:ascii="仿宋" w:hAnsi="仿宋" w:eastAsia="仿宋" w:cs="仿宋"/>
                      <w:color w:val="auto"/>
                      <w:kern w:val="0"/>
                      <w:sz w:val="32"/>
                      <w:szCs w:val="32"/>
                      <w:highlight w:val="none"/>
                      <w:lang w:val="en-US" w:eastAsia="zh-CN"/>
                    </w:rPr>
                    <w:t>)</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0</w:t>
                  </w:r>
                </w:p>
              </w:tc>
            </w:tr>
            <w:tr>
              <w:tblPrEx>
                <w:tblCellMar>
                  <w:top w:w="0" w:type="dxa"/>
                  <w:left w:w="108" w:type="dxa"/>
                  <w:bottom w:w="0" w:type="dxa"/>
                  <w:right w:w="108" w:type="dxa"/>
                </w:tblCellMar>
              </w:tblPrEx>
              <w:trPr>
                <w:trHeight w:val="567" w:hRule="exact"/>
              </w:trPr>
              <w:tc>
                <w:tcPr>
                  <w:tcW w:w="656" w:type="pct"/>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2895"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灯具维护系数</w:t>
                  </w:r>
                </w:p>
              </w:tc>
              <w:tc>
                <w:tcPr>
                  <w:tcW w:w="1447" w:type="pc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0.7</w:t>
                  </w:r>
                </w:p>
              </w:tc>
            </w:tr>
          </w:tbl>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在上述</w:t>
            </w:r>
            <w:r>
              <w:rPr>
                <w:rFonts w:hint="eastAsia" w:ascii="仿宋" w:hAnsi="仿宋" w:eastAsia="仿宋" w:cs="仿宋"/>
                <w:color w:val="auto"/>
                <w:sz w:val="32"/>
                <w:szCs w:val="32"/>
                <w:highlight w:val="none"/>
                <w:lang w:val="en-US" w:eastAsia="zh-CN"/>
              </w:rPr>
              <w:t>园路</w:t>
            </w:r>
            <w:r>
              <w:rPr>
                <w:rFonts w:hint="eastAsia" w:ascii="仿宋" w:hAnsi="仿宋" w:eastAsia="仿宋" w:cs="仿宋"/>
                <w:color w:val="auto"/>
                <w:sz w:val="32"/>
                <w:szCs w:val="32"/>
                <w:highlight w:val="none"/>
              </w:rPr>
              <w:t>模拟安装条件下照明需满足以下要求：</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（1）路面平均照度Eav（</w:t>
            </w:r>
            <w:r>
              <w:rPr>
                <w:rFonts w:hint="eastAsia" w:ascii="仿宋" w:hAnsi="仿宋" w:eastAsia="仿宋" w:cs="仿宋"/>
                <w:color w:val="auto"/>
                <w:sz w:val="32"/>
                <w:szCs w:val="32"/>
                <w:highlight w:val="none"/>
                <w:lang w:eastAsia="zh-CN"/>
              </w:rPr>
              <w:t>lx</w:t>
            </w:r>
            <w:r>
              <w:rPr>
                <w:rFonts w:hint="eastAsia" w:ascii="仿宋" w:hAnsi="仿宋" w:eastAsia="仿宋" w:cs="仿宋"/>
                <w:color w:val="auto"/>
                <w:sz w:val="32"/>
                <w:szCs w:val="32"/>
                <w:highlight w:val="none"/>
              </w:rPr>
              <w:t>）维持值不低于</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lx</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（2）路面最小照度Emin（</w:t>
            </w:r>
            <w:r>
              <w:rPr>
                <w:rFonts w:hint="eastAsia" w:ascii="仿宋" w:hAnsi="仿宋" w:eastAsia="仿宋" w:cs="仿宋"/>
                <w:color w:val="auto"/>
                <w:sz w:val="32"/>
                <w:szCs w:val="32"/>
                <w:highlight w:val="none"/>
                <w:lang w:eastAsia="zh-CN"/>
              </w:rPr>
              <w:t>lx</w:t>
            </w:r>
            <w:r>
              <w:rPr>
                <w:rFonts w:hint="eastAsia" w:ascii="仿宋" w:hAnsi="仿宋" w:eastAsia="仿宋" w:cs="仿宋"/>
                <w:color w:val="auto"/>
                <w:sz w:val="32"/>
                <w:szCs w:val="32"/>
                <w:highlight w:val="none"/>
              </w:rPr>
              <w:t>）维持值不低于1</w:t>
            </w:r>
            <w:r>
              <w:rPr>
                <w:rFonts w:hint="eastAsia" w:ascii="仿宋" w:hAnsi="仿宋" w:eastAsia="仿宋" w:cs="仿宋"/>
                <w:color w:val="auto"/>
                <w:sz w:val="32"/>
                <w:szCs w:val="32"/>
                <w:highlight w:val="none"/>
                <w:lang w:eastAsia="zh-CN"/>
              </w:rPr>
              <w:t>lx</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照明眩光限值</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795"/>
              <w:gridCol w:w="1793"/>
              <w:gridCol w:w="1795"/>
              <w:gridCol w:w="17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648" w:type="dxa"/>
                  <w:vMerge w:val="restart"/>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级别</w:t>
                  </w:r>
                </w:p>
              </w:tc>
              <w:tc>
                <w:tcPr>
                  <w:tcW w:w="7112" w:type="dxa"/>
                  <w:gridSpan w:val="4"/>
                  <w:noWrap w:val="0"/>
                  <w:vAlign w:val="center"/>
                </w:tcPr>
                <w:p>
                  <w:pPr>
                    <w:pageBreakBefore w:val="0"/>
                    <w:kinsoku/>
                    <w:wordWrap/>
                    <w:overflowPunct/>
                    <w:topLinePunct w:val="0"/>
                    <w:autoSpaceDE/>
                    <w:autoSpaceDN/>
                    <w:bidi w:val="0"/>
                    <w:spacing w:line="570" w:lineRule="exact"/>
                    <w:ind w:firstLine="640" w:firstLineChars="20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最大光强Imax（cd/1000lm）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48" w:type="dxa"/>
                  <w:vMerge w:val="continue"/>
                  <w:noWrap w:val="0"/>
                  <w:vAlign w:val="center"/>
                </w:tcPr>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p>
              </w:tc>
              <w:tc>
                <w:tcPr>
                  <w:tcW w:w="1795"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≥70°</w:t>
                  </w:r>
                </w:p>
              </w:tc>
              <w:tc>
                <w:tcPr>
                  <w:tcW w:w="1793"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≥80°</w:t>
                  </w:r>
                </w:p>
              </w:tc>
              <w:tc>
                <w:tcPr>
                  <w:tcW w:w="1795"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≥90°</w:t>
                  </w:r>
                </w:p>
              </w:tc>
              <w:tc>
                <w:tcPr>
                  <w:tcW w:w="1729"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&gt;95°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w:t>
                  </w:r>
                </w:p>
              </w:tc>
              <w:tc>
                <w:tcPr>
                  <w:tcW w:w="1795"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tc>
              <w:tc>
                <w:tcPr>
                  <w:tcW w:w="1793"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100</w:t>
                  </w:r>
                </w:p>
              </w:tc>
              <w:tc>
                <w:tcPr>
                  <w:tcW w:w="1795"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w:t>
                  </w:r>
                </w:p>
              </w:tc>
              <w:tc>
                <w:tcPr>
                  <w:tcW w:w="1729" w:type="dxa"/>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648" w:type="dxa"/>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备注</w:t>
                  </w:r>
                </w:p>
              </w:tc>
              <w:tc>
                <w:tcPr>
                  <w:tcW w:w="7112" w:type="dxa"/>
                  <w:gridSpan w:val="4"/>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表中给出的是灯具在模拟安装就位后与其向下垂直轴形成的指定角度上任何方向上的发光强度。</w:t>
                  </w:r>
                </w:p>
              </w:tc>
            </w:tr>
          </w:tbl>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灯具批量安装后，将对现场路面照度进行抽检，如测量数据未达标，中标单位需在一个月内整改完毕，并承担整改所需所有费用。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材质和工艺：高压铸铝灯体</w:t>
            </w:r>
            <w:r>
              <w:rPr>
                <w:rFonts w:hint="eastAsia" w:ascii="仿宋" w:hAnsi="仿宋" w:eastAsia="仿宋" w:cs="仿宋"/>
                <w:color w:val="auto"/>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灯具颜色：</w:t>
            </w:r>
            <w:r>
              <w:rPr>
                <w:rFonts w:hint="eastAsia" w:ascii="仿宋" w:hAnsi="仿宋" w:eastAsia="仿宋" w:cs="仿宋"/>
                <w:color w:val="auto"/>
                <w:sz w:val="32"/>
                <w:szCs w:val="32"/>
                <w:highlight w:val="none"/>
                <w:lang w:val="en-US" w:eastAsia="zh-CN"/>
              </w:rPr>
              <w:t>松绿砂纹</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生产前须与业主方确认</w:t>
            </w:r>
            <w:r>
              <w:rPr>
                <w:rFonts w:hint="eastAsia" w:ascii="仿宋" w:hAnsi="仿宋" w:eastAsia="仿宋" w:cs="仿宋"/>
                <w:color w:val="auto"/>
                <w:sz w:val="32"/>
                <w:szCs w:val="32"/>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附件：含所有安装所需附件。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000" w:type="pct"/>
            <w:gridSpan w:val="2"/>
            <w:noWrap w:val="0"/>
            <w:vAlign w:val="center"/>
          </w:tcPr>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安装方式：</w:t>
            </w:r>
            <w:r>
              <w:rPr>
                <w:rFonts w:hint="eastAsia" w:ascii="仿宋" w:hAnsi="仿宋" w:eastAsia="仿宋" w:cs="仿宋"/>
                <w:color w:val="auto"/>
                <w:sz w:val="32"/>
                <w:szCs w:val="32"/>
                <w:highlight w:val="none"/>
              </w:rPr>
              <w:t>灯杆顶装</w:t>
            </w:r>
            <w:r>
              <w:rPr>
                <w:rFonts w:hint="eastAsia" w:ascii="仿宋" w:hAnsi="仿宋" w:eastAsia="仿宋" w:cs="仿宋"/>
                <w:color w:val="auto"/>
                <w:sz w:val="32"/>
                <w:szCs w:val="32"/>
                <w:highlight w:val="none"/>
                <w:lang w:eastAsia="zh-CN"/>
              </w:rPr>
              <w:t>。</w:t>
            </w:r>
          </w:p>
        </w:tc>
      </w:tr>
    </w:tbl>
    <w:p>
      <w:pPr>
        <w:pageBreakBefore w:val="0"/>
        <w:kinsoku/>
        <w:wordWrap/>
        <w:overflowPunct/>
        <w:topLinePunct w:val="0"/>
        <w:autoSpaceDE/>
        <w:autoSpaceDN/>
        <w:bidi w:val="0"/>
        <w:snapToGrid w:val="0"/>
        <w:spacing w:line="570" w:lineRule="exact"/>
        <w:ind w:left="0" w:leftChars="0" w:firstLine="736" w:firstLineChars="230"/>
        <w:jc w:val="left"/>
        <w:textAlignment w:val="auto"/>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lang w:val="en-US" w:eastAsia="zh-CN"/>
        </w:rPr>
        <w:t>2.</w:t>
      </w:r>
      <w:r>
        <w:rPr>
          <w:rFonts w:hint="eastAsia" w:ascii="楷体" w:hAnsi="楷体" w:eastAsia="楷体" w:cs="楷体"/>
          <w:color w:val="auto"/>
          <w:sz w:val="32"/>
          <w:szCs w:val="32"/>
          <w:highlight w:val="none"/>
        </w:rPr>
        <w:t>灯杆部分的具体要求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（1）材质要求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灯杆尺寸按照所提供图纸制作。灯杆采用圆型</w:t>
      </w:r>
      <w:r>
        <w:rPr>
          <w:rFonts w:hint="eastAsia" w:ascii="仿宋" w:hAnsi="仿宋" w:eastAsia="仿宋" w:cs="仿宋"/>
          <w:color w:val="auto"/>
          <w:sz w:val="32"/>
          <w:szCs w:val="32"/>
          <w:highlight w:val="none"/>
          <w:lang w:val="en-US" w:eastAsia="zh-CN"/>
        </w:rPr>
        <w:t>铝杆</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型号为6063-T5，壁厚4.5mm。</w:t>
      </w:r>
      <w:r>
        <w:rPr>
          <w:rFonts w:hint="eastAsia" w:ascii="仿宋" w:hAnsi="仿宋" w:eastAsia="仿宋" w:cs="仿宋"/>
          <w:color w:val="auto"/>
          <w:sz w:val="32"/>
          <w:szCs w:val="32"/>
          <w:highlight w:val="none"/>
        </w:rPr>
        <w:t>供货时附生产厂家“产品质量证明书”。</w:t>
      </w:r>
      <w:r>
        <w:rPr>
          <w:rFonts w:hint="eastAsia" w:ascii="仿宋" w:hAnsi="仿宋" w:eastAsia="仿宋" w:cs="仿宋"/>
          <w:color w:val="auto"/>
          <w:sz w:val="32"/>
          <w:szCs w:val="32"/>
          <w:highlight w:val="none"/>
          <w:lang w:val="en-US" w:eastAsia="zh-CN"/>
        </w:rPr>
        <w:t>法兰盘材质为20mm铝材，型号为6063-T5。</w:t>
      </w:r>
      <w:r>
        <w:rPr>
          <w:rFonts w:hint="eastAsia" w:ascii="仿宋" w:hAnsi="仿宋" w:eastAsia="仿宋" w:cs="仿宋"/>
          <w:color w:val="auto"/>
          <w:sz w:val="32"/>
          <w:szCs w:val="32"/>
          <w:highlight w:val="none"/>
        </w:rPr>
        <w:t>供货时</w:t>
      </w:r>
      <w:r>
        <w:rPr>
          <w:rFonts w:hint="eastAsia" w:ascii="仿宋" w:hAnsi="仿宋" w:eastAsia="仿宋" w:cs="仿宋"/>
          <w:color w:val="auto"/>
          <w:sz w:val="32"/>
          <w:szCs w:val="32"/>
          <w:highlight w:val="none"/>
          <w:lang w:val="en-US" w:eastAsia="zh-CN"/>
        </w:rPr>
        <w:t>附生产厂家“产品质量证明书”。法兰盘安装孔中心距为300×300mm，整灯直径≤200mm，高度≤4000mm(允许公差范围为±10mm)，见灯杆加工尺寸示意图（图4）。灯杆底部法兰采用内外焊接，不能有加强筋。</w:t>
      </w:r>
      <w:r>
        <w:rPr>
          <w:rFonts w:hint="eastAsia" w:ascii="仿宋" w:hAnsi="仿宋" w:eastAsia="仿宋" w:cs="仿宋"/>
          <w:color w:val="auto"/>
          <w:sz w:val="32"/>
          <w:szCs w:val="32"/>
          <w:highlight w:val="none"/>
        </w:rPr>
        <w:t>灯杆（不含灯</w:t>
      </w:r>
      <w:r>
        <w:rPr>
          <w:rFonts w:hint="eastAsia" w:ascii="仿宋" w:hAnsi="仿宋" w:eastAsia="仿宋" w:cs="仿宋"/>
          <w:color w:val="auto"/>
          <w:sz w:val="32"/>
          <w:szCs w:val="32"/>
          <w:highlight w:val="none"/>
          <w:lang w:val="en-US" w:eastAsia="zh-CN"/>
        </w:rPr>
        <w:t>具</w:t>
      </w:r>
      <w:r>
        <w:rPr>
          <w:rFonts w:hint="eastAsia" w:ascii="仿宋" w:hAnsi="仿宋" w:eastAsia="仿宋" w:cs="仿宋"/>
          <w:color w:val="auto"/>
          <w:sz w:val="32"/>
          <w:szCs w:val="32"/>
          <w:highlight w:val="none"/>
        </w:rPr>
        <w:t>重量）重量</w:t>
      </w:r>
      <w:r>
        <w:rPr>
          <w:rFonts w:hint="eastAsia" w:ascii="仿宋" w:hAnsi="仿宋" w:eastAsia="仿宋" w:cs="仿宋"/>
          <w:color w:val="auto"/>
          <w:sz w:val="32"/>
          <w:szCs w:val="32"/>
          <w:highlight w:val="none"/>
          <w:lang w:val="en-US" w:eastAsia="zh-CN"/>
        </w:rPr>
        <w:t>见</w:t>
      </w:r>
      <w:r>
        <w:rPr>
          <w:rFonts w:hint="eastAsia" w:ascii="仿宋" w:hAnsi="仿宋" w:eastAsia="仿宋" w:cs="仿宋"/>
          <w:color w:val="auto"/>
          <w:sz w:val="32"/>
          <w:szCs w:val="32"/>
          <w:highlight w:val="none"/>
        </w:rPr>
        <w:t>下表：</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1"/>
        <w:gridCol w:w="3201"/>
        <w:gridCol w:w="28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99" w:hRule="atLeast"/>
          <w:jc w:val="center"/>
        </w:trPr>
        <w:tc>
          <w:tcPr>
            <w:tcW w:w="1456" w:type="pct"/>
            <w:noWrap w:val="0"/>
            <w:vAlign w:val="center"/>
          </w:tcPr>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名称型号规格</w:t>
            </w:r>
          </w:p>
        </w:tc>
        <w:tc>
          <w:tcPr>
            <w:tcW w:w="1878" w:type="pct"/>
            <w:noWrap w:val="0"/>
            <w:vAlign w:val="center"/>
          </w:tcPr>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喷塑</w:t>
            </w:r>
            <w:r>
              <w:rPr>
                <w:rFonts w:hint="eastAsia" w:ascii="仿宋" w:hAnsi="仿宋" w:eastAsia="仿宋" w:cs="仿宋"/>
                <w:color w:val="auto"/>
                <w:sz w:val="32"/>
                <w:szCs w:val="32"/>
                <w:highlight w:val="none"/>
                <w:lang w:val="en-US" w:eastAsia="zh-CN"/>
              </w:rPr>
              <w:t>后灯具</w:t>
            </w:r>
            <w:r>
              <w:rPr>
                <w:rFonts w:hint="eastAsia" w:ascii="仿宋" w:hAnsi="仿宋" w:eastAsia="仿宋" w:cs="仿宋"/>
                <w:color w:val="auto"/>
                <w:sz w:val="32"/>
                <w:szCs w:val="32"/>
                <w:highlight w:val="none"/>
              </w:rPr>
              <w:t>重量</w:t>
            </w:r>
          </w:p>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(公斤)</w:t>
            </w:r>
          </w:p>
        </w:tc>
        <w:tc>
          <w:tcPr>
            <w:tcW w:w="1666" w:type="pct"/>
            <w:noWrap w:val="0"/>
            <w:vAlign w:val="center"/>
          </w:tcPr>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喷塑</w:t>
            </w:r>
            <w:r>
              <w:rPr>
                <w:rFonts w:hint="eastAsia" w:ascii="仿宋" w:hAnsi="仿宋" w:eastAsia="仿宋" w:cs="仿宋"/>
                <w:color w:val="auto"/>
                <w:sz w:val="32"/>
                <w:szCs w:val="32"/>
                <w:highlight w:val="none"/>
                <w:lang w:val="en-US" w:eastAsia="zh-CN"/>
              </w:rPr>
              <w:t>后灯</w:t>
            </w:r>
            <w:r>
              <w:rPr>
                <w:rFonts w:hint="eastAsia" w:ascii="仿宋" w:hAnsi="仿宋" w:eastAsia="仿宋" w:cs="仿宋"/>
                <w:color w:val="auto"/>
                <w:sz w:val="32"/>
                <w:szCs w:val="32"/>
                <w:highlight w:val="none"/>
              </w:rPr>
              <w:t>杆重量</w:t>
            </w:r>
          </w:p>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(公斤)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456" w:type="pct"/>
            <w:noWrap w:val="0"/>
            <w:vAlign w:val="center"/>
          </w:tcPr>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庭院灯</w:t>
            </w:r>
          </w:p>
        </w:tc>
        <w:tc>
          <w:tcPr>
            <w:tcW w:w="1878" w:type="pct"/>
            <w:noWrap w:val="0"/>
            <w:vAlign w:val="center"/>
          </w:tcPr>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3.5</w:t>
            </w:r>
          </w:p>
        </w:tc>
        <w:tc>
          <w:tcPr>
            <w:tcW w:w="1666" w:type="pct"/>
            <w:noWrap w:val="0"/>
            <w:vAlign w:val="center"/>
          </w:tcPr>
          <w:p>
            <w:pPr>
              <w:pageBreakBefore w:val="0"/>
              <w:kinsoku/>
              <w:wordWrap/>
              <w:overflowPunct/>
              <w:topLinePunct w:val="0"/>
              <w:autoSpaceDE/>
              <w:autoSpaceDN/>
              <w:bidi w:val="0"/>
              <w:snapToGrid w:val="0"/>
              <w:spacing w:line="570" w:lineRule="exact"/>
              <w:ind w:left="0" w:leftChars="0" w:firstLine="0" w:firstLineChars="0"/>
              <w:jc w:val="center"/>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5000" w:type="pct"/>
            <w:gridSpan w:val="3"/>
            <w:noWrap w:val="0"/>
            <w:vAlign w:val="center"/>
          </w:tcPr>
          <w:p>
            <w:pPr>
              <w:pageBreakBefore w:val="0"/>
              <w:kinsoku/>
              <w:wordWrap/>
              <w:overflowPunct/>
              <w:topLinePunct w:val="0"/>
              <w:autoSpaceDE/>
              <w:autoSpaceDN/>
              <w:bidi w:val="0"/>
              <w:snapToGrid w:val="0"/>
              <w:spacing w:line="570" w:lineRule="exact"/>
              <w:ind w:left="0" w:leftChars="0" w:firstLine="0" w:firstLineChars="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备注：允许重量公差范围为±5%。</w:t>
            </w:r>
          </w:p>
        </w:tc>
      </w:tr>
    </w:tbl>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（2）加工工艺要求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整个杆体及部件焊接要求不应低于图示要求，应无任何一处漏焊，焊缝平整，表面光滑，无任何焊接缺陷。焊接工艺符合国家标准。要求提供焊接探伤报告。</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（3）喷塑要求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表面喷塑处理，不允许做磨砂喷塑，喷塑涂层外观表面光滑,平整,无露铁,桔皮,细小颗粒和缩孔等涂装缺陷。</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喷塑表面涂层平均厚度应达到85μm 以上。</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喷塑涂层的附着力应达到GB/T 9286 规定的0 级要求。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喷塑涂层的硬度应按GB/T 6739规定，并达到2H要求。</w:t>
      </w:r>
    </w:p>
    <w:p>
      <w:pPr>
        <w:pageBreakBefore w:val="0"/>
        <w:kinsoku/>
        <w:wordWrap/>
        <w:overflowPunct/>
        <w:topLinePunct w:val="0"/>
        <w:autoSpaceDE/>
        <w:autoSpaceDN/>
        <w:bidi w:val="0"/>
        <w:snapToGrid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4）</w:t>
      </w:r>
      <w:r>
        <w:rPr>
          <w:rFonts w:hint="eastAsia" w:ascii="仿宋" w:hAnsi="仿宋" w:eastAsia="仿宋" w:cs="仿宋"/>
          <w:color w:val="auto"/>
          <w:sz w:val="32"/>
          <w:szCs w:val="32"/>
          <w:highlight w:val="none"/>
        </w:rPr>
        <w:t>喷塑涂层的冲击强度不小于1kg/50cm，并符合GB/T 1732 的要求。</w:t>
      </w:r>
    </w:p>
    <w:p>
      <w:pPr>
        <w:pStyle w:val="10"/>
        <w:pageBreakBefore w:val="0"/>
        <w:kinsoku/>
        <w:wordWrap/>
        <w:overflowPunct/>
        <w:topLinePunct w:val="0"/>
        <w:autoSpaceDE/>
        <w:autoSpaceDN/>
        <w:bidi w:val="0"/>
        <w:snapToGrid w:val="0"/>
        <w:spacing w:line="570" w:lineRule="exact"/>
        <w:ind w:left="0" w:leftChars="0" w:firstLine="640" w:firstLineChars="0"/>
        <w:jc w:val="left"/>
        <w:textAlignment w:val="auto"/>
        <w:rPr>
          <w:rFonts w:hint="eastAsia" w:ascii="仿宋" w:hAnsi="仿宋" w:eastAsia="仿宋" w:cs="仿宋"/>
          <w:b w:val="0"/>
          <w:bCs w:val="0"/>
          <w:color w:val="auto"/>
          <w:kern w:val="2"/>
          <w:sz w:val="32"/>
          <w:szCs w:val="32"/>
          <w:highlight w:val="none"/>
          <w:lang w:val="en-US" w:eastAsia="zh-CN" w:bidi="ar-SA"/>
        </w:rPr>
      </w:pPr>
      <w:bookmarkStart w:id="56" w:name="_Toc15113"/>
      <w:r>
        <w:rPr>
          <w:rFonts w:hint="eastAsia" w:ascii="仿宋" w:hAnsi="仿宋" w:eastAsia="仿宋" w:cs="仿宋"/>
          <w:b w:val="0"/>
          <w:bCs w:val="0"/>
          <w:color w:val="auto"/>
          <w:kern w:val="2"/>
          <w:sz w:val="32"/>
          <w:szCs w:val="32"/>
          <w:highlight w:val="none"/>
          <w:lang w:val="en-US" w:eastAsia="zh-CN" w:bidi="ar-SA"/>
        </w:rPr>
        <w:t>（4）颜色要求</w:t>
      </w:r>
      <w:bookmarkEnd w:id="56"/>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RAL7012</w:t>
      </w:r>
      <w:r>
        <w:rPr>
          <w:rFonts w:hint="eastAsia" w:ascii="仿宋" w:hAnsi="仿宋" w:eastAsia="仿宋" w:cs="仿宋"/>
          <w:color w:val="auto"/>
          <w:sz w:val="32"/>
          <w:szCs w:val="32"/>
          <w:highlight w:val="none"/>
        </w:rPr>
        <w:t>。可根据采购单位要求更换其他颜色。</w:t>
      </w:r>
    </w:p>
    <w:p>
      <w:pPr>
        <w:pStyle w:val="10"/>
        <w:pageBreakBefore w:val="0"/>
        <w:kinsoku/>
        <w:wordWrap/>
        <w:overflowPunct/>
        <w:topLinePunct w:val="0"/>
        <w:autoSpaceDE/>
        <w:autoSpaceDN/>
        <w:bidi w:val="0"/>
        <w:snapToGrid w:val="0"/>
        <w:spacing w:line="570" w:lineRule="exact"/>
        <w:ind w:left="0" w:leftChars="0" w:firstLine="640" w:firstLineChars="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（5）配置要求</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检修门内配置304不锈钢螺丝（母）和304不锈钢垫片，灯杆套接、固定处配置304不锈钢材质螺丝（母），配置灯杆安装的镀锌螺母，具体尺寸和数量详见</w:t>
      </w:r>
      <w:r>
        <w:rPr>
          <w:rFonts w:hint="eastAsia" w:ascii="仿宋" w:hAnsi="仿宋" w:eastAsia="仿宋" w:cs="仿宋"/>
          <w:color w:val="auto"/>
          <w:sz w:val="32"/>
          <w:szCs w:val="32"/>
          <w:highlight w:val="none"/>
          <w:lang w:val="en-US" w:eastAsia="zh-CN"/>
        </w:rPr>
        <w:t>庭院灯检修门、防盗盖板制作图（图5）</w:t>
      </w:r>
      <w:r>
        <w:rPr>
          <w:rFonts w:hint="eastAsia" w:ascii="仿宋" w:hAnsi="仿宋" w:eastAsia="仿宋" w:cs="仿宋"/>
          <w:color w:val="auto"/>
          <w:sz w:val="32"/>
          <w:szCs w:val="32"/>
          <w:highlight w:val="none"/>
        </w:rPr>
        <w:t>要求。必须配置接地螺栓。灯杆和检修门在进行了镀锌工艺后，严禁再进行焊接工艺；检修门采用304不锈钢中空三角防盗螺栓固定。</w:t>
      </w:r>
    </w:p>
    <w:p>
      <w:pPr>
        <w:pStyle w:val="10"/>
        <w:pageBreakBefore w:val="0"/>
        <w:kinsoku/>
        <w:wordWrap/>
        <w:overflowPunct/>
        <w:topLinePunct w:val="0"/>
        <w:autoSpaceDE/>
        <w:autoSpaceDN/>
        <w:bidi w:val="0"/>
        <w:snapToGrid w:val="0"/>
        <w:spacing w:line="570" w:lineRule="exact"/>
        <w:ind w:left="0" w:leftChars="0" w:firstLine="640" w:firstLineChars="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（6）运输包装标准</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pPr>
        <w:pStyle w:val="10"/>
        <w:pageBreakBefore w:val="0"/>
        <w:kinsoku/>
        <w:wordWrap/>
        <w:overflowPunct/>
        <w:topLinePunct w:val="0"/>
        <w:autoSpaceDE/>
        <w:autoSpaceDN/>
        <w:bidi w:val="0"/>
        <w:snapToGrid w:val="0"/>
        <w:spacing w:line="570" w:lineRule="exact"/>
        <w:ind w:left="0" w:leftChars="0" w:firstLine="640" w:firstLineChars="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（7）灯杆加工尺寸示意图</w:t>
      </w:r>
    </w:p>
    <w:p>
      <w:pPr>
        <w:pageBreakBefore w:val="0"/>
        <w:kinsoku/>
        <w:wordWrap/>
        <w:overflowPunct/>
        <w:topLinePunct w:val="0"/>
        <w:autoSpaceDE/>
        <w:autoSpaceDN/>
        <w:bidi w:val="0"/>
        <w:snapToGrid w:val="0"/>
        <w:spacing w:line="240" w:lineRule="auto"/>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420" w:firstLineChars="200"/>
        <w:jc w:val="left"/>
        <w:textAlignment w:val="auto"/>
        <w:rPr>
          <w:rFonts w:hint="eastAsia" w:ascii="仿宋" w:hAnsi="仿宋" w:eastAsia="仿宋" w:cs="仿宋"/>
          <w:color w:val="auto"/>
          <w:sz w:val="32"/>
          <w:szCs w:val="32"/>
          <w:highlight w:val="none"/>
        </w:rPr>
      </w:pPr>
      <w:r>
        <w:drawing>
          <wp:anchor distT="0" distB="0" distL="114300" distR="114300" simplePos="0" relativeHeight="251665408" behindDoc="1" locked="0" layoutInCell="1" allowOverlap="1">
            <wp:simplePos x="0" y="0"/>
            <wp:positionH relativeFrom="column">
              <wp:posOffset>-283210</wp:posOffset>
            </wp:positionH>
            <wp:positionV relativeFrom="paragraph">
              <wp:posOffset>292100</wp:posOffset>
            </wp:positionV>
            <wp:extent cx="4149725" cy="6654800"/>
            <wp:effectExtent l="0" t="0" r="3175"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3"/>
                    <a:stretch>
                      <a:fillRect/>
                    </a:stretch>
                  </pic:blipFill>
                  <pic:spPr>
                    <a:xfrm>
                      <a:off x="0" y="0"/>
                      <a:ext cx="4149725" cy="6654800"/>
                    </a:xfrm>
                    <a:prstGeom prst="rect">
                      <a:avLst/>
                    </a:prstGeom>
                    <a:noFill/>
                    <a:ln>
                      <a:noFill/>
                    </a:ln>
                  </pic:spPr>
                </pic:pic>
              </a:graphicData>
            </a:graphic>
          </wp:anchor>
        </w:drawing>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lang w:eastAsia="zh-CN"/>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42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highlight w:val="none"/>
        </w:rPr>
        <w:drawing>
          <wp:anchor distT="0" distB="0" distL="114300" distR="114300" simplePos="0" relativeHeight="251666432" behindDoc="1" locked="0" layoutInCell="1" allowOverlap="1">
            <wp:simplePos x="0" y="0"/>
            <wp:positionH relativeFrom="column">
              <wp:posOffset>3592830</wp:posOffset>
            </wp:positionH>
            <wp:positionV relativeFrom="paragraph">
              <wp:posOffset>332740</wp:posOffset>
            </wp:positionV>
            <wp:extent cx="1864360" cy="1074420"/>
            <wp:effectExtent l="0" t="0" r="2540" b="5080"/>
            <wp:wrapNone/>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4"/>
                    <a:stretch>
                      <a:fillRect/>
                    </a:stretch>
                  </pic:blipFill>
                  <pic:spPr>
                    <a:xfrm>
                      <a:off x="0" y="0"/>
                      <a:ext cx="1864360" cy="1074420"/>
                    </a:xfrm>
                    <a:prstGeom prst="rect">
                      <a:avLst/>
                    </a:prstGeom>
                    <a:noFill/>
                    <a:ln>
                      <a:noFill/>
                    </a:ln>
                  </pic:spPr>
                </pic:pic>
              </a:graphicData>
            </a:graphic>
          </wp:anchor>
        </w:drawing>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jc w:val="both"/>
        <w:textAlignment w:val="auto"/>
        <w:rPr>
          <w:rFonts w:hint="eastAsia" w:ascii="仿宋" w:hAnsi="仿宋" w:eastAsia="仿宋" w:cs="仿宋"/>
          <w:color w:val="auto"/>
          <w:sz w:val="28"/>
          <w:szCs w:val="28"/>
          <w:highlight w:val="none"/>
          <w:lang w:val="en-US" w:eastAsia="zh-CN"/>
        </w:rPr>
      </w:pP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图4 灯杆加工尺寸示意图</w:t>
      </w:r>
    </w:p>
    <w:p>
      <w:pPr>
        <w:pageBreakBefore w:val="0"/>
        <w:kinsoku/>
        <w:wordWrap/>
        <w:overflowPunct/>
        <w:topLinePunct w:val="0"/>
        <w:autoSpaceDE/>
        <w:autoSpaceDN/>
        <w:bidi w:val="0"/>
        <w:snapToGrid w:val="0"/>
        <w:spacing w:line="570" w:lineRule="exact"/>
        <w:jc w:val="left"/>
        <w:textAlignment w:val="auto"/>
        <w:rPr>
          <w:rFonts w:hint="eastAsia" w:ascii="仿宋" w:hAnsi="仿宋" w:eastAsia="仿宋" w:cs="仿宋"/>
          <w:color w:val="auto"/>
          <w:sz w:val="32"/>
          <w:szCs w:val="32"/>
          <w:highlight w:val="none"/>
        </w:rPr>
        <w:sectPr>
          <w:headerReference r:id="rId3" w:type="default"/>
          <w:footerReference r:id="rId4" w:type="default"/>
          <w:pgSz w:w="11906" w:h="16838"/>
          <w:pgMar w:top="1440" w:right="1800" w:bottom="1440" w:left="1800" w:header="851" w:footer="992" w:gutter="0"/>
          <w:cols w:space="720" w:num="1"/>
          <w:docGrid w:type="lines" w:linePitch="312" w:charSpace="0"/>
        </w:sectPr>
      </w:pPr>
    </w:p>
    <w:p>
      <w:pPr>
        <w:pStyle w:val="10"/>
        <w:pageBreakBefore w:val="0"/>
        <w:kinsoku/>
        <w:wordWrap/>
        <w:overflowPunct/>
        <w:topLinePunct w:val="0"/>
        <w:autoSpaceDE/>
        <w:autoSpaceDN/>
        <w:bidi w:val="0"/>
        <w:snapToGrid w:val="0"/>
        <w:spacing w:line="570" w:lineRule="exact"/>
        <w:ind w:left="0" w:leftChars="0" w:firstLine="640" w:firstLineChars="0"/>
        <w:jc w:val="left"/>
        <w:textAlignment w:val="auto"/>
        <w:rPr>
          <w:rFonts w:hint="eastAsia" w:ascii="仿宋" w:hAnsi="仿宋" w:eastAsia="仿宋" w:cs="仿宋"/>
          <w:b w:val="0"/>
          <w:bCs w:val="0"/>
          <w:color w:val="auto"/>
          <w:kern w:val="2"/>
          <w:sz w:val="32"/>
          <w:szCs w:val="32"/>
          <w:highlight w:val="none"/>
          <w:lang w:val="en-US" w:eastAsia="zh-CN" w:bidi="ar-SA"/>
        </w:rPr>
      </w:pPr>
      <w:r>
        <w:rPr>
          <w:rFonts w:hint="eastAsia" w:ascii="仿宋" w:hAnsi="仿宋" w:eastAsia="仿宋" w:cs="仿宋"/>
          <w:b w:val="0"/>
          <w:bCs w:val="0"/>
          <w:color w:val="auto"/>
          <w:kern w:val="2"/>
          <w:sz w:val="32"/>
          <w:szCs w:val="32"/>
          <w:highlight w:val="none"/>
          <w:lang w:val="en-US" w:eastAsia="zh-CN" w:bidi="ar-SA"/>
        </w:rPr>
        <w:t>（8）庭院灯检修门、防盗盖板制作图</w:t>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drawing>
          <wp:anchor distT="0" distB="0" distL="114300" distR="114300" simplePos="0" relativeHeight="251660288" behindDoc="1" locked="0" layoutInCell="1" allowOverlap="1">
            <wp:simplePos x="0" y="0"/>
            <wp:positionH relativeFrom="column">
              <wp:posOffset>401320</wp:posOffset>
            </wp:positionH>
            <wp:positionV relativeFrom="paragraph">
              <wp:posOffset>149225</wp:posOffset>
            </wp:positionV>
            <wp:extent cx="5627370" cy="3683635"/>
            <wp:effectExtent l="0" t="0" r="11430" b="12065"/>
            <wp:wrapNone/>
            <wp:docPr id="12" name="图片 5" descr="庭院灯cad图-1-mode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descr="庭院灯cad图-1-model2"/>
                    <pic:cNvPicPr>
                      <a:picLocks noChangeAspect="1"/>
                    </pic:cNvPicPr>
                  </pic:nvPicPr>
                  <pic:blipFill>
                    <a:blip r:embed="rId15"/>
                    <a:srcRect t="11378" b="7032"/>
                    <a:stretch>
                      <a:fillRect/>
                    </a:stretch>
                  </pic:blipFill>
                  <pic:spPr>
                    <a:xfrm>
                      <a:off x="0" y="0"/>
                      <a:ext cx="5627370" cy="3683635"/>
                    </a:xfrm>
                    <a:prstGeom prst="rect">
                      <a:avLst/>
                    </a:prstGeom>
                    <a:noFill/>
                    <a:ln>
                      <a:noFill/>
                    </a:ln>
                  </pic:spPr>
                </pic:pic>
              </a:graphicData>
            </a:graphic>
          </wp:anchor>
        </w:drawing>
      </w: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eastAsia" w:ascii="仿宋" w:hAnsi="仿宋" w:eastAsia="仿宋" w:cs="仿宋"/>
          <w:color w:val="auto"/>
          <w:sz w:val="32"/>
          <w:szCs w:val="32"/>
          <w:highlight w:val="none"/>
        </w:rPr>
      </w:pPr>
    </w:p>
    <w:p>
      <w:pPr>
        <w:pageBreakBefore w:val="0"/>
        <w:kinsoku/>
        <w:wordWrap/>
        <w:overflowPunct/>
        <w:topLinePunct w:val="0"/>
        <w:autoSpaceDE/>
        <w:autoSpaceDN/>
        <w:bidi w:val="0"/>
        <w:snapToGrid w:val="0"/>
        <w:spacing w:line="570" w:lineRule="exact"/>
        <w:ind w:firstLine="640" w:firstLineChars="200"/>
        <w:jc w:val="left"/>
        <w:textAlignment w:val="auto"/>
        <w:rPr>
          <w:rFonts w:hint="default" w:ascii="仿宋" w:hAnsi="仿宋" w:eastAsia="仿宋" w:cs="仿宋"/>
          <w:color w:val="auto"/>
          <w:sz w:val="32"/>
          <w:szCs w:val="32"/>
          <w:highlight w:val="none"/>
          <w:lang w:val="en-US" w:eastAsia="zh-CN"/>
        </w:rPr>
      </w:pPr>
    </w:p>
    <w:p>
      <w:pPr>
        <w:pageBreakBefore w:val="0"/>
        <w:kinsoku/>
        <w:wordWrap/>
        <w:overflowPunct/>
        <w:topLinePunct w:val="0"/>
        <w:autoSpaceDE/>
        <w:autoSpaceDN/>
        <w:bidi w:val="0"/>
        <w:snapToGrid w:val="0"/>
        <w:spacing w:line="570" w:lineRule="exact"/>
        <w:ind w:firstLine="560" w:firstLineChars="200"/>
        <w:jc w:val="center"/>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28"/>
          <w:szCs w:val="28"/>
          <w:highlight w:val="none"/>
          <w:lang w:val="en-US" w:eastAsia="zh-CN"/>
        </w:rPr>
        <w:t>图5 庭院灯检修门、防盗盖板制作图</w:t>
      </w:r>
    </w:p>
    <w:p>
      <w:pPr>
        <w:pageBreakBefore w:val="0"/>
        <w:kinsoku/>
        <w:wordWrap/>
        <w:overflowPunct/>
        <w:topLinePunct w:val="0"/>
        <w:autoSpaceDE/>
        <w:autoSpaceDN/>
        <w:bidi w:val="0"/>
        <w:snapToGrid w:val="0"/>
        <w:spacing w:line="570" w:lineRule="exact"/>
        <w:ind w:firstLine="560" w:firstLineChars="20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注：1.门板及铰链制作方式参照《城市照明图集》（苏Z02-2014）。</w:t>
      </w:r>
    </w:p>
    <w:p>
      <w:pPr>
        <w:pageBreakBefore w:val="0"/>
        <w:kinsoku/>
        <w:wordWrap/>
        <w:overflowPunct/>
        <w:topLinePunct w:val="0"/>
        <w:autoSpaceDE/>
        <w:autoSpaceDN/>
        <w:bidi w:val="0"/>
        <w:snapToGrid w:val="0"/>
        <w:spacing w:line="570" w:lineRule="exact"/>
        <w:ind w:firstLine="560" w:firstLineChars="200"/>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28"/>
          <w:szCs w:val="28"/>
          <w:highlight w:val="none"/>
          <w:lang w:val="en-US" w:eastAsia="zh-CN"/>
        </w:rPr>
        <w:t>2.防盗盖板根据招标单位要求进行配置。</w:t>
      </w:r>
    </w:p>
    <w:p>
      <w:pPr>
        <w:pStyle w:val="4"/>
        <w:pageBreakBefore w:val="0"/>
        <w:kinsoku/>
        <w:wordWrap/>
        <w:overflowPunct/>
        <w:topLinePunct w:val="0"/>
        <w:autoSpaceDE/>
        <w:autoSpaceDN/>
        <w:bidi w:val="0"/>
        <w:spacing w:line="570" w:lineRule="exact"/>
        <w:ind w:left="197" w:leftChars="94" w:right="210" w:firstLine="438" w:firstLineChars="137"/>
        <w:jc w:val="left"/>
        <w:textAlignment w:val="auto"/>
        <w:rPr>
          <w:rFonts w:hint="eastAsia" w:ascii="仿宋" w:hAnsi="仿宋" w:eastAsia="仿宋" w:cs="仿宋"/>
          <w:color w:val="auto"/>
          <w:sz w:val="32"/>
          <w:szCs w:val="32"/>
          <w:highlight w:val="none"/>
          <w:lang w:val="en-US" w:eastAsia="zh-CN"/>
        </w:rPr>
      </w:pPr>
      <w:bookmarkStart w:id="57" w:name="_Toc92188484"/>
      <w:r>
        <w:rPr>
          <w:rFonts w:hint="eastAsia" w:ascii="黑体" w:cs="黑体"/>
          <w:b w:val="0"/>
          <w:bCs/>
          <w:color w:val="auto"/>
          <w:sz w:val="32"/>
          <w:szCs w:val="32"/>
          <w:highlight w:val="none"/>
          <w:lang w:val="en-US" w:eastAsia="zh-CN"/>
        </w:rPr>
        <w:t>四</w:t>
      </w:r>
      <w:r>
        <w:rPr>
          <w:rFonts w:hint="eastAsia" w:ascii="黑体" w:hAnsi="黑体" w:eastAsia="黑体" w:cs="黑体"/>
          <w:b w:val="0"/>
          <w:bCs/>
          <w:color w:val="auto"/>
          <w:sz w:val="32"/>
          <w:szCs w:val="32"/>
          <w:highlight w:val="none"/>
          <w:lang w:val="en-US" w:eastAsia="zh-CN"/>
        </w:rPr>
        <w:t>、检验要求</w:t>
      </w:r>
      <w:bookmarkEnd w:id="57"/>
    </w:p>
    <w:p>
      <w:pPr>
        <w:pageBreakBefore w:val="0"/>
        <w:kinsoku/>
        <w:wordWrap/>
        <w:overflowPunct/>
        <w:topLinePunct w:val="0"/>
        <w:autoSpaceDE/>
        <w:autoSpaceDN/>
        <w:bidi w:val="0"/>
        <w:snapToGrid w:val="0"/>
        <w:spacing w:line="570" w:lineRule="exact"/>
        <w:ind w:firstLine="640" w:firstLineChars="200"/>
        <w:jc w:val="center"/>
        <w:textAlignment w:val="auto"/>
        <w:rPr>
          <w:rFonts w:hint="eastAsia" w:ascii="仿宋" w:hAnsi="仿宋" w:eastAsia="仿宋" w:cs="仿宋"/>
          <w:b w:val="0"/>
          <w:bCs w:val="0"/>
          <w:color w:val="auto"/>
          <w:sz w:val="32"/>
          <w:szCs w:val="32"/>
          <w:highlight w:val="none"/>
          <w:u w:val="single"/>
        </w:rPr>
      </w:pPr>
      <w:r>
        <w:rPr>
          <w:rFonts w:hint="eastAsia" w:ascii="仿宋" w:hAnsi="仿宋" w:eastAsia="仿宋" w:cs="仿宋"/>
          <w:b w:val="0"/>
          <w:bCs w:val="0"/>
          <w:color w:val="auto"/>
          <w:sz w:val="32"/>
          <w:szCs w:val="32"/>
          <w:highlight w:val="none"/>
          <w:lang w:val="en-US" w:eastAsia="zh-CN"/>
        </w:rPr>
        <w:t>表一</w:t>
      </w:r>
      <w:r>
        <w:rPr>
          <w:rFonts w:hint="eastAsia" w:ascii="仿宋" w:hAnsi="仿宋" w:eastAsia="仿宋" w:cs="仿宋"/>
          <w:b w:val="0"/>
          <w:bCs w:val="0"/>
          <w:color w:val="auto"/>
          <w:sz w:val="32"/>
          <w:szCs w:val="32"/>
          <w:highlight w:val="none"/>
        </w:rPr>
        <w:t>：投标时以及中标后灯具必须的检测项目</w:t>
      </w:r>
    </w:p>
    <w:tbl>
      <w:tblPr>
        <w:tblStyle w:val="8"/>
        <w:tblW w:w="90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62"/>
        <w:gridCol w:w="720"/>
        <w:gridCol w:w="3255"/>
        <w:gridCol w:w="2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blHeader/>
        </w:trPr>
        <w:tc>
          <w:tcPr>
            <w:tcW w:w="9096" w:type="dxa"/>
            <w:gridSpan w:val="5"/>
            <w:shd w:val="clear" w:color="auto" w:fill="D7D7D7"/>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bookmarkStart w:id="58" w:name="_Toc1568"/>
            <w:r>
              <w:rPr>
                <w:rFonts w:hint="eastAsia" w:ascii="仿宋" w:hAnsi="仿宋" w:eastAsia="仿宋" w:cs="仿宋"/>
                <w:b w:val="0"/>
                <w:bCs w:val="0"/>
                <w:color w:val="auto"/>
                <w:sz w:val="32"/>
                <w:szCs w:val="32"/>
                <w:highlight w:val="none"/>
              </w:rPr>
              <w:t>样品要求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blHeader/>
        </w:trPr>
        <w:tc>
          <w:tcPr>
            <w:tcW w:w="1101" w:type="dxa"/>
            <w:shd w:val="clear" w:color="auto" w:fill="D7D7D7"/>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测试方式</w:t>
            </w:r>
          </w:p>
        </w:tc>
        <w:tc>
          <w:tcPr>
            <w:tcW w:w="1562" w:type="dxa"/>
            <w:shd w:val="clear" w:color="auto" w:fill="D7D7D7"/>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类型</w:t>
            </w:r>
          </w:p>
        </w:tc>
        <w:tc>
          <w:tcPr>
            <w:tcW w:w="720" w:type="dxa"/>
            <w:shd w:val="clear" w:color="auto" w:fill="D7D7D7"/>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序号</w:t>
            </w:r>
          </w:p>
        </w:tc>
        <w:tc>
          <w:tcPr>
            <w:tcW w:w="3255" w:type="dxa"/>
            <w:shd w:val="clear" w:color="auto" w:fill="D7D7D7"/>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测试内容</w:t>
            </w:r>
          </w:p>
        </w:tc>
        <w:tc>
          <w:tcPr>
            <w:tcW w:w="2458" w:type="dxa"/>
            <w:shd w:val="clear" w:color="auto" w:fill="D7D7D7"/>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rPr>
              <w:t>达标要求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101"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现场目测</w:t>
            </w:r>
          </w:p>
        </w:tc>
        <w:tc>
          <w:tcPr>
            <w:tcW w:w="1562"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外观</w:t>
            </w: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尺寸（灯头与装饰件）</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28"/>
                <w:szCs w:val="28"/>
                <w:highlight w:val="none"/>
                <w:lang w:val="en-US" w:eastAsia="zh-CN"/>
              </w:rPr>
              <w:t>灯头直径200mm，高度550mm（允许公差范围为±10mm）；水晶柱直径52mm，高度355mm（允许公差范围为±5mm）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1101" w:type="dxa"/>
            <w:vMerge w:val="restart"/>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检测</w:t>
            </w: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报告</w:t>
            </w:r>
          </w:p>
        </w:tc>
        <w:tc>
          <w:tcPr>
            <w:tcW w:w="1562" w:type="dxa"/>
            <w:vMerge w:val="restart"/>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光学及模拟配光</w:t>
            </w: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2"/>
                <w:szCs w:val="32"/>
                <w:highlight w:val="none"/>
              </w:rPr>
              <w:t>（在本招标文件上述模拟安装条件下）</w:t>
            </w: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2</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整灯系统总功率</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kern w:val="0"/>
                <w:sz w:val="32"/>
                <w:szCs w:val="32"/>
                <w:highlight w:val="none"/>
              </w:rPr>
              <w:t>≤4</w:t>
            </w:r>
            <w:r>
              <w:rPr>
                <w:rFonts w:hint="eastAsia" w:ascii="仿宋" w:hAnsi="仿宋" w:eastAsia="仿宋" w:cs="仿宋"/>
                <w:color w:val="auto"/>
                <w:kern w:val="0"/>
                <w:sz w:val="32"/>
                <w:szCs w:val="32"/>
                <w:highlight w:val="none"/>
                <w:lang w:val="en-US" w:eastAsia="zh-CN"/>
              </w:rPr>
              <w:t>4</w:t>
            </w:r>
            <w:r>
              <w:rPr>
                <w:rFonts w:hint="eastAsia" w:ascii="仿宋" w:hAnsi="仿宋" w:eastAsia="仿宋" w:cs="仿宋"/>
                <w:color w:val="auto"/>
                <w:kern w:val="0"/>
                <w:sz w:val="32"/>
                <w:szCs w:val="32"/>
                <w:highlight w:val="none"/>
              </w:rPr>
              <w: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3</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色温</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3000</w:t>
            </w:r>
            <w:r>
              <w:rPr>
                <w:rFonts w:hint="eastAsia" w:ascii="仿宋" w:hAnsi="仿宋" w:eastAsia="仿宋" w:cs="仿宋"/>
                <w:color w:val="auto"/>
                <w:sz w:val="32"/>
                <w:szCs w:val="32"/>
                <w:highlight w:val="none"/>
                <w:lang w:val="en-US" w:eastAsia="zh-CN"/>
              </w:rPr>
              <w:t>k</w:t>
            </w:r>
            <w:r>
              <w:rPr>
                <w:rFonts w:hint="eastAsia" w:ascii="仿宋" w:hAnsi="仿宋" w:eastAsia="仿宋" w:cs="仿宋"/>
                <w:color w:val="auto"/>
                <w:sz w:val="32"/>
                <w:szCs w:val="32"/>
                <w:highlight w:val="none"/>
              </w:rPr>
              <w:t>±100</w:t>
            </w:r>
            <w:r>
              <w:rPr>
                <w:rFonts w:hint="eastAsia" w:ascii="仿宋" w:hAnsi="仿宋" w:eastAsia="仿宋" w:cs="仿宋"/>
                <w:color w:val="auto"/>
                <w:sz w:val="32"/>
                <w:szCs w:val="32"/>
                <w:highlight w:val="none"/>
                <w:lang w:val="en-US" w:eastAsia="zh-CN"/>
              </w:rPr>
              <w:t>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4</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单灯功率因数</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5</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一般显色指数</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val="en-US" w:eastAsia="zh-CN"/>
              </w:rPr>
              <w:t>6</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灯具色容差</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≤5SDCM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7</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sz w:val="32"/>
                <w:szCs w:val="32"/>
                <w:highlight w:val="none"/>
              </w:rPr>
              <w:t>路面平均照度Eav（</w:t>
            </w:r>
            <w:r>
              <w:rPr>
                <w:rFonts w:hint="eastAsia" w:ascii="仿宋" w:hAnsi="仿宋" w:eastAsia="仿宋" w:cs="仿宋"/>
                <w:color w:val="auto"/>
                <w:sz w:val="32"/>
                <w:szCs w:val="32"/>
                <w:highlight w:val="none"/>
                <w:lang w:eastAsia="zh-CN"/>
              </w:rPr>
              <w:t>lx</w:t>
            </w:r>
            <w:r>
              <w:rPr>
                <w:rFonts w:hint="eastAsia" w:ascii="仿宋" w:hAnsi="仿宋" w:eastAsia="仿宋" w:cs="仿宋"/>
                <w:color w:val="auto"/>
                <w:sz w:val="32"/>
                <w:szCs w:val="32"/>
                <w:highlight w:val="none"/>
              </w:rPr>
              <w:t>）维持值</w:t>
            </w:r>
            <w:r>
              <w:rPr>
                <w:rFonts w:hint="eastAsia" w:ascii="仿宋" w:hAnsi="仿宋" w:eastAsia="仿宋" w:cs="仿宋"/>
                <w:color w:val="auto"/>
                <w:sz w:val="32"/>
                <w:szCs w:val="32"/>
                <w:highlight w:val="none"/>
                <w:lang w:val="en-US" w:eastAsia="zh-CN"/>
              </w:rPr>
              <w:t xml:space="preserve">     (表二模拟安装条件)</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8</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路面最小照度Emin（</w:t>
            </w:r>
            <w:r>
              <w:rPr>
                <w:rFonts w:hint="eastAsia" w:ascii="仿宋" w:hAnsi="仿宋" w:eastAsia="仿宋" w:cs="仿宋"/>
                <w:color w:val="auto"/>
                <w:sz w:val="32"/>
                <w:szCs w:val="32"/>
                <w:highlight w:val="none"/>
                <w:lang w:eastAsia="zh-CN"/>
              </w:rPr>
              <w:t>lx</w:t>
            </w:r>
            <w:r>
              <w:rPr>
                <w:rFonts w:hint="eastAsia" w:ascii="仿宋" w:hAnsi="仿宋" w:eastAsia="仿宋" w:cs="仿宋"/>
                <w:color w:val="auto"/>
                <w:sz w:val="32"/>
                <w:szCs w:val="32"/>
                <w:highlight w:val="none"/>
              </w:rPr>
              <w:t>）维持值</w:t>
            </w: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(表二模拟安装条件)</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lang w:eastAsia="zh-CN"/>
              </w:rPr>
              <w:t>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vMerge w:val="restart"/>
            <w:noWrap w:val="0"/>
            <w:vAlign w:val="center"/>
          </w:tcPr>
          <w:p>
            <w:pPr>
              <w:pageBreakBefore w:val="0"/>
              <w:kinsoku/>
              <w:wordWrap/>
              <w:overflowPunct/>
              <w:topLinePunct w:val="0"/>
              <w:autoSpaceDE/>
              <w:autoSpaceDN/>
              <w:bidi w:val="0"/>
              <w:snapToGrid w:val="0"/>
              <w:spacing w:line="570" w:lineRule="exact"/>
              <w:jc w:val="center"/>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9</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照明眩光限值≥80°最大光强Imax（cd/1000lm）</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≤100cd/1000lm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照明眩光限值≥90°最大光强Imax（cd/1000lm）</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≤20cd/1000lm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shd w:val="clear" w:color="auto" w:fill="FFFFFF"/>
              </w:rPr>
              <w:t>整灯光效</w:t>
            </w:r>
            <w:r>
              <w:rPr>
                <w:rFonts w:hint="eastAsia" w:ascii="仿宋" w:hAnsi="仿宋" w:eastAsia="仿宋" w:cs="仿宋"/>
                <w:color w:val="auto"/>
                <w:sz w:val="32"/>
                <w:szCs w:val="32"/>
                <w:highlight w:val="none"/>
                <w:shd w:val="clear" w:color="auto" w:fill="FFFFFF"/>
                <w:lang w:eastAsia="zh-CN"/>
              </w:rPr>
              <w:t>（</w:t>
            </w:r>
            <w:r>
              <w:rPr>
                <w:rFonts w:hint="eastAsia" w:ascii="仿宋" w:hAnsi="仿宋" w:eastAsia="仿宋" w:cs="仿宋"/>
                <w:color w:val="auto"/>
                <w:sz w:val="32"/>
                <w:szCs w:val="32"/>
                <w:highlight w:val="none"/>
                <w:shd w:val="clear" w:color="auto" w:fill="FFFFFF"/>
                <w:lang w:val="en-US" w:eastAsia="zh-CN"/>
              </w:rPr>
              <w:t>含透光罩</w:t>
            </w:r>
            <w:r>
              <w:rPr>
                <w:rFonts w:hint="eastAsia" w:ascii="仿宋" w:hAnsi="仿宋" w:eastAsia="仿宋" w:cs="仿宋"/>
                <w:color w:val="auto"/>
                <w:sz w:val="32"/>
                <w:szCs w:val="32"/>
                <w:highlight w:val="none"/>
                <w:shd w:val="clear" w:color="auto" w:fill="FFFFFF"/>
                <w:lang w:eastAsia="zh-CN"/>
              </w:rPr>
              <w:t>）</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38</w:t>
            </w:r>
            <w:r>
              <w:rPr>
                <w:rFonts w:hint="eastAsia" w:ascii="仿宋" w:hAnsi="仿宋" w:eastAsia="仿宋" w:cs="仿宋"/>
                <w:color w:val="auto"/>
                <w:sz w:val="32"/>
                <w:szCs w:val="32"/>
                <w:highlight w:val="none"/>
                <w:shd w:val="clear" w:color="auto" w:fill="FFFFFF"/>
              </w:rPr>
              <w:t>lm/</w:t>
            </w:r>
            <w:r>
              <w:rPr>
                <w:rFonts w:hint="eastAsia" w:ascii="仿宋" w:hAnsi="仿宋" w:eastAsia="仿宋" w:cs="仿宋"/>
                <w:color w:val="auto"/>
                <w:sz w:val="32"/>
                <w:szCs w:val="32"/>
                <w:highlight w:val="none"/>
                <w:shd w:val="clear" w:color="auto" w:fill="FFFFFF"/>
                <w:lang w:val="en-US" w:eastAsia="zh-CN"/>
              </w:rPr>
              <w:t>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restart"/>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安全</w:t>
            </w: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10</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防护等级</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不低于</w:t>
            </w:r>
            <w:r>
              <w:rPr>
                <w:rFonts w:hint="eastAsia" w:ascii="仿宋" w:hAnsi="仿宋" w:eastAsia="仿宋" w:cs="仿宋"/>
                <w:color w:val="auto"/>
                <w:sz w:val="32"/>
                <w:szCs w:val="32"/>
                <w:highlight w:val="none"/>
              </w:rPr>
              <w:t>IP65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3"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1</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安全与试验要求</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符合本文件“三、</w:t>
            </w:r>
            <w:r>
              <w:rPr>
                <w:rFonts w:hint="eastAsia" w:ascii="仿宋" w:hAnsi="仿宋" w:eastAsia="仿宋" w:cs="仿宋"/>
                <w:color w:val="auto"/>
                <w:sz w:val="32"/>
                <w:szCs w:val="32"/>
                <w:highlight w:val="none"/>
                <w:lang w:val="en-US" w:eastAsia="zh-CN"/>
              </w:rPr>
              <w:t>庭院灯技术要求</w:t>
            </w:r>
            <w:r>
              <w:rPr>
                <w:rFonts w:hint="eastAsia" w:ascii="仿宋" w:hAnsi="仿宋" w:eastAsia="仿宋" w:cs="仿宋"/>
                <w:color w:val="auto"/>
                <w:sz w:val="32"/>
                <w:szCs w:val="32"/>
                <w:highlight w:val="none"/>
              </w:rPr>
              <w:t>中‘安全要求’”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restart"/>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材质</w:t>
            </w: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2</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灯杆和灯头光源上下端盖金属材料要求</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产品质量证明书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 w:hRule="atLeast"/>
        </w:trPr>
        <w:tc>
          <w:tcPr>
            <w:tcW w:w="1101"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1562" w:type="dxa"/>
            <w:vMerge w:val="continue"/>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c>
          <w:tcPr>
            <w:tcW w:w="720"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1</w:t>
            </w:r>
            <w:r>
              <w:rPr>
                <w:rFonts w:hint="eastAsia" w:ascii="仿宋" w:hAnsi="仿宋" w:eastAsia="仿宋" w:cs="仿宋"/>
                <w:color w:val="auto"/>
                <w:sz w:val="32"/>
                <w:szCs w:val="32"/>
                <w:highlight w:val="none"/>
                <w:lang w:val="en-US" w:eastAsia="zh-CN"/>
              </w:rPr>
              <w:t>3</w:t>
            </w:r>
          </w:p>
        </w:tc>
        <w:tc>
          <w:tcPr>
            <w:tcW w:w="3255"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光源装饰罩、灯具面罩PC材料要求</w:t>
            </w:r>
          </w:p>
        </w:tc>
        <w:tc>
          <w:tcPr>
            <w:tcW w:w="2458"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shd w:val="clear" w:color="auto" w:fill="FFFFFF"/>
              </w:rPr>
            </w:pPr>
            <w:r>
              <w:rPr>
                <w:rFonts w:hint="eastAsia" w:ascii="仿宋" w:hAnsi="仿宋" w:eastAsia="仿宋" w:cs="仿宋"/>
                <w:color w:val="auto"/>
                <w:sz w:val="32"/>
                <w:szCs w:val="32"/>
                <w:highlight w:val="none"/>
              </w:rPr>
              <w:t>检验报告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1101" w:type="dxa"/>
            <w:noWrap w:val="0"/>
            <w:vAlign w:val="center"/>
          </w:tcPr>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备注</w:t>
            </w:r>
          </w:p>
        </w:tc>
        <w:tc>
          <w:tcPr>
            <w:tcW w:w="7995" w:type="dxa"/>
            <w:gridSpan w:val="4"/>
            <w:noWrap w:val="0"/>
            <w:vAlign w:val="center"/>
          </w:tcPr>
          <w:p>
            <w:pPr>
              <w:pageBreakBefore w:val="0"/>
              <w:numPr>
                <w:ilvl w:val="0"/>
                <w:numId w:val="0"/>
              </w:numPr>
              <w:kinsoku/>
              <w:wordWrap/>
              <w:overflowPunct/>
              <w:topLinePunct w:val="0"/>
              <w:autoSpaceDE/>
              <w:autoSpaceDN/>
              <w:bidi w:val="0"/>
              <w:snapToGrid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．磋商供应商自行送检，送至国家级权威机构检测，检测结果必须满足技术文件相关指标要求（其中</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13</w:t>
            </w:r>
            <w:r>
              <w:rPr>
                <w:rFonts w:hint="eastAsia" w:ascii="仿宋" w:hAnsi="仿宋" w:eastAsia="仿宋" w:cs="仿宋"/>
                <w:color w:val="auto"/>
                <w:sz w:val="32"/>
                <w:szCs w:val="32"/>
                <w:highlight w:val="none"/>
              </w:rPr>
              <w:t>项为必须满足项，有一项不满足的按废标处理），，检测费由磋商供应商承担。</w:t>
            </w:r>
          </w:p>
          <w:p>
            <w:pPr>
              <w:pageBreakBefore w:val="0"/>
              <w:numPr>
                <w:ilvl w:val="0"/>
                <w:numId w:val="0"/>
              </w:numPr>
              <w:kinsoku/>
              <w:wordWrap/>
              <w:overflowPunct/>
              <w:topLinePunct w:val="0"/>
              <w:autoSpaceDE/>
              <w:autoSpaceDN/>
              <w:bidi w:val="0"/>
              <w:snapToGrid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rPr>
              <w:t>中标后灯具批量供货阶段，采购单位将随机抽取本项目照明清单内任意一款LED灯具，送至国家级权威机构检测光学性能指标（包含配光、灯具系统安装特性综合判定等）及电气安全性能指标（同时包含光生物危害、电磁兼容谐波电流限值、灯具防雷及防浪涌等级等指标），所测指标必须满足采购文件内的技术要求以及相关标准等。第一次抽检费用无论指标合格与否都由中标单位承担，检测不合格需无条件调整，直至合格，工期不顺延，一切损失由中标单位承担。</w:t>
            </w:r>
            <w:r>
              <w:rPr>
                <w:rFonts w:hint="eastAsia" w:ascii="仿宋" w:hAnsi="仿宋" w:eastAsia="仿宋" w:cs="仿宋"/>
                <w:color w:val="auto"/>
                <w:sz w:val="32"/>
                <w:szCs w:val="32"/>
                <w:highlight w:val="none"/>
                <w:lang w:val="en-US" w:eastAsia="zh-CN"/>
              </w:rPr>
              <w:t>采购方有权扣除全部履约保证金。</w:t>
            </w:r>
          </w:p>
          <w:p>
            <w:pPr>
              <w:pageBreakBefore w:val="0"/>
              <w:numPr>
                <w:ilvl w:val="0"/>
                <w:numId w:val="0"/>
              </w:numPr>
              <w:kinsoku/>
              <w:wordWrap/>
              <w:overflowPunct/>
              <w:topLinePunct w:val="0"/>
              <w:autoSpaceDE/>
              <w:autoSpaceDN/>
              <w:bidi w:val="0"/>
              <w:snapToGrid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lang w:val="en-US" w:eastAsia="zh-CN"/>
              </w:rPr>
              <w:t>3</w:t>
            </w: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rPr>
              <w:t>该表格内容为所投灯具投标时需要提供检测报告的必要内容。</w:t>
            </w:r>
          </w:p>
          <w:p>
            <w:pPr>
              <w:pageBreakBefore w:val="0"/>
              <w:numPr>
                <w:ilvl w:val="0"/>
                <w:numId w:val="0"/>
              </w:numPr>
              <w:kinsoku/>
              <w:wordWrap/>
              <w:overflowPunct/>
              <w:topLinePunct w:val="0"/>
              <w:autoSpaceDE/>
              <w:autoSpaceDN/>
              <w:bidi w:val="0"/>
              <w:snapToGrid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rPr>
              <w:t>该表格内容同时为所投灯具投标中标后抽检时必要的的检测项目。</w:t>
            </w:r>
          </w:p>
          <w:p>
            <w:pPr>
              <w:pageBreakBefore w:val="0"/>
              <w:numPr>
                <w:ilvl w:val="0"/>
                <w:numId w:val="0"/>
              </w:numPr>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rPr>
              <w:t>中标后，招标人在招标文件中未尽表述的检测内容，在与中标人协商后，仍可进行检测，并应符合相关要求。</w:t>
            </w:r>
          </w:p>
          <w:p>
            <w:pPr>
              <w:pageBreakBefore w:val="0"/>
              <w:kinsoku/>
              <w:wordWrap/>
              <w:overflowPunct/>
              <w:topLinePunct w:val="0"/>
              <w:autoSpaceDE/>
              <w:autoSpaceDN/>
              <w:bidi w:val="0"/>
              <w:spacing w:line="57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rPr>
              <w:t>．</w:t>
            </w:r>
            <w:r>
              <w:rPr>
                <w:rFonts w:hint="eastAsia" w:ascii="仿宋" w:hAnsi="仿宋" w:eastAsia="仿宋" w:cs="仿宋"/>
                <w:color w:val="auto"/>
                <w:sz w:val="32"/>
                <w:szCs w:val="32"/>
                <w:highlight w:val="none"/>
              </w:rPr>
              <w:t>技术文件详参有规定的，按详参规定执行，没有详参规定的，按照本通则执行。</w:t>
            </w:r>
          </w:p>
          <w:p>
            <w:pPr>
              <w:pageBreakBefore w:val="0"/>
              <w:numPr>
                <w:ilvl w:val="0"/>
                <w:numId w:val="0"/>
              </w:numPr>
              <w:kinsoku/>
              <w:wordWrap/>
              <w:overflowPunct/>
              <w:topLinePunct w:val="0"/>
              <w:autoSpaceDE/>
              <w:autoSpaceDN/>
              <w:bidi w:val="0"/>
              <w:snapToGrid w:val="0"/>
              <w:spacing w:line="570" w:lineRule="exact"/>
              <w:jc w:val="center"/>
              <w:textAlignment w:val="auto"/>
              <w:rPr>
                <w:rFonts w:hint="eastAsia" w:ascii="仿宋" w:hAnsi="仿宋" w:eastAsia="仿宋" w:cs="仿宋"/>
                <w:color w:val="auto"/>
                <w:sz w:val="32"/>
                <w:szCs w:val="32"/>
                <w:highlight w:val="none"/>
              </w:rPr>
            </w:pPr>
          </w:p>
        </w:tc>
      </w:tr>
    </w:tbl>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lang w:val="en-US" w:eastAsia="zh-CN"/>
        </w:rPr>
      </w:pPr>
    </w:p>
    <w:p>
      <w:pPr>
        <w:pageBreakBefore w:val="0"/>
        <w:kinsoku/>
        <w:wordWrap/>
        <w:overflowPunct/>
        <w:topLinePunct w:val="0"/>
        <w:autoSpaceDE/>
        <w:autoSpaceDN/>
        <w:bidi w:val="0"/>
        <w:snapToGrid w:val="0"/>
        <w:spacing w:line="570" w:lineRule="exact"/>
        <w:jc w:val="center"/>
        <w:textAlignment w:val="auto"/>
        <w:rPr>
          <w:rFonts w:hint="eastAsia" w:ascii="仿宋" w:hAnsi="仿宋" w:eastAsia="仿宋" w:cs="仿宋"/>
          <w:b w:val="0"/>
          <w:bCs w:val="0"/>
          <w:color w:val="auto"/>
          <w:sz w:val="32"/>
          <w:szCs w:val="32"/>
          <w:highlight w:val="none"/>
        </w:rPr>
      </w:pPr>
      <w:r>
        <w:rPr>
          <w:rFonts w:hint="eastAsia" w:ascii="仿宋" w:hAnsi="仿宋" w:eastAsia="仿宋" w:cs="仿宋"/>
          <w:b w:val="0"/>
          <w:bCs w:val="0"/>
          <w:color w:val="auto"/>
          <w:sz w:val="32"/>
          <w:szCs w:val="32"/>
          <w:highlight w:val="none"/>
          <w:lang w:val="en-US" w:eastAsia="zh-CN"/>
        </w:rPr>
        <w:t>表二</w:t>
      </w:r>
      <w:r>
        <w:rPr>
          <w:rFonts w:hint="eastAsia" w:ascii="仿宋" w:hAnsi="仿宋" w:eastAsia="仿宋" w:cs="仿宋"/>
          <w:b w:val="0"/>
          <w:bCs w:val="0"/>
          <w:color w:val="auto"/>
          <w:sz w:val="32"/>
          <w:szCs w:val="32"/>
          <w:highlight w:val="none"/>
        </w:rPr>
        <w:t>：中标后灯灯杆需要检测的内容</w:t>
      </w:r>
      <w:bookmarkEnd w:id="58"/>
    </w:p>
    <w:tbl>
      <w:tblPr>
        <w:tblStyle w:val="8"/>
        <w:tblW w:w="46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1628"/>
        <w:gridCol w:w="6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序号</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检测项目</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1</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是否有合格探伤报告</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符合采购文件要求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2</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尺寸要求</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参考技术文件内容，技术文件内规定了尺寸误差范围的按照技术文件执行，未标注公差的，按照GB-T1804的精度C级别标准执行，其中安装公差和位置公差按照精度M级别标准执行。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65" w:type="pct"/>
            <w:vMerge w:val="restar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3</w:t>
            </w:r>
          </w:p>
        </w:tc>
        <w:tc>
          <w:tcPr>
            <w:tcW w:w="966" w:type="pct"/>
            <w:vMerge w:val="restart"/>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喷塑要求</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颜色是否一致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465" w:type="pct"/>
            <w:vMerge w:val="continue"/>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p>
        </w:tc>
        <w:tc>
          <w:tcPr>
            <w:tcW w:w="966" w:type="pct"/>
            <w:vMerge w:val="continue"/>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是否符合采购文件要求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jc w:val="center"/>
        </w:trPr>
        <w:tc>
          <w:tcPr>
            <w:tcW w:w="465" w:type="pct"/>
            <w:vMerge w:val="restar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4</w:t>
            </w:r>
          </w:p>
        </w:tc>
        <w:tc>
          <w:tcPr>
            <w:tcW w:w="966" w:type="pct"/>
            <w:vMerge w:val="restar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法兰</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法兰厚度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465" w:type="pct"/>
            <w:vMerge w:val="continue"/>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p>
        </w:tc>
        <w:tc>
          <w:tcPr>
            <w:tcW w:w="966" w:type="pct"/>
            <w:vMerge w:val="continue"/>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安装孔间距及尺寸是否符合采购文件要求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5</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材质</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符合采购文件要求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6</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接地</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是否有接地螺栓或接地线连接孔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7</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杆体</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满足技术文件要求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8</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灯杆重量</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满足技术文件要求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9</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门板</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满足技术文件要求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 w:hRule="atLeast"/>
          <w:jc w:val="center"/>
        </w:trPr>
        <w:tc>
          <w:tcPr>
            <w:tcW w:w="465"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10</w:t>
            </w:r>
          </w:p>
        </w:tc>
        <w:tc>
          <w:tcPr>
            <w:tcW w:w="966"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配件</w:t>
            </w:r>
          </w:p>
        </w:tc>
        <w:tc>
          <w:tcPr>
            <w:tcW w:w="3568" w:type="pct"/>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满足技术文件要求</w:t>
            </w:r>
          </w:p>
        </w:tc>
      </w:tr>
    </w:tbl>
    <w:p>
      <w:pPr>
        <w:pStyle w:val="4"/>
        <w:pageBreakBefore w:val="0"/>
        <w:kinsoku/>
        <w:wordWrap/>
        <w:overflowPunct/>
        <w:topLinePunct w:val="0"/>
        <w:autoSpaceDE/>
        <w:autoSpaceDN/>
        <w:bidi w:val="0"/>
        <w:spacing w:line="570" w:lineRule="exact"/>
        <w:ind w:left="197" w:leftChars="94" w:right="210" w:firstLine="438" w:firstLineChars="137"/>
        <w:jc w:val="left"/>
        <w:textAlignment w:val="auto"/>
        <w:rPr>
          <w:rFonts w:hint="eastAsia" w:ascii="黑体" w:hAnsi="黑体" w:eastAsia="黑体" w:cs="黑体"/>
          <w:b w:val="0"/>
          <w:bCs/>
          <w:color w:val="auto"/>
          <w:sz w:val="32"/>
          <w:szCs w:val="32"/>
          <w:highlight w:val="none"/>
          <w:lang w:val="en-US" w:eastAsia="zh-CN"/>
        </w:rPr>
      </w:pPr>
      <w:r>
        <w:rPr>
          <w:rFonts w:hint="eastAsia" w:ascii="黑体" w:cs="黑体"/>
          <w:b w:val="0"/>
          <w:bCs/>
          <w:color w:val="auto"/>
          <w:sz w:val="32"/>
          <w:szCs w:val="32"/>
          <w:highlight w:val="none"/>
          <w:lang w:val="en-US" w:eastAsia="zh-CN"/>
        </w:rPr>
        <w:t>五</w:t>
      </w:r>
      <w:r>
        <w:rPr>
          <w:rFonts w:hint="eastAsia" w:ascii="黑体" w:hAnsi="黑体" w:eastAsia="黑体" w:cs="黑体"/>
          <w:b w:val="0"/>
          <w:bCs/>
          <w:color w:val="auto"/>
          <w:sz w:val="32"/>
          <w:szCs w:val="32"/>
          <w:highlight w:val="none"/>
          <w:lang w:val="en-US" w:eastAsia="zh-CN"/>
        </w:rPr>
        <w:t>、供货要求</w:t>
      </w:r>
    </w:p>
    <w:p>
      <w:pPr>
        <w:pageBreakBefore w:val="0"/>
        <w:widowControl/>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1</w:t>
      </w:r>
      <w:r>
        <w:rPr>
          <w:rFonts w:hint="eastAsia" w:ascii="仿宋" w:hAnsi="仿宋" w:eastAsia="仿宋" w:cs="仿宋"/>
          <w:color w:val="auto"/>
          <w:sz w:val="32"/>
          <w:szCs w:val="32"/>
        </w:rPr>
        <w:t>．</w:t>
      </w:r>
      <w:r>
        <w:rPr>
          <w:rFonts w:hint="eastAsia" w:ascii="仿宋" w:hAnsi="仿宋" w:eastAsia="仿宋" w:cs="仿宋"/>
          <w:color w:val="auto"/>
          <w:kern w:val="0"/>
          <w:sz w:val="32"/>
          <w:szCs w:val="32"/>
          <w:highlight w:val="none"/>
          <w:lang w:val="en-US" w:eastAsia="zh-CN"/>
        </w:rPr>
        <w:t>供应商中标后还需提供庭院灯现场安装，经第三方检测机构检测，满足照明质量指标后才可批量供货（检测要求及达标数据见下表）。</w:t>
      </w:r>
    </w:p>
    <w:p>
      <w:pPr>
        <w:pageBreakBefore w:val="0"/>
        <w:widowControl/>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kern w:val="0"/>
          <w:sz w:val="32"/>
          <w:szCs w:val="32"/>
          <w:highlight w:val="none"/>
          <w:lang w:val="en-US" w:eastAsia="zh-CN"/>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sz w:val="32"/>
          <w:szCs w:val="32"/>
        </w:rPr>
        <w:t>．</w:t>
      </w:r>
      <w:r>
        <w:rPr>
          <w:rFonts w:hint="eastAsia" w:ascii="仿宋" w:hAnsi="仿宋" w:eastAsia="仿宋" w:cs="仿宋"/>
          <w:color w:val="auto"/>
          <w:kern w:val="0"/>
          <w:sz w:val="32"/>
          <w:szCs w:val="32"/>
          <w:highlight w:val="none"/>
          <w:lang w:val="en-US" w:eastAsia="zh-CN"/>
        </w:rPr>
        <w:t>如检测不合格，采购方终止合同。</w:t>
      </w:r>
    </w:p>
    <w:p>
      <w:pPr>
        <w:pageBreakBefore w:val="0"/>
        <w:kinsoku/>
        <w:wordWrap/>
        <w:overflowPunct/>
        <w:topLinePunct w:val="0"/>
        <w:autoSpaceDE/>
        <w:autoSpaceDN/>
        <w:bidi w:val="0"/>
        <w:spacing w:line="570" w:lineRule="exact"/>
        <w:ind w:firstLine="640" w:firstLineChars="200"/>
        <w:jc w:val="left"/>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3.模拟安装条件及达标要求</w:t>
      </w:r>
    </w:p>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1）</w:t>
      </w:r>
      <w:r>
        <w:rPr>
          <w:rFonts w:hint="eastAsia" w:ascii="仿宋" w:hAnsi="仿宋" w:eastAsia="仿宋" w:cs="仿宋"/>
          <w:color w:val="auto"/>
          <w:sz w:val="32"/>
          <w:szCs w:val="32"/>
          <w:highlight w:val="none"/>
        </w:rPr>
        <w:t>模拟安装条件</w:t>
      </w:r>
    </w:p>
    <w:tbl>
      <w:tblPr>
        <w:tblStyle w:val="8"/>
        <w:tblW w:w="0" w:type="auto"/>
        <w:jc w:val="center"/>
        <w:tblLayout w:type="autofit"/>
        <w:tblCellMar>
          <w:top w:w="0" w:type="dxa"/>
          <w:left w:w="108" w:type="dxa"/>
          <w:bottom w:w="0" w:type="dxa"/>
          <w:right w:w="108" w:type="dxa"/>
        </w:tblCellMar>
      </w:tblPr>
      <w:tblGrid>
        <w:gridCol w:w="961"/>
        <w:gridCol w:w="4040"/>
        <w:gridCol w:w="2191"/>
      </w:tblGrid>
      <w:tr>
        <w:trPr>
          <w:trHeight w:val="442" w:hRule="atLeast"/>
          <w:jc w:val="center"/>
        </w:trPr>
        <w:tc>
          <w:tcPr>
            <w:tcW w:w="961" w:type="dxa"/>
            <w:vMerge w:val="restart"/>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灯具系统安装条</w:t>
            </w:r>
            <w:r>
              <w:rPr>
                <w:rFonts w:hint="eastAsia" w:ascii="仿宋" w:hAnsi="仿宋" w:eastAsia="仿宋" w:cs="仿宋"/>
                <w:color w:val="auto"/>
                <w:kern w:val="0"/>
                <w:sz w:val="32"/>
                <w:szCs w:val="32"/>
                <w:highlight w:val="none"/>
                <w:lang w:val="en-US" w:eastAsia="zh-CN"/>
              </w:rPr>
              <w:t xml:space="preserve"> </w:t>
            </w:r>
            <w:r>
              <w:rPr>
                <w:rFonts w:hint="eastAsia" w:ascii="仿宋" w:hAnsi="仿宋" w:eastAsia="仿宋" w:cs="仿宋"/>
                <w:color w:val="auto"/>
                <w:kern w:val="0"/>
                <w:sz w:val="32"/>
                <w:szCs w:val="32"/>
                <w:highlight w:val="none"/>
              </w:rPr>
              <w:t>件</w:t>
            </w: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道路类别：</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园路</w:t>
            </w:r>
          </w:p>
        </w:tc>
      </w:tr>
      <w:tr>
        <w:tblPrEx>
          <w:tblCellMar>
            <w:top w:w="0" w:type="dxa"/>
            <w:left w:w="108" w:type="dxa"/>
            <w:bottom w:w="0" w:type="dxa"/>
            <w:right w:w="108" w:type="dxa"/>
          </w:tblCellMar>
        </w:tblPrEx>
        <w:trPr>
          <w:trHeight w:val="412" w:hRule="atLeast"/>
          <w:jc w:val="center"/>
        </w:trPr>
        <w:tc>
          <w:tcPr>
            <w:tcW w:w="9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道路宽度(m)：</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5</w:t>
            </w:r>
          </w:p>
        </w:tc>
      </w:tr>
      <w:tr>
        <w:tblPrEx>
          <w:tblCellMar>
            <w:top w:w="0" w:type="dxa"/>
            <w:left w:w="108" w:type="dxa"/>
            <w:bottom w:w="0" w:type="dxa"/>
            <w:right w:w="108" w:type="dxa"/>
          </w:tblCellMar>
        </w:tblPrEx>
        <w:trPr>
          <w:trHeight w:val="425" w:hRule="atLeast"/>
          <w:jc w:val="center"/>
        </w:trPr>
        <w:tc>
          <w:tcPr>
            <w:tcW w:w="9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道路表面材料</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沥青</w:t>
            </w:r>
          </w:p>
        </w:tc>
      </w:tr>
      <w:tr>
        <w:tblPrEx>
          <w:tblCellMar>
            <w:top w:w="0" w:type="dxa"/>
            <w:left w:w="108" w:type="dxa"/>
            <w:bottom w:w="0" w:type="dxa"/>
            <w:right w:w="108" w:type="dxa"/>
          </w:tblCellMar>
        </w:tblPrEx>
        <w:trPr>
          <w:trHeight w:val="412" w:hRule="atLeast"/>
          <w:jc w:val="center"/>
        </w:trPr>
        <w:tc>
          <w:tcPr>
            <w:tcW w:w="9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灯具布置方式</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单侧</w:t>
            </w:r>
          </w:p>
        </w:tc>
      </w:tr>
      <w:tr>
        <w:tblPrEx>
          <w:tblCellMar>
            <w:top w:w="0" w:type="dxa"/>
            <w:left w:w="108" w:type="dxa"/>
            <w:bottom w:w="0" w:type="dxa"/>
            <w:right w:w="108" w:type="dxa"/>
          </w:tblCellMar>
        </w:tblPrEx>
        <w:trPr>
          <w:trHeight w:val="412" w:hRule="atLeast"/>
          <w:jc w:val="center"/>
        </w:trPr>
        <w:tc>
          <w:tcPr>
            <w:tcW w:w="9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灯具安装高度(m)</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3.5</w:t>
            </w:r>
          </w:p>
        </w:tc>
      </w:tr>
      <w:tr>
        <w:tblPrEx>
          <w:tblCellMar>
            <w:top w:w="0" w:type="dxa"/>
            <w:left w:w="108" w:type="dxa"/>
            <w:bottom w:w="0" w:type="dxa"/>
            <w:right w:w="108" w:type="dxa"/>
          </w:tblCellMar>
        </w:tblPrEx>
        <w:trPr>
          <w:trHeight w:val="412" w:hRule="atLeast"/>
          <w:jc w:val="center"/>
        </w:trPr>
        <w:tc>
          <w:tcPr>
            <w:tcW w:w="9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灯杆的安装间距(m)</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lang w:val="en-US" w:eastAsia="zh-CN"/>
              </w:rPr>
              <w:t>2</w:t>
            </w:r>
            <w:r>
              <w:rPr>
                <w:rFonts w:hint="eastAsia" w:ascii="仿宋" w:hAnsi="仿宋" w:eastAsia="仿宋" w:cs="仿宋"/>
                <w:color w:val="auto"/>
                <w:kern w:val="0"/>
                <w:sz w:val="32"/>
                <w:szCs w:val="32"/>
                <w:highlight w:val="none"/>
              </w:rPr>
              <w:t>0</w:t>
            </w:r>
          </w:p>
        </w:tc>
      </w:tr>
      <w:tr>
        <w:tblPrEx>
          <w:tblCellMar>
            <w:top w:w="0" w:type="dxa"/>
            <w:left w:w="108" w:type="dxa"/>
            <w:bottom w:w="0" w:type="dxa"/>
            <w:right w:w="108" w:type="dxa"/>
          </w:tblCellMar>
        </w:tblPrEx>
        <w:trPr>
          <w:trHeight w:val="534" w:hRule="atLeast"/>
          <w:jc w:val="center"/>
        </w:trPr>
        <w:tc>
          <w:tcPr>
            <w:tcW w:w="961" w:type="dxa"/>
            <w:vMerge w:val="continue"/>
            <w:tcBorders>
              <w:top w:val="single" w:color="auto" w:sz="4" w:space="0"/>
              <w:left w:val="single" w:color="auto" w:sz="4" w:space="0"/>
              <w:bottom w:val="single" w:color="auto" w:sz="4" w:space="0"/>
              <w:right w:val="single" w:color="auto" w:sz="4" w:space="0"/>
            </w:tcBorders>
            <w:shd w:val="clear" w:color="auto" w:fill="auto"/>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p>
        </w:tc>
        <w:tc>
          <w:tcPr>
            <w:tcW w:w="4040"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left"/>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灯杆与路沿</w:t>
            </w:r>
            <w:r>
              <w:rPr>
                <w:rFonts w:hint="eastAsia" w:ascii="仿宋" w:hAnsi="仿宋" w:eastAsia="仿宋" w:cs="仿宋"/>
                <w:color w:val="auto"/>
                <w:kern w:val="0"/>
                <w:sz w:val="32"/>
                <w:szCs w:val="32"/>
                <w:highlight w:val="none"/>
                <w:lang w:val="en-US" w:eastAsia="zh-CN"/>
              </w:rPr>
              <w:t>外侧</w:t>
            </w:r>
            <w:r>
              <w:rPr>
                <w:rFonts w:hint="eastAsia" w:ascii="仿宋" w:hAnsi="仿宋" w:eastAsia="仿宋" w:cs="仿宋"/>
                <w:color w:val="auto"/>
                <w:kern w:val="0"/>
                <w:sz w:val="32"/>
                <w:szCs w:val="32"/>
                <w:highlight w:val="none"/>
              </w:rPr>
              <w:t>的距离(m)</w:t>
            </w:r>
          </w:p>
        </w:tc>
        <w:tc>
          <w:tcPr>
            <w:tcW w:w="2191" w:type="dxa"/>
            <w:tcBorders>
              <w:top w:val="single" w:color="auto" w:sz="4" w:space="0"/>
              <w:left w:val="single" w:color="auto" w:sz="4" w:space="0"/>
              <w:bottom w:val="single" w:color="auto" w:sz="4" w:space="0"/>
              <w:right w:val="single" w:color="auto" w:sz="4" w:space="0"/>
            </w:tcBorders>
            <w:shd w:val="clear" w:color="auto" w:fill="FFFFFF"/>
            <w:noWrap w:val="0"/>
            <w:vAlign w:val="center"/>
          </w:tcPr>
          <w:p>
            <w:pPr>
              <w:pageBreakBefore w:val="0"/>
              <w:widowControl/>
              <w:kinsoku/>
              <w:wordWrap/>
              <w:overflowPunct/>
              <w:topLinePunct w:val="0"/>
              <w:autoSpaceDE/>
              <w:autoSpaceDN/>
              <w:bidi w:val="0"/>
              <w:spacing w:line="570" w:lineRule="exact"/>
              <w:jc w:val="center"/>
              <w:textAlignment w:val="auto"/>
              <w:rPr>
                <w:rFonts w:hint="eastAsia" w:ascii="仿宋" w:hAnsi="仿宋" w:eastAsia="仿宋" w:cs="仿宋"/>
                <w:color w:val="auto"/>
                <w:kern w:val="0"/>
                <w:sz w:val="32"/>
                <w:szCs w:val="32"/>
                <w:highlight w:val="none"/>
              </w:rPr>
            </w:pPr>
            <w:r>
              <w:rPr>
                <w:rFonts w:hint="eastAsia" w:ascii="仿宋" w:hAnsi="仿宋" w:eastAsia="仿宋" w:cs="仿宋"/>
                <w:color w:val="auto"/>
                <w:kern w:val="0"/>
                <w:sz w:val="32"/>
                <w:szCs w:val="32"/>
                <w:highlight w:val="none"/>
              </w:rPr>
              <w:t>0.5</w:t>
            </w:r>
          </w:p>
        </w:tc>
      </w:tr>
    </w:tbl>
    <w:p>
      <w:pPr>
        <w:pageBreakBefore w:val="0"/>
        <w:kinsoku/>
        <w:wordWrap/>
        <w:overflowPunct/>
        <w:topLinePunct w:val="0"/>
        <w:autoSpaceDE/>
        <w:autoSpaceDN/>
        <w:bidi w:val="0"/>
        <w:spacing w:line="570" w:lineRule="exact"/>
        <w:ind w:firstLine="640" w:firstLineChars="200"/>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在上述</w:t>
      </w:r>
      <w:r>
        <w:rPr>
          <w:rFonts w:hint="eastAsia" w:ascii="仿宋" w:hAnsi="仿宋" w:eastAsia="仿宋" w:cs="仿宋"/>
          <w:color w:val="auto"/>
          <w:sz w:val="32"/>
          <w:szCs w:val="32"/>
          <w:highlight w:val="none"/>
          <w:lang w:val="en-US" w:eastAsia="zh-CN"/>
        </w:rPr>
        <w:t>园路</w:t>
      </w:r>
      <w:r>
        <w:rPr>
          <w:rFonts w:hint="eastAsia" w:ascii="仿宋" w:hAnsi="仿宋" w:eastAsia="仿宋" w:cs="仿宋"/>
          <w:color w:val="auto"/>
          <w:sz w:val="32"/>
          <w:szCs w:val="32"/>
          <w:highlight w:val="none"/>
        </w:rPr>
        <w:t>模拟安装条件下</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调光至70%</w:t>
      </w:r>
      <w:r>
        <w:rPr>
          <w:rFonts w:hint="eastAsia" w:ascii="仿宋" w:hAnsi="仿宋" w:eastAsia="仿宋" w:cs="仿宋"/>
          <w:color w:val="auto"/>
          <w:sz w:val="32"/>
          <w:szCs w:val="32"/>
          <w:highlight w:val="none"/>
        </w:rPr>
        <w:t>照明需满足以下要求：</w:t>
      </w:r>
    </w:p>
    <w:p>
      <w:pPr>
        <w:pageBreakBefore w:val="0"/>
        <w:kinsoku/>
        <w:wordWrap/>
        <w:overflowPunct/>
        <w:topLinePunct w:val="0"/>
        <w:autoSpaceDE/>
        <w:autoSpaceDN/>
        <w:bidi w:val="0"/>
        <w:spacing w:line="570" w:lineRule="exact"/>
        <w:ind w:firstLine="960" w:firstLineChars="300"/>
        <w:jc w:val="left"/>
        <w:textAlignment w:val="auto"/>
        <w:rPr>
          <w:rFonts w:hint="eastAsia" w:ascii="仿宋" w:hAnsi="仿宋" w:eastAsia="仿宋" w:cs="仿宋"/>
          <w:color w:val="auto"/>
          <w:sz w:val="32"/>
          <w:szCs w:val="32"/>
          <w:highlight w:val="none"/>
          <w:lang w:eastAsia="zh-CN"/>
        </w:rPr>
      </w:pPr>
      <w:r>
        <w:rPr>
          <w:rFonts w:hint="eastAsia" w:ascii="仿宋" w:hAnsi="仿宋" w:eastAsia="仿宋" w:cs="仿宋"/>
          <w:b w:val="0"/>
          <w:bCs w:val="0"/>
          <w:color w:val="auto"/>
          <w:kern w:val="2"/>
          <w:sz w:val="32"/>
          <w:szCs w:val="32"/>
          <w:highlight w:val="none"/>
          <w:lang w:val="en-US" w:eastAsia="zh-CN" w:bidi="ar-SA"/>
        </w:rPr>
        <w:t>1）</w:t>
      </w:r>
      <w:r>
        <w:rPr>
          <w:rFonts w:hint="eastAsia" w:ascii="仿宋" w:hAnsi="仿宋" w:eastAsia="仿宋" w:cs="仿宋"/>
          <w:color w:val="auto"/>
          <w:sz w:val="32"/>
          <w:szCs w:val="32"/>
          <w:highlight w:val="none"/>
        </w:rPr>
        <w:t>路面平均照度Eav（</w:t>
      </w:r>
      <w:r>
        <w:rPr>
          <w:rFonts w:hint="eastAsia" w:ascii="仿宋" w:hAnsi="仿宋" w:eastAsia="仿宋" w:cs="仿宋"/>
          <w:color w:val="auto"/>
          <w:sz w:val="32"/>
          <w:szCs w:val="32"/>
          <w:highlight w:val="none"/>
          <w:lang w:eastAsia="zh-CN"/>
        </w:rPr>
        <w:t>lx</w:t>
      </w:r>
      <w:r>
        <w:rPr>
          <w:rFonts w:hint="eastAsia" w:ascii="仿宋" w:hAnsi="仿宋" w:eastAsia="仿宋" w:cs="仿宋"/>
          <w:color w:val="auto"/>
          <w:sz w:val="32"/>
          <w:szCs w:val="32"/>
          <w:highlight w:val="none"/>
        </w:rPr>
        <w:t>）维持值不低于</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lx。</w:t>
      </w:r>
    </w:p>
    <w:p>
      <w:pPr>
        <w:pageBreakBefore w:val="0"/>
        <w:kinsoku/>
        <w:wordWrap/>
        <w:overflowPunct/>
        <w:topLinePunct w:val="0"/>
        <w:autoSpaceDE/>
        <w:autoSpaceDN/>
        <w:bidi w:val="0"/>
        <w:spacing w:line="570" w:lineRule="exact"/>
        <w:ind w:firstLine="960" w:firstLineChars="300"/>
        <w:jc w:val="left"/>
        <w:textAlignment w:val="auto"/>
        <w:rPr>
          <w:rFonts w:hint="eastAsia" w:ascii="仿宋" w:hAnsi="仿宋" w:eastAsia="仿宋" w:cs="仿宋"/>
          <w:color w:val="auto"/>
          <w:sz w:val="32"/>
          <w:szCs w:val="32"/>
          <w:highlight w:val="none"/>
        </w:rPr>
      </w:pPr>
      <w:r>
        <w:rPr>
          <w:rFonts w:hint="eastAsia" w:ascii="仿宋" w:hAnsi="仿宋" w:eastAsia="仿宋" w:cs="仿宋"/>
          <w:b w:val="0"/>
          <w:bCs w:val="0"/>
          <w:color w:val="auto"/>
          <w:kern w:val="2"/>
          <w:sz w:val="32"/>
          <w:szCs w:val="32"/>
          <w:highlight w:val="none"/>
          <w:lang w:val="en-US" w:eastAsia="zh-CN" w:bidi="ar-SA"/>
        </w:rPr>
        <w:t>2）</w:t>
      </w:r>
      <w:r>
        <w:rPr>
          <w:rFonts w:hint="eastAsia" w:ascii="仿宋" w:hAnsi="仿宋" w:eastAsia="仿宋" w:cs="仿宋"/>
          <w:color w:val="auto"/>
          <w:sz w:val="32"/>
          <w:szCs w:val="32"/>
          <w:highlight w:val="none"/>
        </w:rPr>
        <w:t>路面最小照度Emin（</w:t>
      </w:r>
      <w:r>
        <w:rPr>
          <w:rFonts w:hint="eastAsia" w:ascii="仿宋" w:hAnsi="仿宋" w:eastAsia="仿宋" w:cs="仿宋"/>
          <w:color w:val="auto"/>
          <w:sz w:val="32"/>
          <w:szCs w:val="32"/>
          <w:highlight w:val="none"/>
          <w:lang w:eastAsia="zh-CN"/>
        </w:rPr>
        <w:t>lx</w:t>
      </w:r>
      <w:r>
        <w:rPr>
          <w:rFonts w:hint="eastAsia" w:ascii="仿宋" w:hAnsi="仿宋" w:eastAsia="仿宋" w:cs="仿宋"/>
          <w:color w:val="auto"/>
          <w:sz w:val="32"/>
          <w:szCs w:val="32"/>
          <w:highlight w:val="none"/>
        </w:rPr>
        <w:t>）维持值不低于1</w:t>
      </w:r>
      <w:r>
        <w:rPr>
          <w:rFonts w:hint="eastAsia" w:ascii="仿宋" w:hAnsi="仿宋" w:eastAsia="仿宋" w:cs="仿宋"/>
          <w:color w:val="auto"/>
          <w:sz w:val="32"/>
          <w:szCs w:val="32"/>
          <w:highlight w:val="none"/>
          <w:lang w:eastAsia="zh-CN"/>
        </w:rPr>
        <w:t>lx。</w:t>
      </w:r>
    </w:p>
    <w:sectPr>
      <w:headerReference r:id="rId5" w:type="default"/>
      <w:footerReference r:id="rId6" w:type="default"/>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B83B682-B19E-46ED-9C79-9DDDD76E91B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auto"/>
    <w:pitch w:val="default"/>
    <w:sig w:usb0="FFFFFFFF" w:usb1="E9FFFFFF" w:usb2="0000003F" w:usb3="00000000" w:csb0="603F01FF" w:csb1="FFFF0000"/>
    <w:embedRegular r:id="rId2" w:fontKey="{69022BC4-81A0-4B15-99D7-CBBB291E5C74}"/>
  </w:font>
  <w:font w:name="仿宋">
    <w:panose1 w:val="02010609060101010101"/>
    <w:charset w:val="86"/>
    <w:family w:val="modern"/>
    <w:pitch w:val="default"/>
    <w:sig w:usb0="800002BF" w:usb1="38CF7CFA" w:usb2="00000016" w:usb3="00000000" w:csb0="00040001" w:csb1="00000000"/>
    <w:embedRegular r:id="rId3" w:fontKey="{46585E8D-F598-4BA0-9A8E-943265A85CAE}"/>
  </w:font>
  <w:font w:name="楷体">
    <w:panose1 w:val="02010609060101010101"/>
    <w:charset w:val="86"/>
    <w:family w:val="auto"/>
    <w:pitch w:val="default"/>
    <w:sig w:usb0="800002BF" w:usb1="38CF7CFA" w:usb2="00000016" w:usb3="00000000" w:csb0="00040001" w:csb1="00000000"/>
    <w:embedRegular r:id="rId4" w:fontKey="{F4679157-2BE3-42C2-99EF-92DF89D1033B}"/>
  </w:font>
  <w:font w:name="楷体_GB2312">
    <w:panose1 w:val="02010609030101010101"/>
    <w:charset w:val="86"/>
    <w:family w:val="modern"/>
    <w:pitch w:val="default"/>
    <w:sig w:usb0="00000001" w:usb1="080E0000" w:usb2="00000000" w:usb3="00000000" w:csb0="00040000" w:csb1="00000000"/>
    <w:embedRegular r:id="rId5" w:fontKey="{AA74164E-F825-4DB8-BD82-552C571D6716}"/>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pPr>
    <w: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112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L97GEPIAQAAmwMAAA4AAAAAAAAAAQAgAAAAHgEAAGRycy9lMm9Eb2Mu&#10;eG1sUEsFBgAAAAAGAAYAWQEAAFgFA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112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right="360"/>
    </w:pPr>
    <w:r>
      <mc:AlternateContent>
        <mc:Choice Requires="wps">
          <w:drawing>
            <wp:anchor distT="0" distB="0" distL="114300" distR="114300" simplePos="0" relativeHeight="251659264" behindDoc="0" locked="0" layoutInCell="1" allowOverlap="1">
              <wp:simplePos x="0" y="0"/>
              <wp:positionH relativeFrom="margin">
                <wp:align>inside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112</w:t>
                          </w:r>
                          <w:r>
                            <w:rPr>
                              <w:rFonts w:hint="eastAsia"/>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112</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ascii="楷体_GB2312" w:eastAsia="楷体_GB231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ascii="楷体_GB2312" w:eastAsia="楷体_GB23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13D3A8"/>
    <w:multiLevelType w:val="singleLevel"/>
    <w:tmpl w:val="5A13D3A8"/>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c1YTJmNDNiOTJkNzA0MWEwZWY3ZGUzYWVhMmY3MDIifQ=="/>
  </w:docVars>
  <w:rsids>
    <w:rsidRoot w:val="00000000"/>
    <w:rsid w:val="003414DC"/>
    <w:rsid w:val="003532FE"/>
    <w:rsid w:val="005D4603"/>
    <w:rsid w:val="00BE7797"/>
    <w:rsid w:val="010F7FF3"/>
    <w:rsid w:val="01687703"/>
    <w:rsid w:val="018F2EE2"/>
    <w:rsid w:val="02570B78"/>
    <w:rsid w:val="02776F03"/>
    <w:rsid w:val="03E4061E"/>
    <w:rsid w:val="03F60FF6"/>
    <w:rsid w:val="03F92894"/>
    <w:rsid w:val="04131BA8"/>
    <w:rsid w:val="04446A16"/>
    <w:rsid w:val="04A647CA"/>
    <w:rsid w:val="04B86203"/>
    <w:rsid w:val="04DD561A"/>
    <w:rsid w:val="04E625DC"/>
    <w:rsid w:val="054D158E"/>
    <w:rsid w:val="05CD4600"/>
    <w:rsid w:val="05FD177C"/>
    <w:rsid w:val="061D6D0E"/>
    <w:rsid w:val="066C1A43"/>
    <w:rsid w:val="06CF44DE"/>
    <w:rsid w:val="07354626"/>
    <w:rsid w:val="07797F74"/>
    <w:rsid w:val="07941499"/>
    <w:rsid w:val="08053EFD"/>
    <w:rsid w:val="08093205"/>
    <w:rsid w:val="087C2D10"/>
    <w:rsid w:val="089C4EBD"/>
    <w:rsid w:val="09065336"/>
    <w:rsid w:val="09436A8B"/>
    <w:rsid w:val="09651C5D"/>
    <w:rsid w:val="09DA6CC4"/>
    <w:rsid w:val="0A20096D"/>
    <w:rsid w:val="0A670558"/>
    <w:rsid w:val="0B1C3A38"/>
    <w:rsid w:val="0B517254"/>
    <w:rsid w:val="0BBA6DAD"/>
    <w:rsid w:val="0BCB2D68"/>
    <w:rsid w:val="0BDA11FD"/>
    <w:rsid w:val="0C605BA6"/>
    <w:rsid w:val="0C6579EB"/>
    <w:rsid w:val="0CDF1AF8"/>
    <w:rsid w:val="0D3779DA"/>
    <w:rsid w:val="0E0F3F27"/>
    <w:rsid w:val="0E176D61"/>
    <w:rsid w:val="0E2A021A"/>
    <w:rsid w:val="105628BA"/>
    <w:rsid w:val="105C48D7"/>
    <w:rsid w:val="106A0390"/>
    <w:rsid w:val="1074577C"/>
    <w:rsid w:val="109B245A"/>
    <w:rsid w:val="112E1DCF"/>
    <w:rsid w:val="11551A52"/>
    <w:rsid w:val="121511E1"/>
    <w:rsid w:val="12E15D3D"/>
    <w:rsid w:val="132F62D2"/>
    <w:rsid w:val="13CA1DA5"/>
    <w:rsid w:val="140D4536"/>
    <w:rsid w:val="14185F29"/>
    <w:rsid w:val="149D660B"/>
    <w:rsid w:val="14AB67E0"/>
    <w:rsid w:val="14EB6F88"/>
    <w:rsid w:val="150F3338"/>
    <w:rsid w:val="1529100F"/>
    <w:rsid w:val="15746EC9"/>
    <w:rsid w:val="158E4CE2"/>
    <w:rsid w:val="159E329B"/>
    <w:rsid w:val="15C51073"/>
    <w:rsid w:val="15C70470"/>
    <w:rsid w:val="15DF77DA"/>
    <w:rsid w:val="162F216F"/>
    <w:rsid w:val="16E07632"/>
    <w:rsid w:val="16E51918"/>
    <w:rsid w:val="18031295"/>
    <w:rsid w:val="18D23988"/>
    <w:rsid w:val="198426F9"/>
    <w:rsid w:val="19A075E2"/>
    <w:rsid w:val="19C754F3"/>
    <w:rsid w:val="1A700008"/>
    <w:rsid w:val="1AB837C9"/>
    <w:rsid w:val="1BA44CF9"/>
    <w:rsid w:val="1C0F32C0"/>
    <w:rsid w:val="1CA8588C"/>
    <w:rsid w:val="1CDA72AF"/>
    <w:rsid w:val="1D1231FB"/>
    <w:rsid w:val="1D484219"/>
    <w:rsid w:val="1D6F0DE6"/>
    <w:rsid w:val="1D9236A8"/>
    <w:rsid w:val="1E094CF0"/>
    <w:rsid w:val="1EA46497"/>
    <w:rsid w:val="1F182C4F"/>
    <w:rsid w:val="1F4A7DF5"/>
    <w:rsid w:val="1FAA11BB"/>
    <w:rsid w:val="20027566"/>
    <w:rsid w:val="20CC6578"/>
    <w:rsid w:val="21494A03"/>
    <w:rsid w:val="218B0B78"/>
    <w:rsid w:val="21D150CD"/>
    <w:rsid w:val="22635651"/>
    <w:rsid w:val="231A4890"/>
    <w:rsid w:val="239D4B92"/>
    <w:rsid w:val="23D42CAA"/>
    <w:rsid w:val="24656762"/>
    <w:rsid w:val="2498617F"/>
    <w:rsid w:val="24BB5C18"/>
    <w:rsid w:val="25341526"/>
    <w:rsid w:val="25713950"/>
    <w:rsid w:val="25C95979"/>
    <w:rsid w:val="285445B3"/>
    <w:rsid w:val="29552687"/>
    <w:rsid w:val="295F5B00"/>
    <w:rsid w:val="2A3407E7"/>
    <w:rsid w:val="2A782A22"/>
    <w:rsid w:val="2A8926D9"/>
    <w:rsid w:val="2C934D84"/>
    <w:rsid w:val="2CB62687"/>
    <w:rsid w:val="2CF00429"/>
    <w:rsid w:val="2DCF0F58"/>
    <w:rsid w:val="2E7768B0"/>
    <w:rsid w:val="302729DB"/>
    <w:rsid w:val="304C1E1A"/>
    <w:rsid w:val="306C7FCD"/>
    <w:rsid w:val="30D50061"/>
    <w:rsid w:val="30FC66FB"/>
    <w:rsid w:val="31100D0A"/>
    <w:rsid w:val="31532D34"/>
    <w:rsid w:val="31557F29"/>
    <w:rsid w:val="31D10276"/>
    <w:rsid w:val="32702331"/>
    <w:rsid w:val="32794A1C"/>
    <w:rsid w:val="32936DAE"/>
    <w:rsid w:val="32CE6BF6"/>
    <w:rsid w:val="33242BDA"/>
    <w:rsid w:val="334721B0"/>
    <w:rsid w:val="33D939C5"/>
    <w:rsid w:val="34193469"/>
    <w:rsid w:val="34567FB6"/>
    <w:rsid w:val="34B306BA"/>
    <w:rsid w:val="34C935CD"/>
    <w:rsid w:val="35053BB6"/>
    <w:rsid w:val="369467D6"/>
    <w:rsid w:val="36C33119"/>
    <w:rsid w:val="377134A2"/>
    <w:rsid w:val="37C2450E"/>
    <w:rsid w:val="38060B00"/>
    <w:rsid w:val="38A94C7C"/>
    <w:rsid w:val="38DD3F57"/>
    <w:rsid w:val="38E73908"/>
    <w:rsid w:val="38E90BED"/>
    <w:rsid w:val="38FD0A0F"/>
    <w:rsid w:val="3917449C"/>
    <w:rsid w:val="393A6FB3"/>
    <w:rsid w:val="3A35391F"/>
    <w:rsid w:val="3B393D0B"/>
    <w:rsid w:val="3B5B4297"/>
    <w:rsid w:val="3C3B0E04"/>
    <w:rsid w:val="3C414336"/>
    <w:rsid w:val="3CBA1C3E"/>
    <w:rsid w:val="3CD218F9"/>
    <w:rsid w:val="3D346BCE"/>
    <w:rsid w:val="3DBF1E7D"/>
    <w:rsid w:val="3E8B6203"/>
    <w:rsid w:val="3ED74FA5"/>
    <w:rsid w:val="3EFE6FA3"/>
    <w:rsid w:val="3F665F5C"/>
    <w:rsid w:val="3F7B3080"/>
    <w:rsid w:val="3F9133A5"/>
    <w:rsid w:val="3FA45116"/>
    <w:rsid w:val="3FC1012F"/>
    <w:rsid w:val="40714F85"/>
    <w:rsid w:val="4125649B"/>
    <w:rsid w:val="414139C3"/>
    <w:rsid w:val="41587BCF"/>
    <w:rsid w:val="423050F8"/>
    <w:rsid w:val="43500413"/>
    <w:rsid w:val="437238D4"/>
    <w:rsid w:val="43733865"/>
    <w:rsid w:val="43E4720E"/>
    <w:rsid w:val="447150B9"/>
    <w:rsid w:val="456F5F37"/>
    <w:rsid w:val="46401681"/>
    <w:rsid w:val="4667261D"/>
    <w:rsid w:val="46A20DF5"/>
    <w:rsid w:val="47EB1ADB"/>
    <w:rsid w:val="481B38FC"/>
    <w:rsid w:val="48DA2C66"/>
    <w:rsid w:val="48E60857"/>
    <w:rsid w:val="48F172D6"/>
    <w:rsid w:val="49382AE4"/>
    <w:rsid w:val="49845936"/>
    <w:rsid w:val="498D72DE"/>
    <w:rsid w:val="4B141BD8"/>
    <w:rsid w:val="4B1664ED"/>
    <w:rsid w:val="4B2477C4"/>
    <w:rsid w:val="4B6B7E57"/>
    <w:rsid w:val="4B8A537A"/>
    <w:rsid w:val="4C1E4E6F"/>
    <w:rsid w:val="4CCE3E8B"/>
    <w:rsid w:val="4DC813F1"/>
    <w:rsid w:val="4E281379"/>
    <w:rsid w:val="4F493C9D"/>
    <w:rsid w:val="4F5C0368"/>
    <w:rsid w:val="50785A9F"/>
    <w:rsid w:val="50CD4459"/>
    <w:rsid w:val="51001A36"/>
    <w:rsid w:val="510065DD"/>
    <w:rsid w:val="51227160"/>
    <w:rsid w:val="530C74BB"/>
    <w:rsid w:val="540957A8"/>
    <w:rsid w:val="547E6196"/>
    <w:rsid w:val="54957056"/>
    <w:rsid w:val="550D751A"/>
    <w:rsid w:val="55255538"/>
    <w:rsid w:val="55D3606E"/>
    <w:rsid w:val="55D6652D"/>
    <w:rsid w:val="56162960"/>
    <w:rsid w:val="56244B1C"/>
    <w:rsid w:val="562465E2"/>
    <w:rsid w:val="566000ED"/>
    <w:rsid w:val="57234DD3"/>
    <w:rsid w:val="575E41E0"/>
    <w:rsid w:val="57630724"/>
    <w:rsid w:val="57672F12"/>
    <w:rsid w:val="580A3E39"/>
    <w:rsid w:val="5A384AEE"/>
    <w:rsid w:val="5A636BCF"/>
    <w:rsid w:val="5A7B457F"/>
    <w:rsid w:val="5A7D66B3"/>
    <w:rsid w:val="5B3E042E"/>
    <w:rsid w:val="5B483D8E"/>
    <w:rsid w:val="5B5B3D34"/>
    <w:rsid w:val="5BAF4E87"/>
    <w:rsid w:val="5BFC5BF3"/>
    <w:rsid w:val="5CBA7F88"/>
    <w:rsid w:val="5D4A165E"/>
    <w:rsid w:val="5D635015"/>
    <w:rsid w:val="5D9D79EF"/>
    <w:rsid w:val="5E591D49"/>
    <w:rsid w:val="5EE10887"/>
    <w:rsid w:val="5F70492E"/>
    <w:rsid w:val="605D1356"/>
    <w:rsid w:val="60B116A2"/>
    <w:rsid w:val="611A32C1"/>
    <w:rsid w:val="613C4017"/>
    <w:rsid w:val="61CE6974"/>
    <w:rsid w:val="622A34BA"/>
    <w:rsid w:val="624E4179"/>
    <w:rsid w:val="6267026A"/>
    <w:rsid w:val="62FA152C"/>
    <w:rsid w:val="634A1A92"/>
    <w:rsid w:val="639A2453"/>
    <w:rsid w:val="63FC456F"/>
    <w:rsid w:val="64151F48"/>
    <w:rsid w:val="65200BA4"/>
    <w:rsid w:val="65A2780B"/>
    <w:rsid w:val="66940E62"/>
    <w:rsid w:val="66CA0DC7"/>
    <w:rsid w:val="674A1F19"/>
    <w:rsid w:val="676E3E49"/>
    <w:rsid w:val="67AF66FB"/>
    <w:rsid w:val="67F238AF"/>
    <w:rsid w:val="68F043A2"/>
    <w:rsid w:val="69166546"/>
    <w:rsid w:val="6931512E"/>
    <w:rsid w:val="69C53AC8"/>
    <w:rsid w:val="6A425119"/>
    <w:rsid w:val="6A7F636D"/>
    <w:rsid w:val="6B07334F"/>
    <w:rsid w:val="6B9526A7"/>
    <w:rsid w:val="6BC009EB"/>
    <w:rsid w:val="6BC920B8"/>
    <w:rsid w:val="6CAB51F7"/>
    <w:rsid w:val="6CEE1C2C"/>
    <w:rsid w:val="6E1D2124"/>
    <w:rsid w:val="6E937608"/>
    <w:rsid w:val="6F557BD7"/>
    <w:rsid w:val="6F675D4D"/>
    <w:rsid w:val="6FA63FD2"/>
    <w:rsid w:val="70875F7B"/>
    <w:rsid w:val="711B38F2"/>
    <w:rsid w:val="714D3C90"/>
    <w:rsid w:val="718F3339"/>
    <w:rsid w:val="71926986"/>
    <w:rsid w:val="721E646B"/>
    <w:rsid w:val="72300AB1"/>
    <w:rsid w:val="723E07BF"/>
    <w:rsid w:val="72732416"/>
    <w:rsid w:val="729C2CCE"/>
    <w:rsid w:val="72AC32C3"/>
    <w:rsid w:val="72C60FDD"/>
    <w:rsid w:val="72CF4231"/>
    <w:rsid w:val="73AD7AA7"/>
    <w:rsid w:val="73AF035B"/>
    <w:rsid w:val="73C372CA"/>
    <w:rsid w:val="748D533D"/>
    <w:rsid w:val="74CE23CA"/>
    <w:rsid w:val="74F3598D"/>
    <w:rsid w:val="750E27C7"/>
    <w:rsid w:val="75815E9A"/>
    <w:rsid w:val="759039A5"/>
    <w:rsid w:val="75EB0F1B"/>
    <w:rsid w:val="768D0DFC"/>
    <w:rsid w:val="76971C64"/>
    <w:rsid w:val="76A344AC"/>
    <w:rsid w:val="76A84E99"/>
    <w:rsid w:val="773D616F"/>
    <w:rsid w:val="77C27899"/>
    <w:rsid w:val="780C63D5"/>
    <w:rsid w:val="78331707"/>
    <w:rsid w:val="78AF606F"/>
    <w:rsid w:val="78BB4144"/>
    <w:rsid w:val="793061B9"/>
    <w:rsid w:val="79D7762B"/>
    <w:rsid w:val="79F44686"/>
    <w:rsid w:val="7A0F3269"/>
    <w:rsid w:val="7A0F547E"/>
    <w:rsid w:val="7A1470EB"/>
    <w:rsid w:val="7A2D66DC"/>
    <w:rsid w:val="7AE709F8"/>
    <w:rsid w:val="7D096B1B"/>
    <w:rsid w:val="7D2206CA"/>
    <w:rsid w:val="7D364FB1"/>
    <w:rsid w:val="7D380D29"/>
    <w:rsid w:val="7D625DA6"/>
    <w:rsid w:val="7E0E5EF0"/>
    <w:rsid w:val="7E4C610E"/>
    <w:rsid w:val="7E860AEC"/>
    <w:rsid w:val="7EA424F8"/>
    <w:rsid w:val="7F252BFD"/>
    <w:rsid w:val="7FCB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autoRedefine/>
    <w:qFormat/>
    <w:uiPriority w:val="99"/>
    <w:pPr>
      <w:keepNext/>
      <w:keepLines/>
      <w:spacing w:before="260" w:beforeLines="0" w:after="260" w:afterLines="0" w:line="415" w:lineRule="auto"/>
      <w:outlineLvl w:val="1"/>
    </w:pPr>
    <w:rPr>
      <w:rFonts w:ascii="Arial" w:hAnsi="Arial" w:eastAsia="黑体"/>
      <w:b/>
      <w:bCs/>
      <w:sz w:val="32"/>
      <w:szCs w:val="32"/>
    </w:rPr>
  </w:style>
  <w:style w:type="paragraph" w:styleId="4">
    <w:name w:val="heading 3"/>
    <w:basedOn w:val="1"/>
    <w:next w:val="1"/>
    <w:autoRedefine/>
    <w:qFormat/>
    <w:uiPriority w:val="0"/>
    <w:pPr>
      <w:keepNext/>
      <w:keepLines/>
      <w:spacing w:before="20" w:after="20" w:line="360" w:lineRule="auto"/>
      <w:ind w:left="200" w:leftChars="200" w:right="100" w:rightChars="100"/>
      <w:jc w:val="left"/>
      <w:outlineLvl w:val="2"/>
    </w:pPr>
    <w:rPr>
      <w:rFonts w:hAnsi="黑体" w:eastAsia="黑体"/>
      <w:b/>
      <w:sz w:val="28"/>
      <w:szCs w:val="20"/>
    </w:rPr>
  </w:style>
  <w:style w:type="paragraph" w:styleId="5">
    <w:name w:val="heading 5"/>
    <w:basedOn w:val="1"/>
    <w:next w:val="1"/>
    <w:qFormat/>
    <w:uiPriority w:val="0"/>
    <w:pPr>
      <w:keepNext/>
      <w:keepLines/>
      <w:spacing w:before="280" w:after="290" w:line="376" w:lineRule="auto"/>
      <w:outlineLvl w:val="4"/>
    </w:pPr>
    <w:rPr>
      <w:b/>
      <w:bCs/>
      <w:sz w:val="28"/>
      <w:szCs w:val="28"/>
    </w:rPr>
  </w:style>
  <w:style w:type="character" w:default="1" w:styleId="9">
    <w:name w:val="Default Paragraph Font"/>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6">
    <w:name w:val="footer"/>
    <w:basedOn w:val="1"/>
    <w:autoRedefine/>
    <w:qFormat/>
    <w:uiPriority w:val="0"/>
    <w:pPr>
      <w:tabs>
        <w:tab w:val="center" w:pos="4153"/>
        <w:tab w:val="right" w:pos="8306"/>
      </w:tabs>
      <w:snapToGrid w:val="0"/>
      <w:jc w:val="left"/>
    </w:pPr>
    <w:rPr>
      <w:sz w:val="18"/>
      <w:szCs w:val="20"/>
    </w:rPr>
  </w:style>
  <w:style w:type="paragraph" w:styleId="7">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szCs w:val="20"/>
    </w:rPr>
  </w:style>
  <w:style w:type="paragraph" w:customStyle="1" w:styleId="10">
    <w:name w:val="_Style 2"/>
    <w:basedOn w:val="1"/>
    <w:autoRedefine/>
    <w:qFormat/>
    <w:uiPriority w:val="0"/>
    <w:pPr>
      <w:spacing w:after="0" w:afterLines="0" w:line="240" w:lineRule="auto"/>
    </w:pPr>
  </w:style>
  <w:style w:type="paragraph" w:customStyle="1" w:styleId="11">
    <w:name w:val="_Style 3"/>
    <w:basedOn w:val="1"/>
    <w:autoRedefine/>
    <w:qFormat/>
    <w:uiPriority w:val="0"/>
    <w:pPr>
      <w:adjustRightInd w:val="0"/>
      <w:snapToGrid w:val="0"/>
      <w:spacing w:line="288" w:lineRule="auto"/>
      <w:ind w:firstLine="420" w:firstLineChars="200"/>
    </w:pPr>
    <w:rPr>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24</Pages>
  <Words>6976</Words>
  <Characters>8052</Characters>
  <Lines>0</Lines>
  <Paragraphs>0</Paragraphs>
  <TotalTime>60</TotalTime>
  <ScaleCrop>false</ScaleCrop>
  <LinksUpToDate>false</LinksUpToDate>
  <CharactersWithSpaces>8261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2022-03-03T05:37:00Z</dcterms:created>
  <dc:creator>Administrator</dc:creator>
  <cp:lastModifiedBy>王晨怡</cp:lastModifiedBy>
  <cp:lastPrinted>2024-01-16T01:05:00Z</cp:lastPrinted>
  <dcterms:modified xsi:type="dcterms:W3CDTF">2024-01-23T06:27:31Z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78D99ACF49214FB8A9CF7FF8909AB88B_13</vt:lpwstr>
  </property>
</Properties>
</file>