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报价单</w:t>
      </w:r>
    </w:p>
    <w:tbl>
      <w:tblPr>
        <w:tblStyle w:val="5"/>
        <w:tblW w:w="4998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791"/>
        <w:gridCol w:w="1542"/>
        <w:gridCol w:w="876"/>
        <w:gridCol w:w="15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22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2225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b/>
                <w:bCs/>
                <w:color w:val="auto"/>
                <w:szCs w:val="21"/>
              </w:rPr>
              <w:t>品类</w:t>
            </w:r>
          </w:p>
        </w:tc>
        <w:tc>
          <w:tcPr>
            <w:tcW w:w="905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b/>
                <w:bCs/>
                <w:color w:val="auto"/>
                <w:szCs w:val="21"/>
              </w:rPr>
              <w:t>品类抽成比例</w:t>
            </w:r>
          </w:p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b/>
                <w:bCs/>
                <w:color w:val="auto"/>
                <w:szCs w:val="21"/>
              </w:rPr>
              <w:t>（最低限价）</w:t>
            </w:r>
          </w:p>
        </w:tc>
        <w:tc>
          <w:tcPr>
            <w:tcW w:w="514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b/>
                <w:bCs/>
                <w:color w:val="auto"/>
                <w:szCs w:val="21"/>
              </w:rPr>
              <w:t>分值</w:t>
            </w:r>
          </w:p>
        </w:tc>
        <w:tc>
          <w:tcPr>
            <w:tcW w:w="933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b/>
                <w:bCs/>
                <w:color w:val="FF0000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b/>
                <w:bCs/>
                <w:color w:val="FF0000"/>
                <w:szCs w:val="21"/>
              </w:rPr>
              <w:t>品类抽成比例</w:t>
            </w:r>
          </w:p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cs="方正仿宋简体" w:asciiTheme="minorEastAsia" w:hAnsiTheme="minorEastAsia"/>
                <w:b/>
                <w:bCs/>
                <w:color w:val="FF0000"/>
                <w:szCs w:val="21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2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  <w:t>1</w:t>
            </w:r>
          </w:p>
        </w:tc>
        <w:tc>
          <w:tcPr>
            <w:tcW w:w="2225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  <w:t>办公用品（文具、设备、耗材）类</w:t>
            </w:r>
          </w:p>
        </w:tc>
        <w:tc>
          <w:tcPr>
            <w:tcW w:w="905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  <w:t>15%</w:t>
            </w:r>
          </w:p>
        </w:tc>
        <w:tc>
          <w:tcPr>
            <w:tcW w:w="514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  <w:t>5分</w:t>
            </w:r>
          </w:p>
        </w:tc>
        <w:tc>
          <w:tcPr>
            <w:tcW w:w="933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2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  <w:t>2</w:t>
            </w:r>
          </w:p>
        </w:tc>
        <w:tc>
          <w:tcPr>
            <w:tcW w:w="2225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  <w:t>电子产品、家用电器类</w:t>
            </w:r>
          </w:p>
        </w:tc>
        <w:tc>
          <w:tcPr>
            <w:tcW w:w="905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  <w:t>15%</w:t>
            </w:r>
          </w:p>
        </w:tc>
        <w:tc>
          <w:tcPr>
            <w:tcW w:w="514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  <w:t>10分</w:t>
            </w:r>
          </w:p>
        </w:tc>
        <w:tc>
          <w:tcPr>
            <w:tcW w:w="933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2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  <w:t>3</w:t>
            </w:r>
          </w:p>
        </w:tc>
        <w:tc>
          <w:tcPr>
            <w:tcW w:w="2225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  <w:t>纺织品、床上用品类</w:t>
            </w:r>
          </w:p>
        </w:tc>
        <w:tc>
          <w:tcPr>
            <w:tcW w:w="905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  <w:t>15%</w:t>
            </w:r>
          </w:p>
        </w:tc>
        <w:tc>
          <w:tcPr>
            <w:tcW w:w="514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  <w:t>10分</w:t>
            </w:r>
          </w:p>
        </w:tc>
        <w:tc>
          <w:tcPr>
            <w:tcW w:w="933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2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  <w:t>4</w:t>
            </w:r>
          </w:p>
        </w:tc>
        <w:tc>
          <w:tcPr>
            <w:tcW w:w="2225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  <w:t>家庭用品和清洁用品类</w:t>
            </w:r>
          </w:p>
        </w:tc>
        <w:tc>
          <w:tcPr>
            <w:tcW w:w="905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  <w:t>15%</w:t>
            </w:r>
          </w:p>
        </w:tc>
        <w:tc>
          <w:tcPr>
            <w:tcW w:w="514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  <w:t>20分</w:t>
            </w:r>
          </w:p>
        </w:tc>
        <w:tc>
          <w:tcPr>
            <w:tcW w:w="933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2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  <w:t>5</w:t>
            </w:r>
          </w:p>
        </w:tc>
        <w:tc>
          <w:tcPr>
            <w:tcW w:w="2225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  <w:t>食品、饮料类</w:t>
            </w:r>
          </w:p>
        </w:tc>
        <w:tc>
          <w:tcPr>
            <w:tcW w:w="905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  <w:t>15%</w:t>
            </w:r>
          </w:p>
        </w:tc>
        <w:tc>
          <w:tcPr>
            <w:tcW w:w="514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  <w:t>20分</w:t>
            </w:r>
          </w:p>
        </w:tc>
        <w:tc>
          <w:tcPr>
            <w:tcW w:w="933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2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  <w:t>6</w:t>
            </w:r>
          </w:p>
        </w:tc>
        <w:tc>
          <w:tcPr>
            <w:tcW w:w="2225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  <w:t>粮油米面类</w:t>
            </w:r>
          </w:p>
        </w:tc>
        <w:tc>
          <w:tcPr>
            <w:tcW w:w="905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  <w:t>10%</w:t>
            </w:r>
          </w:p>
        </w:tc>
        <w:tc>
          <w:tcPr>
            <w:tcW w:w="514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  <w:t>20分</w:t>
            </w:r>
          </w:p>
        </w:tc>
        <w:tc>
          <w:tcPr>
            <w:tcW w:w="933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2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  <w:t>7</w:t>
            </w:r>
          </w:p>
        </w:tc>
        <w:tc>
          <w:tcPr>
            <w:tcW w:w="2225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  <w:t>运动户外、服装类</w:t>
            </w:r>
          </w:p>
        </w:tc>
        <w:tc>
          <w:tcPr>
            <w:tcW w:w="905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  <w:t>10%</w:t>
            </w:r>
          </w:p>
        </w:tc>
        <w:tc>
          <w:tcPr>
            <w:tcW w:w="514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  <w:t>10分</w:t>
            </w:r>
          </w:p>
        </w:tc>
        <w:tc>
          <w:tcPr>
            <w:tcW w:w="933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2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  <w:t>8</w:t>
            </w:r>
          </w:p>
        </w:tc>
        <w:tc>
          <w:tcPr>
            <w:tcW w:w="2225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  <w:t>工业品类</w:t>
            </w:r>
          </w:p>
        </w:tc>
        <w:tc>
          <w:tcPr>
            <w:tcW w:w="905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  <w:t>10%</w:t>
            </w:r>
          </w:p>
        </w:tc>
        <w:tc>
          <w:tcPr>
            <w:tcW w:w="514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  <w:t>5分</w:t>
            </w:r>
          </w:p>
        </w:tc>
        <w:tc>
          <w:tcPr>
            <w:tcW w:w="933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066" w:type="pct"/>
            <w:gridSpan w:val="4"/>
          </w:tcPr>
          <w:p>
            <w:pPr>
              <w:widowControl/>
              <w:jc w:val="center"/>
              <w:rPr>
                <w:rFonts w:hint="default" w:cs="方正仿宋简体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cs="方正仿宋简体" w:asciiTheme="minorEastAsia" w:hAnsiTheme="minorEastAsia"/>
                <w:color w:val="auto"/>
                <w:szCs w:val="21"/>
                <w:lang w:val="en-US" w:eastAsia="zh-CN"/>
              </w:rPr>
              <w:t>综合得分</w:t>
            </w:r>
          </w:p>
        </w:tc>
        <w:tc>
          <w:tcPr>
            <w:tcW w:w="933" w:type="pct"/>
          </w:tcPr>
          <w:p>
            <w:pPr>
              <w:widowControl/>
              <w:jc w:val="center"/>
              <w:rPr>
                <w:rFonts w:hint="eastAsia" w:cs="方正仿宋简体" w:asciiTheme="minorEastAsia" w:hAnsiTheme="minorEastAsia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5000" w:type="pct"/>
            <w:gridSpan w:val="5"/>
          </w:tcPr>
          <w:p>
            <w:pPr>
              <w:pStyle w:val="2"/>
              <w:rPr>
                <w:rFonts w:hint="eastAsia" w:cs="方正仿宋简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 w:val="21"/>
                <w:szCs w:val="21"/>
              </w:rPr>
              <w:t>备注：</w:t>
            </w:r>
          </w:p>
          <w:p>
            <w:pPr>
              <w:pStyle w:val="2"/>
              <w:rPr>
                <w:rFonts w:hint="eastAsia" w:cs="方正仿宋简体" w:asciiTheme="minorEastAsia" w:hAnsiTheme="minorEastAsia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b/>
                <w:bCs/>
                <w:color w:val="auto"/>
                <w:sz w:val="21"/>
                <w:szCs w:val="21"/>
              </w:rPr>
              <w:t>1、综合得分计算公式=各</w:t>
            </w:r>
            <w:r>
              <w:rPr>
                <w:rFonts w:hint="eastAsia" w:cs="方正仿宋简体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品</w:t>
            </w:r>
            <w:r>
              <w:rPr>
                <w:rFonts w:hint="eastAsia" w:cs="方正仿宋简体" w:asciiTheme="minorEastAsia" w:hAnsiTheme="minorEastAsia" w:eastAsiaTheme="minorEastAsia"/>
                <w:b/>
                <w:bCs/>
                <w:color w:val="auto"/>
                <w:sz w:val="21"/>
                <w:szCs w:val="21"/>
              </w:rPr>
              <w:t>类</w:t>
            </w:r>
            <w:r>
              <w:rPr>
                <w:rFonts w:hint="eastAsia" w:cs="方正仿宋简体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抽成</w:t>
            </w:r>
            <w:r>
              <w:rPr>
                <w:rFonts w:hint="eastAsia" w:cs="方正仿宋简体" w:asciiTheme="minorEastAsia" w:hAnsiTheme="minorEastAsia" w:eastAsiaTheme="minorEastAsia"/>
                <w:b/>
                <w:bCs/>
                <w:color w:val="auto"/>
                <w:sz w:val="21"/>
                <w:szCs w:val="21"/>
              </w:rPr>
              <w:t>比</w:t>
            </w:r>
            <w:r>
              <w:rPr>
                <w:rFonts w:hint="eastAsia" w:cs="方正仿宋简体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利报价</w:t>
            </w:r>
            <w:r>
              <w:rPr>
                <w:rFonts w:hint="eastAsia" w:cs="方正仿宋简体" w:asciiTheme="minorEastAsia" w:hAnsiTheme="minorEastAsia" w:eastAsiaTheme="minorEastAsia"/>
                <w:b/>
                <w:bCs/>
                <w:color w:val="auto"/>
                <w:sz w:val="21"/>
                <w:szCs w:val="21"/>
              </w:rPr>
              <w:t>*</w:t>
            </w:r>
            <w:r>
              <w:rPr>
                <w:rFonts w:hint="eastAsia" w:cs="方正仿宋简体" w:asciiTheme="minorEastAsia" w:hAnsiTheme="minorEastAsia" w:eastAsiaTheme="minorEastAsia"/>
                <w:b/>
                <w:bCs/>
                <w:color w:val="auto"/>
                <w:sz w:val="21"/>
                <w:szCs w:val="21"/>
              </w:rPr>
              <w:t>各</w:t>
            </w:r>
            <w:r>
              <w:rPr>
                <w:rFonts w:hint="eastAsia" w:cs="方正仿宋简体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品</w:t>
            </w:r>
            <w:r>
              <w:rPr>
                <w:rFonts w:hint="eastAsia" w:cs="方正仿宋简体" w:asciiTheme="minorEastAsia" w:hAnsiTheme="minorEastAsia" w:eastAsiaTheme="minorEastAsia"/>
                <w:b/>
                <w:bCs/>
                <w:color w:val="auto"/>
                <w:sz w:val="21"/>
                <w:szCs w:val="21"/>
              </w:rPr>
              <w:t>类</w:t>
            </w:r>
            <w:r>
              <w:rPr>
                <w:rFonts w:hint="eastAsia" w:cs="方正仿宋简体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抽成</w:t>
            </w:r>
            <w:r>
              <w:rPr>
                <w:rFonts w:hint="eastAsia" w:cs="方正仿宋简体" w:asciiTheme="minorEastAsia" w:hAnsiTheme="minorEastAsia" w:eastAsiaTheme="minorEastAsia"/>
                <w:b/>
                <w:bCs/>
                <w:color w:val="auto"/>
                <w:sz w:val="21"/>
                <w:szCs w:val="21"/>
              </w:rPr>
              <w:t>比</w:t>
            </w:r>
            <w:r>
              <w:rPr>
                <w:rFonts w:hint="eastAsia" w:cs="方正仿宋简体" w:asciiTheme="minorEastAsia" w:hAnsi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利对应分值</w:t>
            </w:r>
            <w:r>
              <w:rPr>
                <w:rFonts w:hint="eastAsia" w:cs="方正仿宋简体" w:asciiTheme="minorEastAsia" w:hAnsiTheme="minorEastAsia" w:eastAsiaTheme="minorEastAsia"/>
                <w:b/>
                <w:bCs/>
                <w:color w:val="auto"/>
                <w:sz w:val="21"/>
                <w:szCs w:val="21"/>
              </w:rPr>
              <w:t>之和；</w:t>
            </w:r>
          </w:p>
          <w:p>
            <w:pPr>
              <w:pStyle w:val="2"/>
              <w:rPr>
                <w:rFonts w:hint="eastAsia" w:cs="方正仿宋简体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cs="方正仿宋简体" w:asciiTheme="minorEastAsia" w:hAnsiTheme="minorEastAsia" w:eastAsiaTheme="minorEastAsia"/>
                <w:color w:val="auto"/>
                <w:sz w:val="21"/>
                <w:szCs w:val="21"/>
              </w:rPr>
              <w:t>2、意向供应商须保证所报价商品均能正常供应，如某一品类商品不能供应，则该品类毛利报价填0%；如发现弄虚作假、瞒报乱报，</w:t>
            </w:r>
            <w:r>
              <w:rPr>
                <w:rFonts w:cs="方正仿宋简体" w:asciiTheme="minorEastAsia" w:hAnsiTheme="minorEastAsia" w:eastAsiaTheme="minorEastAsia"/>
                <w:color w:val="auto"/>
                <w:sz w:val="21"/>
                <w:szCs w:val="21"/>
              </w:rPr>
              <w:t>视为</w:t>
            </w:r>
            <w:r>
              <w:rPr>
                <w:rFonts w:hint="eastAsia" w:cs="方正仿宋简体" w:asciiTheme="minorEastAsia" w:hAnsiTheme="minorEastAsia" w:eastAsiaTheme="minorEastAsia"/>
                <w:color w:val="auto"/>
                <w:sz w:val="21"/>
                <w:szCs w:val="21"/>
              </w:rPr>
              <w:t>供应商履行不能</w:t>
            </w:r>
            <w:r>
              <w:rPr>
                <w:rFonts w:cs="方正仿宋简体" w:asciiTheme="minorEastAsia" w:hAnsiTheme="minorEastAsia" w:eastAsiaTheme="minorEastAsia"/>
                <w:color w:val="auto"/>
                <w:sz w:val="21"/>
                <w:szCs w:val="21"/>
              </w:rPr>
              <w:t>，</w:t>
            </w:r>
            <w:r>
              <w:rPr>
                <w:rFonts w:hint="eastAsia" w:cs="方正仿宋简体" w:asciiTheme="minorEastAsia" w:hAnsiTheme="minorEastAsia" w:eastAsiaTheme="minorEastAsia"/>
                <w:color w:val="auto"/>
                <w:sz w:val="21"/>
                <w:szCs w:val="21"/>
              </w:rPr>
              <w:t>广通公司</w:t>
            </w:r>
            <w:r>
              <w:rPr>
                <w:rFonts w:cs="方正仿宋简体" w:asciiTheme="minorEastAsia" w:hAnsiTheme="minorEastAsia" w:eastAsiaTheme="minorEastAsia"/>
                <w:color w:val="auto"/>
                <w:sz w:val="21"/>
                <w:szCs w:val="21"/>
              </w:rPr>
              <w:t>有权单方面解除</w:t>
            </w:r>
            <w:r>
              <w:rPr>
                <w:rFonts w:hint="eastAsia" w:cs="方正仿宋简体" w:asciiTheme="minorEastAsia" w:hAnsiTheme="minorEastAsia" w:eastAsiaTheme="minorEastAsia"/>
                <w:color w:val="auto"/>
                <w:sz w:val="21"/>
                <w:szCs w:val="21"/>
              </w:rPr>
              <w:t>协议</w:t>
            </w:r>
            <w:r>
              <w:rPr>
                <w:rFonts w:cs="方正仿宋简体" w:asciiTheme="minorEastAsia" w:hAnsiTheme="minorEastAsia" w:eastAsiaTheme="minorEastAsia"/>
                <w:color w:val="auto"/>
                <w:sz w:val="21"/>
                <w:szCs w:val="21"/>
              </w:rPr>
              <w:t>，并有权追究</w:t>
            </w:r>
            <w:r>
              <w:rPr>
                <w:rFonts w:hint="eastAsia" w:cs="方正仿宋简体" w:asciiTheme="minorEastAsia" w:hAnsiTheme="minorEastAsia" w:eastAsiaTheme="minorEastAsia"/>
                <w:color w:val="auto"/>
                <w:sz w:val="21"/>
                <w:szCs w:val="21"/>
              </w:rPr>
              <w:t>供应商</w:t>
            </w:r>
            <w:r>
              <w:rPr>
                <w:rFonts w:cs="方正仿宋简体" w:asciiTheme="minorEastAsia" w:hAnsiTheme="minorEastAsia" w:eastAsiaTheme="minorEastAsia"/>
                <w:color w:val="auto"/>
                <w:sz w:val="21"/>
                <w:szCs w:val="21"/>
              </w:rPr>
              <w:t>的违约责任。</w:t>
            </w:r>
          </w:p>
        </w:tc>
      </w:tr>
    </w:tbl>
    <w:p>
      <w:pPr>
        <w:jc w:val="left"/>
        <w:rPr>
          <w:rFonts w:hint="default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  <w:t>备注：该报价单加盖公章后扫描上传pdf版本文件。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MzczNGMzZGQ4MzNjYWM1MzM1N2FjODczZmE0NjEifQ=="/>
    <w:docVar w:name="KSO_WPS_MARK_KEY" w:val="5bb2c1af-4fc0-4fa8-8282-8edaa2a3b60a"/>
  </w:docVars>
  <w:rsids>
    <w:rsidRoot w:val="00000000"/>
    <w:rsid w:val="4ABF69EF"/>
    <w:rsid w:val="6780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宋体" w:hAnsi="宋体" w:cs="宋体"/>
      <w:sz w:val="24"/>
      <w:szCs w:val="24"/>
    </w:rPr>
  </w:style>
  <w:style w:type="paragraph" w:customStyle="1" w:styleId="3">
    <w:name w:val="目录 61"/>
    <w:next w:val="1"/>
    <w:qFormat/>
    <w:uiPriority w:val="0"/>
    <w:pPr>
      <w:wordWrap w:val="0"/>
      <w:ind w:left="2125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64</Characters>
  <Lines>0</Lines>
  <Paragraphs>0</Paragraphs>
  <TotalTime>0</TotalTime>
  <ScaleCrop>false</ScaleCrop>
  <LinksUpToDate>false</LinksUpToDate>
  <CharactersWithSpaces>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2024-04-10T07:53:00Z</dcterms:created>
  <dc:creator>K4</dc:creator>
  <cp:lastModifiedBy>徐超</cp:lastModifiedBy>
  <dcterms:modified xsi:type="dcterms:W3CDTF">2024-08-23T06:15:43Z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672B17DD1D9047228D55C4ED84701AE4_12</vt:lpwstr>
  </property>
</Properties>
</file>