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龙城实验室精密装配实验室空调采购及安装工程</w:t>
      </w:r>
    </w:p>
    <w:p>
      <w:pPr>
        <w:jc w:val="center"/>
        <w:rPr>
          <w:rFonts w:ascii="黑体" w:hAnsi="黑体" w:eastAsia="黑体" w:cs="黑体"/>
          <w:b/>
          <w:bCs/>
          <w:sz w:val="32"/>
          <w:szCs w:val="32"/>
        </w:rPr>
      </w:pPr>
      <w:r>
        <w:rPr>
          <w:rFonts w:hint="eastAsia" w:ascii="黑体" w:hAnsi="黑体" w:eastAsia="黑体" w:cs="黑体"/>
          <w:b/>
          <w:bCs/>
          <w:sz w:val="32"/>
          <w:szCs w:val="32"/>
        </w:rPr>
        <w:t>工程量清单编制说明</w:t>
      </w:r>
    </w:p>
    <w:p>
      <w:pPr>
        <w:tabs>
          <w:tab w:val="left" w:pos="0"/>
          <w:tab w:val="left" w:pos="540"/>
        </w:tabs>
        <w:spacing w:line="360" w:lineRule="auto"/>
        <w:rPr>
          <w:rFonts w:cs="宋体" w:asciiTheme="minorEastAsia" w:hAnsiTheme="minorEastAsia"/>
          <w:b/>
          <w:sz w:val="24"/>
        </w:rPr>
      </w:pPr>
      <w:r>
        <w:rPr>
          <w:rFonts w:hint="eastAsia" w:cs="宋体" w:asciiTheme="minorEastAsia" w:hAnsiTheme="minorEastAsia"/>
          <w:b/>
          <w:sz w:val="24"/>
        </w:rPr>
        <w:t>一、编制依据及编制范围</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1、《建设工程工程量清单计价规范》GB50500-2013；</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2、《江苏省建筑与装饰工程计价定额》2014版；</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3、《江苏省安装工程计价定额》2014版；</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4、《江苏省2014机械台班定额》；</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5、《房屋建筑与装饰工程工程量计算规范》GB50854-2013；</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6、《通用安装工程工程量计算规范》GB50856-2013；</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7、《江苏省建设工程费用定额》（</w:t>
      </w:r>
      <w:r>
        <w:rPr>
          <w:rFonts w:cs="宋体" w:asciiTheme="minorEastAsia" w:hAnsiTheme="minorEastAsia"/>
          <w:color w:val="000000" w:themeColor="text1"/>
          <w:sz w:val="24"/>
          <w14:textFill>
            <w14:solidFill>
              <w14:schemeClr w14:val="tx1"/>
            </w14:solidFill>
          </w14:textFill>
        </w:rPr>
        <w:t>20</w:t>
      </w:r>
      <w:r>
        <w:rPr>
          <w:rFonts w:hint="eastAsia" w:cs="宋体" w:asciiTheme="minorEastAsia" w:hAnsiTheme="minorEastAsia"/>
          <w:color w:val="000000" w:themeColor="text1"/>
          <w:sz w:val="24"/>
          <w14:textFill>
            <w14:solidFill>
              <w14:schemeClr w14:val="tx1"/>
            </w14:solidFill>
          </w14:textFill>
        </w:rPr>
        <w:t>14版)；</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8、苏建价[2014]448号、苏建价〔2016〕154号、常建〔2016〕94号、常建(2014)279号、常建2017（103）、常建[2018]26号、苏建函价[2019]178号文、常建[2019]1号文、</w:t>
      </w:r>
      <w:r>
        <w:rPr>
          <w:rFonts w:hint="eastAsia" w:ascii="宋体" w:hAnsi="宋体"/>
          <w:sz w:val="24"/>
        </w:rPr>
        <w:t>省住建厅〔2019〕第</w:t>
      </w:r>
      <w:r>
        <w:rPr>
          <w:rFonts w:hint="eastAsia" w:ascii="宋体" w:hAnsi="宋体" w:eastAsia="宋体" w:cs="Times New Roman"/>
          <w:sz w:val="24"/>
        </w:rPr>
        <w:t>19号文、省住建厅〔2021〕第16号、常住建〔2021〕174号等现行计价文件及规定</w:t>
      </w:r>
      <w:r>
        <w:rPr>
          <w:rFonts w:hint="eastAsia" w:cs="宋体" w:asciiTheme="minorEastAsia" w:hAnsiTheme="minorEastAsia"/>
          <w:color w:val="000000" w:themeColor="text1"/>
          <w:sz w:val="24"/>
          <w14:textFill>
            <w14:solidFill>
              <w14:schemeClr w14:val="tx1"/>
            </w14:solidFill>
          </w14:textFill>
        </w:rPr>
        <w:t>；</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9、委托方提供的设计图纸、图纸问题回复汇总；</w:t>
      </w:r>
    </w:p>
    <w:p>
      <w:pPr>
        <w:tabs>
          <w:tab w:val="left" w:pos="0"/>
          <w:tab w:val="left" w:pos="540"/>
        </w:tabs>
        <w:spacing w:line="360" w:lineRule="auto"/>
        <w:rPr>
          <w:rFonts w:cs="宋体" w:asciiTheme="minorEastAsia" w:hAnsiTheme="minorEastAsia"/>
          <w:b/>
          <w:sz w:val="24"/>
        </w:rPr>
      </w:pPr>
      <w:r>
        <w:rPr>
          <w:rFonts w:hint="eastAsia" w:cs="宋体" w:asciiTheme="minorEastAsia" w:hAnsiTheme="minorEastAsia"/>
          <w:b/>
          <w:sz w:val="24"/>
        </w:rPr>
        <w:t>二、编制说明</w:t>
      </w:r>
    </w:p>
    <w:p>
      <w:pPr>
        <w:tabs>
          <w:tab w:val="left" w:pos="0"/>
          <w:tab w:val="left" w:pos="540"/>
        </w:tabs>
        <w:spacing w:line="360" w:lineRule="auto"/>
        <w:rPr>
          <w:rFonts w:cs="宋体" w:asciiTheme="minorEastAsia" w:hAnsiTheme="minorEastAsia"/>
          <w:color w:val="000000" w:themeColor="text1"/>
          <w:sz w:val="24"/>
          <w14:textFill>
            <w14:solidFill>
              <w14:schemeClr w14:val="tx1"/>
            </w14:solidFill>
          </w14:textFill>
        </w:rPr>
      </w:pPr>
      <w:r>
        <w:rPr>
          <w:rFonts w:hint="eastAsia" w:asciiTheme="minorEastAsia" w:hAnsiTheme="minorEastAsia"/>
          <w:b/>
          <w:bCs/>
          <w:sz w:val="24"/>
        </w:rPr>
        <w:t>（一）、通用编制说明</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1</w:t>
      </w:r>
      <w:r>
        <w:rPr>
          <w:rFonts w:hint="eastAsia" w:cs="宋体" w:asciiTheme="minorEastAsia" w:hAnsiTheme="minorEastAsia"/>
          <w:color w:val="000000" w:themeColor="text1"/>
          <w:sz w:val="24"/>
          <w14:textFill>
            <w14:solidFill>
              <w14:schemeClr w14:val="tx1"/>
            </w14:solidFill>
          </w14:textFill>
        </w:rPr>
        <w:t>.凡本清单内容中明确的，按清单的要求编制投标报价；本清单未作说明的，按上述规范、文件和要求编制投标报价。</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2</w:t>
      </w:r>
      <w:r>
        <w:rPr>
          <w:rFonts w:hint="eastAsia" w:cs="宋体" w:asciiTheme="minorEastAsia" w:hAnsiTheme="minorEastAsia"/>
          <w:color w:val="000000" w:themeColor="text1"/>
          <w:sz w:val="24"/>
          <w14:textFill>
            <w14:solidFill>
              <w14:schemeClr w14:val="tx1"/>
            </w14:solidFill>
          </w14:textFill>
        </w:rPr>
        <w:t>.</w:t>
      </w:r>
      <w:r>
        <w:rPr>
          <w:rFonts w:cs="宋体" w:asciiTheme="minorEastAsia" w:hAnsiTheme="minorEastAsia"/>
          <w:color w:val="000000" w:themeColor="text1"/>
          <w:sz w:val="24"/>
          <w14:textFill>
            <w14:solidFill>
              <w14:schemeClr w14:val="tx1"/>
            </w14:solidFill>
          </w14:textFill>
        </w:rPr>
        <w:t>金额（价格）均应以人民币表示</w:t>
      </w:r>
      <w:r>
        <w:rPr>
          <w:rFonts w:hint="eastAsia" w:cs="宋体" w:asciiTheme="minorEastAsia" w:hAnsiTheme="minorEastAsia"/>
          <w:color w:val="000000" w:themeColor="text1"/>
          <w:sz w:val="24"/>
          <w14:textFill>
            <w14:solidFill>
              <w14:schemeClr w14:val="tx1"/>
            </w14:solidFill>
          </w14:textFill>
        </w:rPr>
        <w:t>。</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3</w:t>
      </w:r>
      <w:r>
        <w:rPr>
          <w:rFonts w:hint="eastAsia" w:cs="宋体" w:asciiTheme="minorEastAsia" w:hAnsiTheme="minorEastAsia"/>
          <w:color w:val="000000" w:themeColor="text1"/>
          <w:sz w:val="24"/>
          <w14:textFill>
            <w14:solidFill>
              <w14:schemeClr w14:val="tx1"/>
            </w14:solidFill>
          </w14:textFill>
        </w:rPr>
        <w:t>.</w:t>
      </w:r>
      <w:r>
        <w:rPr>
          <w:rFonts w:cs="宋体" w:asciiTheme="minorEastAsia" w:hAnsiTheme="minorEastAsia"/>
          <w:color w:val="000000" w:themeColor="text1"/>
          <w:sz w:val="24"/>
          <w14:textFill>
            <w14:solidFill>
              <w14:schemeClr w14:val="tx1"/>
            </w14:solidFill>
          </w14:textFill>
        </w:rPr>
        <w:t>工程量清单及其计价格式中的任何内容不得随意删除或涂改</w:t>
      </w:r>
      <w:r>
        <w:rPr>
          <w:rFonts w:hint="eastAsia" w:cs="宋体" w:asciiTheme="minorEastAsia" w:hAnsiTheme="minorEastAsia"/>
          <w:color w:val="000000" w:themeColor="text1"/>
          <w:sz w:val="24"/>
          <w14:textFill>
            <w14:solidFill>
              <w14:schemeClr w14:val="tx1"/>
            </w14:solidFill>
          </w14:textFill>
        </w:rPr>
        <w:t>。</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4</w:t>
      </w:r>
      <w:r>
        <w:rPr>
          <w:rFonts w:hint="eastAsia" w:cs="宋体" w:asciiTheme="minorEastAsia" w:hAnsiTheme="minorEastAsia"/>
          <w:color w:val="000000" w:themeColor="text1"/>
          <w:sz w:val="24"/>
          <w14:textFill>
            <w14:solidFill>
              <w14:schemeClr w14:val="tx1"/>
            </w14:solidFill>
          </w14:textFill>
        </w:rPr>
        <w:t>.</w:t>
      </w:r>
      <w:r>
        <w:rPr>
          <w:rFonts w:cs="宋体" w:asciiTheme="minorEastAsia" w:hAnsiTheme="minorEastAsia"/>
          <w:color w:val="000000" w:themeColor="text1"/>
          <w:sz w:val="24"/>
          <w14:textFill>
            <w14:solidFill>
              <w14:schemeClr w14:val="tx1"/>
            </w14:solidFill>
          </w14:textFill>
        </w:rPr>
        <w:t>工程量清单计价格式中列明的所有需要填报的单价和合价，投标人均应填报，未填报的单价和合价，视为此项费用已包含在工程量清单的其他单价和合价中</w:t>
      </w:r>
      <w:r>
        <w:rPr>
          <w:rFonts w:hint="eastAsia" w:cs="宋体" w:asciiTheme="minorEastAsia" w:hAnsiTheme="minorEastAsia"/>
          <w:color w:val="000000" w:themeColor="text1"/>
          <w:sz w:val="24"/>
          <w14:textFill>
            <w14:solidFill>
              <w14:schemeClr w14:val="tx1"/>
            </w14:solidFill>
          </w14:textFill>
        </w:rPr>
        <w:t>。</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5</w:t>
      </w:r>
      <w:r>
        <w:rPr>
          <w:rFonts w:hint="eastAsia" w:cs="宋体" w:asciiTheme="minorEastAsia" w:hAnsiTheme="minorEastAsia"/>
          <w:color w:val="000000" w:themeColor="text1"/>
          <w:sz w:val="24"/>
          <w14:textFill>
            <w14:solidFill>
              <w14:schemeClr w14:val="tx1"/>
            </w14:solidFill>
          </w14:textFill>
        </w:rPr>
        <w:t>.措施项目清单中的现场安全文明施工费为不可竞争费，含基本费和扬尘污染防治增加费。</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6</w:t>
      </w:r>
      <w:r>
        <w:rPr>
          <w:rFonts w:hint="eastAsia" w:cs="宋体" w:asciiTheme="minorEastAsia" w:hAnsiTheme="minorEastAsia"/>
          <w:color w:val="000000" w:themeColor="text1"/>
          <w:sz w:val="24"/>
          <w14:textFill>
            <w14:solidFill>
              <w14:schemeClr w14:val="tx1"/>
            </w14:solidFill>
          </w14:textFill>
        </w:rPr>
        <w:t>.根据项目特点，本工程</w:t>
      </w:r>
      <w:r>
        <w:rPr>
          <w:rFonts w:hint="eastAsia" w:cs="宋体" w:asciiTheme="minorEastAsia" w:hAnsiTheme="minorEastAsia"/>
          <w:color w:val="000000" w:themeColor="text1"/>
          <w:sz w:val="24"/>
          <w:lang w:val="en-US" w:eastAsia="zh-CN"/>
          <w14:textFill>
            <w14:solidFill>
              <w14:schemeClr w14:val="tx1"/>
            </w14:solidFill>
          </w14:textFill>
        </w:rPr>
        <w:t>若</w:t>
      </w:r>
      <w:r>
        <w:rPr>
          <w:rFonts w:hint="eastAsia" w:cs="宋体" w:asciiTheme="minorEastAsia" w:hAnsiTheme="minorEastAsia"/>
          <w:color w:val="000000" w:themeColor="text1"/>
          <w:sz w:val="24"/>
          <w14:textFill>
            <w14:solidFill>
              <w14:schemeClr w14:val="tx1"/>
            </w14:solidFill>
          </w14:textFill>
        </w:rPr>
        <w:t>在单位工程的其他项目清单中设置了暂列金额项目，为不可竞争费，投标报价时不得调整。</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10.规费、税金项目清单中所列费用的费率均为不可竞争费率，投标报价时不得调整。</w:t>
      </w:r>
    </w:p>
    <w:p>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11.本工程施工所需水、电等由承包人负责，相关费用在投标报价中考虑。</w:t>
      </w:r>
    </w:p>
    <w:p>
      <w:pPr>
        <w:adjustRightInd w:val="0"/>
        <w:snapToGrid w:val="0"/>
        <w:spacing w:line="500" w:lineRule="exact"/>
        <w:ind w:firstLine="472" w:firstLineChars="200"/>
        <w:rPr>
          <w:rFonts w:ascii="宋体" w:hAnsi="宋体" w:cs="宋体"/>
          <w:sz w:val="24"/>
        </w:rPr>
      </w:pPr>
      <w:r>
        <w:rPr>
          <w:rFonts w:hint="eastAsia" w:ascii="宋体" w:hAnsi="宋体" w:eastAsia="宋体" w:cs="宋体"/>
          <w:spacing w:val="-2"/>
          <w:sz w:val="24"/>
        </w:rPr>
        <w:t>1</w:t>
      </w:r>
      <w:r>
        <w:rPr>
          <w:rFonts w:hint="eastAsia" w:ascii="宋体" w:hAnsi="宋体" w:eastAsia="宋体" w:cs="宋体"/>
          <w:spacing w:val="-2"/>
          <w:sz w:val="24"/>
          <w:lang w:val="en-US" w:eastAsia="zh-CN"/>
        </w:rPr>
        <w:t>2</w:t>
      </w:r>
      <w:r>
        <w:rPr>
          <w:rFonts w:hint="eastAsia" w:ascii="宋体" w:hAnsi="宋体" w:eastAsia="宋体" w:cs="宋体"/>
          <w:spacing w:val="-2"/>
          <w:sz w:val="24"/>
        </w:rPr>
        <w:t>.</w:t>
      </w:r>
      <w:r>
        <w:rPr>
          <w:rFonts w:hint="eastAsia" w:ascii="宋体" w:hAnsi="宋体" w:cs="宋体"/>
          <w:sz w:val="24"/>
        </w:rPr>
        <w:t>建筑工人实名制取费按照省住建厅〔2019〕第19号文中取费表计取，如建筑工人实名制设备由建筑工人工资专用账户开户银行提供的，结算时按照（分部分项工程费+单价措施项目费-除税工程设备费）*建筑工人实名制文件规定费率*0.5予以扣除。</w:t>
      </w:r>
    </w:p>
    <w:p>
      <w:pPr>
        <w:spacing w:line="360" w:lineRule="auto"/>
        <w:ind w:firstLine="480" w:firstLineChars="200"/>
        <w:rPr>
          <w:rFonts w:ascii="宋体" w:hAnsi="宋体" w:cs="宋体"/>
          <w:sz w:val="24"/>
        </w:rPr>
      </w:pPr>
      <w:r>
        <w:rPr>
          <w:rFonts w:hint="eastAsia" w:cs="宋体" w:asciiTheme="minorEastAsia" w:hAnsiTheme="minorEastAsia"/>
          <w:color w:val="000000" w:themeColor="text1"/>
          <w:sz w:val="24"/>
          <w14:textFill>
            <w14:solidFill>
              <w14:schemeClr w14:val="tx1"/>
            </w14:solidFill>
          </w14:textFill>
        </w:rPr>
        <w:t>1</w:t>
      </w:r>
      <w:r>
        <w:rPr>
          <w:rFonts w:hint="eastAsia" w:cs="宋体" w:asciiTheme="minorEastAsia" w:hAnsiTheme="minorEastAsia"/>
          <w:color w:val="000000" w:themeColor="text1"/>
          <w:sz w:val="24"/>
          <w:lang w:val="en-US" w:eastAsia="zh-CN"/>
          <w14:textFill>
            <w14:solidFill>
              <w14:schemeClr w14:val="tx1"/>
            </w14:solidFill>
          </w14:textFill>
        </w:rPr>
        <w:t>3</w:t>
      </w:r>
      <w:r>
        <w:rPr>
          <w:rFonts w:hint="eastAsia" w:cs="宋体" w:asciiTheme="minorEastAsia" w:hAnsiTheme="minorEastAsia"/>
          <w:color w:val="000000" w:themeColor="text1"/>
          <w:sz w:val="24"/>
          <w14:textFill>
            <w14:solidFill>
              <w14:schemeClr w14:val="tx1"/>
            </w14:solidFill>
          </w14:textFill>
        </w:rPr>
        <w:t>.</w:t>
      </w:r>
      <w:r>
        <w:rPr>
          <w:rFonts w:hint="eastAsia" w:ascii="宋体" w:hAnsi="宋体" w:cs="宋体"/>
          <w:sz w:val="24"/>
        </w:rPr>
        <w:t>投标人应自行认真勘察现场，对清单中单价措施项目或总价措施项目需要补充的，必须在招标释疑中提出，否则结算时按原有清单措施项目进行结算，不再补充相应措施项目。结算时，除工程变更引起的施工方案改变外，不得以措施项目清单漏项为由要求新增措施项目。</w:t>
      </w:r>
    </w:p>
    <w:p>
      <w:pPr>
        <w:spacing w:line="500" w:lineRule="exact"/>
        <w:ind w:firstLine="480" w:firstLineChars="200"/>
        <w:rPr>
          <w:rFonts w:ascii="宋体" w:hAnsi="宋体" w:cs="宋体"/>
          <w:sz w:val="24"/>
        </w:rPr>
      </w:pPr>
      <w:r>
        <w:rPr>
          <w:rFonts w:hint="eastAsia" w:ascii="Times New Roman" w:hAnsi="Times New Roman" w:eastAsia="宋体" w:cs="Times New Roman"/>
          <w:sz w:val="24"/>
        </w:rPr>
        <w:t>1</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.对已完工程及设备保护采取覆盖、包裹、封闭、隔离、不同材质、方式、方法等必要保护措施所发生的任何费用均由投标人综合考虑报价，结算时不调整。</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.现场材料（设备）的二次搬运所发生的费用，由投标人依据现场实际情况自行考虑，均含在相应的综合单价内，不另行签证计取。</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6</w:t>
      </w:r>
      <w:r>
        <w:rPr>
          <w:rFonts w:hint="eastAsia" w:ascii="宋体" w:hAnsi="宋体" w:cs="宋体"/>
          <w:sz w:val="24"/>
        </w:rPr>
        <w:t>.分部分项工程量清单及单价措施项目清单中以项为单位的均为包干价，投标方需认真勘察现场并结合自身情况，自行考虑造价风险投标报价，结算时不做调整。</w:t>
      </w:r>
    </w:p>
    <w:p>
      <w:pPr>
        <w:spacing w:line="360" w:lineRule="auto"/>
        <w:rPr>
          <w:rFonts w:asciiTheme="minorEastAsia" w:hAnsiTheme="minorEastAsia"/>
          <w:b/>
          <w:bCs/>
          <w:sz w:val="24"/>
        </w:rPr>
      </w:pPr>
      <w:r>
        <w:rPr>
          <w:rFonts w:hint="eastAsia" w:asciiTheme="minorEastAsia" w:hAnsiTheme="minorEastAsia"/>
          <w:b/>
          <w:bCs/>
          <w:sz w:val="24"/>
        </w:rPr>
        <w:t>（</w:t>
      </w:r>
      <w:r>
        <w:rPr>
          <w:rFonts w:hint="eastAsia" w:asciiTheme="minorEastAsia" w:hAnsiTheme="minorEastAsia"/>
          <w:b/>
          <w:bCs/>
          <w:sz w:val="24"/>
          <w:lang w:val="en-US" w:eastAsia="zh-CN"/>
        </w:rPr>
        <w:t>二</w:t>
      </w:r>
      <w:r>
        <w:rPr>
          <w:rFonts w:hint="eastAsia" w:asciiTheme="minorEastAsia" w:hAnsiTheme="minorEastAsia"/>
          <w:b/>
          <w:bCs/>
          <w:sz w:val="24"/>
        </w:rPr>
        <w:t>）、</w:t>
      </w:r>
      <w:r>
        <w:rPr>
          <w:rFonts w:hint="eastAsia" w:asciiTheme="minorEastAsia" w:hAnsiTheme="minorEastAsia"/>
          <w:b/>
          <w:bCs/>
          <w:sz w:val="24"/>
          <w:lang w:val="en-US" w:eastAsia="zh-CN"/>
        </w:rPr>
        <w:t>专项</w:t>
      </w:r>
      <w:r>
        <w:rPr>
          <w:rFonts w:hint="eastAsia" w:asciiTheme="minorEastAsia" w:hAnsiTheme="minorEastAsia"/>
          <w:b/>
          <w:bCs/>
          <w:sz w:val="24"/>
        </w:rPr>
        <w:t>编制说明</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图纸中成分分析实验室排气管室内走向不明部分为：水平走至车间东侧墙体外侧，再沿墙体爬升至屋面</w:t>
      </w:r>
      <w:r>
        <w:rPr>
          <w:rFonts w:hint="eastAsia" w:cs="宋体" w:asciiTheme="minorEastAsia" w:hAnsiTheme="minorEastAsia"/>
          <w:color w:val="000000" w:themeColor="text1"/>
          <w:sz w:val="24"/>
          <w:lang w:eastAsia="zh-CN"/>
          <w14:textFill>
            <w14:solidFill>
              <w14:schemeClr w14:val="tx1"/>
            </w14:solidFill>
          </w14:textFill>
        </w:rPr>
        <w:t>。</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空调冷媒管、冷凝水管穿墙、穿楼板、穿屋面按图纸及规范需设置套管的相关费用，穿外墙需设置的内外装饰盖的费用，综合考虑在总价内，投标时自行考虑。</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除列明的调试外，其他机电各系统调试、检测、试运行、无负荷调试、带负荷调试内容及费用均含在投标总价内。</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单价及总价措施项目清单未列的，如投标单位认为实际现场需要的其他措施，则投标单位需将其费用自行考虑在投标总价内，结算时不新增措施项目清单。</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除合同另行约定以外，</w:t>
      </w:r>
      <w:r>
        <w:rPr>
          <w:rFonts w:hint="eastAsia" w:cs="宋体" w:asciiTheme="minorEastAsia" w:hAnsiTheme="minorEastAsia"/>
          <w:color w:val="000000" w:themeColor="text1"/>
          <w:sz w:val="24"/>
          <w14:textFill>
            <w14:solidFill>
              <w14:schemeClr w14:val="tx1"/>
            </w14:solidFill>
          </w14:textFill>
        </w:rPr>
        <w:t>清单以项为计量单位的，以项包干，结算时不调整。</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机电各设备材料清单未描述完整处，投标单位还需按照设计图纸、验收规范及技术文件要求，进行报价。</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除清单列明外，其他所有机电安装工程所涉及的洞口的</w:t>
      </w:r>
      <w:r>
        <w:rPr>
          <w:rFonts w:hint="eastAsia" w:cs="宋体" w:asciiTheme="minorEastAsia" w:hAnsiTheme="minorEastAsia"/>
          <w:color w:val="000000" w:themeColor="text1"/>
          <w:sz w:val="24"/>
          <w:lang w:val="en-US" w:eastAsia="zh-CN"/>
          <w14:textFill>
            <w14:solidFill>
              <w14:schemeClr w14:val="tx1"/>
            </w14:solidFill>
          </w14:textFill>
        </w:rPr>
        <w:t>开孔</w:t>
      </w:r>
      <w:r>
        <w:rPr>
          <w:rFonts w:hint="eastAsia" w:cs="宋体" w:asciiTheme="minorEastAsia" w:hAnsiTheme="minorEastAsia"/>
          <w:color w:val="000000" w:themeColor="text1"/>
          <w:sz w:val="24"/>
          <w14:textFill>
            <w14:solidFill>
              <w14:schemeClr w14:val="tx1"/>
            </w14:solidFill>
          </w14:textFill>
        </w:rPr>
        <w:t>、修补、防火封堵、防水封堵等费用，均由投标单位在投标总价内考虑。</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清单描述镀锌，均为热浸镀锌，热镀锌要求需满足国标要求及验收规范要求。</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超高费（如有）、管井施工增加费（如有），均由投标人依据现场实际情况及图纸自行考虑，其费用由投标人自行考虑并计入总价中，结算时不调整。</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图纸材料设备型号均为参考型号，投标产品需符合设计性能指标要求、招标品牌要求。</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所有施工过程中及调试验收移交过程中的水、电、气、燃油等，均有中标单位承担，各系统移交使用单位之后发生的水、电、气、燃油等费用，均由使用单位承担。各系统均需经过检测，且达到验收规范要求后，才能移交使用单位。</w:t>
      </w:r>
    </w:p>
    <w:p>
      <w:pPr>
        <w:numPr>
          <w:ilvl w:val="0"/>
          <w:numId w:val="1"/>
        </w:numPr>
        <w:spacing w:line="360" w:lineRule="auto"/>
        <w:ind w:left="63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所有材料设备进场前需先送样并满足甲方要求</w:t>
      </w:r>
    </w:p>
    <w:p>
      <w:pPr>
        <w:numPr>
          <w:ilvl w:val="0"/>
          <w:numId w:val="1"/>
        </w:numPr>
        <w:spacing w:line="360" w:lineRule="auto"/>
        <w:ind w:left="630"/>
        <w:rPr>
          <w:rFonts w:asciiTheme="minorEastAsia" w:hAnsiTheme="minorEastAsia"/>
          <w:b w:val="0"/>
          <w:bCs w:val="0"/>
          <w:sz w:val="24"/>
        </w:rPr>
      </w:pPr>
      <w:r>
        <w:rPr>
          <w:rFonts w:hint="eastAsia" w:asciiTheme="minorEastAsia" w:hAnsiTheme="minorEastAsia"/>
          <w:b w:val="0"/>
          <w:bCs w:val="0"/>
          <w:sz w:val="24"/>
        </w:rPr>
        <w:t>各系统设备自带的随机备品备件，竣工时需移交使用单位。</w:t>
      </w:r>
    </w:p>
    <w:p>
      <w:pPr>
        <w:numPr>
          <w:ilvl w:val="0"/>
          <w:numId w:val="1"/>
        </w:numPr>
        <w:spacing w:line="360" w:lineRule="auto"/>
        <w:ind w:left="630"/>
        <w:rPr>
          <w:rFonts w:asciiTheme="minorEastAsia" w:hAnsiTheme="minorEastAsia"/>
          <w:b/>
          <w:bCs/>
          <w:sz w:val="24"/>
        </w:rPr>
      </w:pPr>
      <w:r>
        <w:rPr>
          <w:rFonts w:hint="eastAsia" w:cs="宋体" w:asciiTheme="minorEastAsia" w:hAnsiTheme="minorEastAsia"/>
          <w:color w:val="000000" w:themeColor="text1"/>
          <w:sz w:val="24"/>
          <w14:textFill>
            <w14:solidFill>
              <w14:schemeClr w14:val="tx1"/>
            </w14:solidFill>
          </w14:textFill>
        </w:rPr>
        <w:t>各系统均需对使用单位进行系统的培训，相应费用均含在投标总价内。</w:t>
      </w:r>
    </w:p>
    <w:p>
      <w:pPr>
        <w:tabs>
          <w:tab w:val="left" w:pos="0"/>
          <w:tab w:val="left" w:pos="540"/>
        </w:tabs>
        <w:spacing w:line="360" w:lineRule="auto"/>
        <w:rPr>
          <w:rFonts w:cs="宋体" w:asciiTheme="minorEastAsia" w:hAnsiTheme="minorEastAsia"/>
          <w:b/>
          <w:sz w:val="24"/>
        </w:rPr>
      </w:pPr>
      <w:r>
        <w:rPr>
          <w:rFonts w:hint="eastAsia" w:cs="宋体" w:asciiTheme="minorEastAsia" w:hAnsiTheme="minorEastAsia"/>
          <w:b/>
          <w:sz w:val="24"/>
        </w:rPr>
        <w:t>（</w:t>
      </w:r>
      <w:r>
        <w:rPr>
          <w:rFonts w:hint="eastAsia" w:cs="宋体" w:asciiTheme="minorEastAsia" w:hAnsiTheme="minorEastAsia"/>
          <w:b/>
          <w:sz w:val="24"/>
          <w:lang w:val="en-US" w:eastAsia="zh-CN"/>
        </w:rPr>
        <w:t>三</w:t>
      </w:r>
      <w:r>
        <w:rPr>
          <w:rFonts w:hint="eastAsia" w:cs="宋体" w:asciiTheme="minorEastAsia" w:hAnsiTheme="minorEastAsia"/>
          <w:b/>
          <w:sz w:val="24"/>
        </w:rPr>
        <w:t>）、主要材料品牌：</w:t>
      </w:r>
    </w:p>
    <w:p>
      <w:pPr>
        <w:widowControl/>
        <w:spacing w:line="500" w:lineRule="exact"/>
        <w:ind w:firstLine="360" w:firstLineChars="150"/>
        <w:jc w:val="left"/>
        <w:rPr>
          <w:rFonts w:cs="宋体" w:asciiTheme="minorEastAsia" w:hAnsiTheme="minorEastAsia"/>
          <w:sz w:val="24"/>
        </w:rPr>
      </w:pPr>
      <w:r>
        <w:rPr>
          <w:rFonts w:hint="eastAsia" w:cs="宋体" w:asciiTheme="minorEastAsia" w:hAnsiTheme="minorEastAsia"/>
          <w:sz w:val="24"/>
        </w:rPr>
        <w:t>招标人推荐主要材料品牌要求详见附件，招标人已提供材料备选品牌的，投标人应按招标文件约定报价。如招标人因为工程整体要求而需统一某些材料的材料品牌规格，中标人应服从招标人要求在备选品牌内进行更换，且此项投标价格不变，投标人报价时应充分考虑此因素。</w:t>
      </w:r>
    </w:p>
    <w:p>
      <w:pPr>
        <w:spacing w:line="360" w:lineRule="auto"/>
        <w:rPr>
          <w:rFonts w:asciiTheme="minorEastAsia" w:hAnsiTheme="minorEastAsia"/>
          <w:sz w:val="24"/>
        </w:rPr>
      </w:pPr>
      <w:r>
        <w:rPr>
          <w:rFonts w:hint="eastAsia" w:asciiTheme="minorEastAsia" w:hAnsiTheme="minorEastAsia"/>
          <w:sz w:val="24"/>
        </w:rPr>
        <w:t>详见附表：</w:t>
      </w:r>
    </w:p>
    <w:p>
      <w:pPr>
        <w:spacing w:line="500" w:lineRule="exact"/>
        <w:ind w:firstLine="6000" w:firstLineChars="2500"/>
        <w:jc w:val="right"/>
        <w:rPr>
          <w:rFonts w:hint="eastAsia" w:asciiTheme="minorEastAsia" w:hAnsiTheme="minorEastAsia"/>
          <w:b/>
          <w:bCs/>
          <w:sz w:val="28"/>
          <w:szCs w:val="28"/>
          <w:highlight w:val="none"/>
        </w:rPr>
      </w:pPr>
      <w:r>
        <w:rPr>
          <w:rFonts w:hint="eastAsia" w:ascii="宋体" w:hAnsi="宋体" w:cs="仿宋_GB2312"/>
          <w:sz w:val="24"/>
        </w:rPr>
        <w:t>20</w:t>
      </w:r>
      <w:r>
        <w:rPr>
          <w:rFonts w:hint="eastAsia" w:ascii="宋体" w:hAnsi="宋体" w:cs="仿宋_GB2312"/>
          <w:sz w:val="24"/>
          <w:lang w:val="en-US" w:eastAsia="zh-CN"/>
        </w:rPr>
        <w:t>24</w:t>
      </w:r>
      <w:r>
        <w:rPr>
          <w:rFonts w:hint="eastAsia" w:ascii="宋体" w:hAnsi="宋体" w:cs="仿宋_GB2312"/>
          <w:sz w:val="24"/>
        </w:rPr>
        <w:t>年</w:t>
      </w:r>
      <w:r>
        <w:rPr>
          <w:rFonts w:hint="eastAsia" w:ascii="宋体" w:hAnsi="宋体" w:cs="仿宋_GB2312"/>
          <w:sz w:val="24"/>
          <w:lang w:val="en-US" w:eastAsia="zh-CN"/>
        </w:rPr>
        <w:t>8</w:t>
      </w:r>
      <w:r>
        <w:rPr>
          <w:rFonts w:hint="eastAsia" w:ascii="宋体" w:hAnsi="宋体" w:cs="仿宋_GB2312"/>
          <w:sz w:val="24"/>
        </w:rPr>
        <w:t>月</w:t>
      </w:r>
      <w:r>
        <w:rPr>
          <w:rFonts w:hint="eastAsia" w:ascii="宋体" w:hAnsi="宋体" w:cs="仿宋_GB2312"/>
          <w:sz w:val="24"/>
          <w:lang w:val="en-US" w:eastAsia="zh-CN"/>
        </w:rPr>
        <w:t>21</w:t>
      </w:r>
      <w:r>
        <w:rPr>
          <w:rFonts w:hint="eastAsia" w:ascii="宋体" w:hAnsi="宋体" w:cs="仿宋_GB2312"/>
          <w:sz w:val="24"/>
        </w:rPr>
        <w:t>日</w:t>
      </w:r>
    </w:p>
    <w:p>
      <w:pPr>
        <w:spacing w:line="360" w:lineRule="auto"/>
        <w:jc w:val="left"/>
        <w:rPr>
          <w:rFonts w:asciiTheme="minorEastAsia" w:hAnsiTheme="minorEastAsia"/>
          <w:b/>
          <w:bCs/>
          <w:sz w:val="28"/>
          <w:szCs w:val="28"/>
          <w:highlight w:val="none"/>
        </w:rPr>
      </w:pPr>
      <w:r>
        <w:rPr>
          <w:rFonts w:hint="eastAsia" w:asciiTheme="minorEastAsia" w:hAnsiTheme="minorEastAsia"/>
          <w:b/>
          <w:bCs/>
          <w:sz w:val="28"/>
          <w:szCs w:val="28"/>
          <w:highlight w:val="none"/>
        </w:rPr>
        <w:t>附件：</w:t>
      </w:r>
    </w:p>
    <w:tbl>
      <w:tblPr>
        <w:tblStyle w:val="5"/>
        <w:tblW w:w="9060" w:type="dxa"/>
        <w:tblInd w:w="96" w:type="dxa"/>
        <w:tblLayout w:type="fixed"/>
        <w:tblCellMar>
          <w:top w:w="0" w:type="dxa"/>
          <w:left w:w="108" w:type="dxa"/>
          <w:bottom w:w="0" w:type="dxa"/>
          <w:right w:w="108" w:type="dxa"/>
        </w:tblCellMar>
      </w:tblPr>
      <w:tblGrid>
        <w:gridCol w:w="700"/>
        <w:gridCol w:w="4260"/>
        <w:gridCol w:w="3390"/>
        <w:gridCol w:w="710"/>
      </w:tblGrid>
      <w:tr>
        <w:tblPrEx>
          <w:tblLayout w:type="fixed"/>
          <w:tblCellMar>
            <w:top w:w="0" w:type="dxa"/>
            <w:left w:w="108" w:type="dxa"/>
            <w:bottom w:w="0" w:type="dxa"/>
            <w:right w:w="108" w:type="dxa"/>
          </w:tblCellMar>
        </w:tblPrEx>
        <w:trPr>
          <w:trHeight w:val="312" w:hRule="atLeast"/>
        </w:trPr>
        <w:tc>
          <w:tcPr>
            <w:tcW w:w="9060" w:type="dxa"/>
            <w:gridSpan w:val="4"/>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推荐品牌</w:t>
            </w:r>
          </w:p>
        </w:tc>
      </w:tr>
      <w:tr>
        <w:tblPrEx>
          <w:tblLayout w:type="fixed"/>
          <w:tblCellMar>
            <w:top w:w="0" w:type="dxa"/>
            <w:left w:w="108" w:type="dxa"/>
            <w:bottom w:w="0" w:type="dxa"/>
            <w:right w:w="108" w:type="dxa"/>
          </w:tblCellMar>
        </w:tblPrEx>
        <w:trPr>
          <w:trHeight w:val="24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序号</w:t>
            </w: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材料名称</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品 牌</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备注</w:t>
            </w:r>
          </w:p>
        </w:tc>
      </w:tr>
      <w:tr>
        <w:tblPrEx>
          <w:tblLayout w:type="fixed"/>
          <w:tblCellMar>
            <w:top w:w="0" w:type="dxa"/>
            <w:left w:w="108" w:type="dxa"/>
            <w:bottom w:w="0" w:type="dxa"/>
            <w:right w:w="108" w:type="dxa"/>
          </w:tblCellMar>
        </w:tblPrEx>
        <w:trPr>
          <w:trHeight w:val="37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ascii="宋体" w:hAnsi="宋体" w:eastAsia="宋体" w:cs="宋体"/>
                <w:b/>
                <w:bCs/>
                <w:color w:val="000000"/>
                <w:sz w:val="24"/>
                <w:szCs w:val="24"/>
                <w:highlight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top"/>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风机、</w:t>
            </w:r>
            <w:r>
              <w:rPr>
                <w:rFonts w:hint="eastAsia" w:ascii="宋体" w:hAnsi="宋体" w:eastAsia="宋体" w:cs="宋体"/>
                <w:color w:val="auto"/>
                <w:kern w:val="0"/>
                <w:sz w:val="24"/>
                <w:szCs w:val="24"/>
                <w:highlight w:val="none"/>
                <w:lang w:bidi="ar"/>
              </w:rPr>
              <w:t>风口、风阀</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消声器、静压箱</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center"/>
              <w:textAlignment w:val="top"/>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浙江上风、浙江曹娥、亿利达</w:t>
            </w:r>
            <w:bookmarkStart w:id="0" w:name="_GoBack"/>
            <w:bookmarkEnd w:id="0"/>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ascii="宋体" w:hAnsi="宋体" w:eastAsia="宋体" w:cs="宋体"/>
                <w:b/>
                <w:bCs/>
                <w:color w:val="000000"/>
                <w:sz w:val="24"/>
                <w:szCs w:val="24"/>
                <w:highlight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VRV空调</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美的、格力、海信</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highlight w:val="none"/>
              </w:rPr>
            </w:pPr>
          </w:p>
        </w:tc>
      </w:tr>
      <w:tr>
        <w:tblPrEx>
          <w:tblLayout w:type="fixed"/>
          <w:tblCellMar>
            <w:top w:w="0" w:type="dxa"/>
            <w:left w:w="108" w:type="dxa"/>
            <w:bottom w:w="0" w:type="dxa"/>
            <w:right w:w="108" w:type="dxa"/>
          </w:tblCellMar>
        </w:tblPrEx>
        <w:trPr>
          <w:trHeight w:val="28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ind w:left="425" w:leftChars="0" w:hanging="425" w:firstLineChars="0"/>
              <w:jc w:val="center"/>
              <w:textAlignment w:val="center"/>
              <w:rPr>
                <w:rFonts w:ascii="宋体" w:hAnsi="宋体" w:eastAsia="宋体" w:cs="宋体"/>
                <w:b/>
                <w:bCs/>
                <w:color w:val="000000"/>
                <w:sz w:val="24"/>
                <w:szCs w:val="24"/>
                <w:highlight w:val="none"/>
              </w:rPr>
            </w:pPr>
          </w:p>
        </w:tc>
        <w:tc>
          <w:tcPr>
            <w:tcW w:w="4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橡塑保温、离心玻璃棉保温</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华盛、华美、科佳</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highlight w:val="none"/>
              </w:rPr>
            </w:pPr>
          </w:p>
        </w:tc>
      </w:tr>
    </w:tbl>
    <w:p>
      <w:pPr>
        <w:spacing w:line="500" w:lineRule="exact"/>
        <w:ind w:firstLine="7000" w:firstLineChars="2500"/>
        <w:jc w:val="right"/>
        <w:rPr>
          <w:rFonts w:ascii="宋体" w:hAnsi="宋体" w:cs="仿宋_GB2312"/>
          <w:sz w:val="28"/>
          <w:szCs w:val="28"/>
        </w:rPr>
      </w:pPr>
    </w:p>
    <w:p>
      <w:pPr>
        <w:spacing w:line="360" w:lineRule="auto"/>
        <w:ind w:firstLine="5040" w:firstLineChars="2400"/>
        <w:jc w:val="right"/>
        <w:rPr>
          <w:rFonts w:ascii="Calibri" w:hAnsi="Calibri"/>
          <w:szCs w:val="21"/>
        </w:rPr>
      </w:pPr>
    </w:p>
    <w:sectPr>
      <w:pgSz w:w="11906" w:h="16838"/>
      <w:pgMar w:top="1270" w:right="1800" w:bottom="93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69C"/>
    <w:multiLevelType w:val="singleLevel"/>
    <w:tmpl w:val="0744569C"/>
    <w:lvl w:ilvl="0" w:tentative="0">
      <w:start w:val="1"/>
      <w:numFmt w:val="decimal"/>
      <w:lvlText w:val="%1."/>
      <w:lvlJc w:val="left"/>
      <w:pPr>
        <w:ind w:left="425" w:hanging="425"/>
      </w:pPr>
      <w:rPr>
        <w:rFonts w:hint="default"/>
      </w:rPr>
    </w:lvl>
  </w:abstractNum>
  <w:abstractNum w:abstractNumId="1">
    <w:nsid w:val="1567F6EB"/>
    <w:multiLevelType w:val="singleLevel"/>
    <w:tmpl w:val="1567F6EB"/>
    <w:lvl w:ilvl="0" w:tentative="0">
      <w:start w:val="1"/>
      <w:numFmt w:val="decimal"/>
      <w:suff w:val="nothing"/>
      <w:lvlText w:val="%1、"/>
      <w:lvlJc w:val="left"/>
      <w:pPr>
        <w:ind w:left="1050" w:firstLine="0"/>
      </w:pPr>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lhN2FiMWY4NDcwZGE0YTkwNWQ1MzdhYWFhYTQifQ=="/>
  </w:docVars>
  <w:rsids>
    <w:rsidRoot w:val="78361017"/>
    <w:rsid w:val="00006BB6"/>
    <w:rsid w:val="0001640B"/>
    <w:rsid w:val="00016CEC"/>
    <w:rsid w:val="000438A7"/>
    <w:rsid w:val="00064F47"/>
    <w:rsid w:val="000743E8"/>
    <w:rsid w:val="00085BCC"/>
    <w:rsid w:val="000E02E9"/>
    <w:rsid w:val="000F69E0"/>
    <w:rsid w:val="00100BFE"/>
    <w:rsid w:val="00143292"/>
    <w:rsid w:val="00152FA3"/>
    <w:rsid w:val="001838C9"/>
    <w:rsid w:val="001E6349"/>
    <w:rsid w:val="0020433B"/>
    <w:rsid w:val="002171D2"/>
    <w:rsid w:val="00247032"/>
    <w:rsid w:val="002544E7"/>
    <w:rsid w:val="002575F4"/>
    <w:rsid w:val="002B5EAA"/>
    <w:rsid w:val="002C2AD3"/>
    <w:rsid w:val="002E6D8E"/>
    <w:rsid w:val="002F41F6"/>
    <w:rsid w:val="0036424A"/>
    <w:rsid w:val="003672DC"/>
    <w:rsid w:val="003C5AA0"/>
    <w:rsid w:val="003C5BFB"/>
    <w:rsid w:val="003D0F1A"/>
    <w:rsid w:val="003D4563"/>
    <w:rsid w:val="003D495C"/>
    <w:rsid w:val="004269FE"/>
    <w:rsid w:val="0048145E"/>
    <w:rsid w:val="0048555D"/>
    <w:rsid w:val="00493F0A"/>
    <w:rsid w:val="004A0581"/>
    <w:rsid w:val="004D5688"/>
    <w:rsid w:val="00505FC4"/>
    <w:rsid w:val="005356C3"/>
    <w:rsid w:val="0054025C"/>
    <w:rsid w:val="00553E9F"/>
    <w:rsid w:val="00586D33"/>
    <w:rsid w:val="005B0BFE"/>
    <w:rsid w:val="005C1353"/>
    <w:rsid w:val="005F1694"/>
    <w:rsid w:val="00627F9E"/>
    <w:rsid w:val="006305E6"/>
    <w:rsid w:val="0064559E"/>
    <w:rsid w:val="00647F30"/>
    <w:rsid w:val="0067028C"/>
    <w:rsid w:val="00680A3D"/>
    <w:rsid w:val="006C739E"/>
    <w:rsid w:val="006D728C"/>
    <w:rsid w:val="006F2FC1"/>
    <w:rsid w:val="00736A4A"/>
    <w:rsid w:val="00753550"/>
    <w:rsid w:val="007765CC"/>
    <w:rsid w:val="007830EE"/>
    <w:rsid w:val="00787203"/>
    <w:rsid w:val="007D4E8A"/>
    <w:rsid w:val="007F2D1E"/>
    <w:rsid w:val="008338AE"/>
    <w:rsid w:val="00845410"/>
    <w:rsid w:val="008508BB"/>
    <w:rsid w:val="0087569F"/>
    <w:rsid w:val="008831B1"/>
    <w:rsid w:val="00885B6A"/>
    <w:rsid w:val="008B0F3E"/>
    <w:rsid w:val="008C175E"/>
    <w:rsid w:val="008C2D83"/>
    <w:rsid w:val="008D5029"/>
    <w:rsid w:val="008E7233"/>
    <w:rsid w:val="00913D43"/>
    <w:rsid w:val="0091770D"/>
    <w:rsid w:val="009302EF"/>
    <w:rsid w:val="00937456"/>
    <w:rsid w:val="009530A9"/>
    <w:rsid w:val="00982A16"/>
    <w:rsid w:val="009C2E03"/>
    <w:rsid w:val="009D4E62"/>
    <w:rsid w:val="009F1348"/>
    <w:rsid w:val="00AA79C6"/>
    <w:rsid w:val="00AC7145"/>
    <w:rsid w:val="00AF4634"/>
    <w:rsid w:val="00B14879"/>
    <w:rsid w:val="00B76C4B"/>
    <w:rsid w:val="00BA4537"/>
    <w:rsid w:val="00BF0703"/>
    <w:rsid w:val="00C01CD9"/>
    <w:rsid w:val="00C243EF"/>
    <w:rsid w:val="00C71D8F"/>
    <w:rsid w:val="00CA0DA7"/>
    <w:rsid w:val="00CC0E51"/>
    <w:rsid w:val="00D67571"/>
    <w:rsid w:val="00D803AB"/>
    <w:rsid w:val="00D93BBF"/>
    <w:rsid w:val="00DB2C6B"/>
    <w:rsid w:val="00E05454"/>
    <w:rsid w:val="00E25D8C"/>
    <w:rsid w:val="00E41773"/>
    <w:rsid w:val="00E458AA"/>
    <w:rsid w:val="00E53A2F"/>
    <w:rsid w:val="00E604BD"/>
    <w:rsid w:val="00E6445A"/>
    <w:rsid w:val="00E8050C"/>
    <w:rsid w:val="00E859F9"/>
    <w:rsid w:val="00E96B4F"/>
    <w:rsid w:val="00EB3E9F"/>
    <w:rsid w:val="00EB7352"/>
    <w:rsid w:val="00ED4EBE"/>
    <w:rsid w:val="00EF1A82"/>
    <w:rsid w:val="00F03DDC"/>
    <w:rsid w:val="00F6675B"/>
    <w:rsid w:val="00FD2EDD"/>
    <w:rsid w:val="00FD2EE3"/>
    <w:rsid w:val="00FD6FCD"/>
    <w:rsid w:val="00FF01FE"/>
    <w:rsid w:val="01207465"/>
    <w:rsid w:val="02755DFE"/>
    <w:rsid w:val="03825F15"/>
    <w:rsid w:val="0518214B"/>
    <w:rsid w:val="068647AC"/>
    <w:rsid w:val="07381CB3"/>
    <w:rsid w:val="07FE721D"/>
    <w:rsid w:val="08097B61"/>
    <w:rsid w:val="08714C92"/>
    <w:rsid w:val="08B00FDC"/>
    <w:rsid w:val="08B1314F"/>
    <w:rsid w:val="096D32B3"/>
    <w:rsid w:val="09FA1A4D"/>
    <w:rsid w:val="0A062BC2"/>
    <w:rsid w:val="0B5001B3"/>
    <w:rsid w:val="0B6C0341"/>
    <w:rsid w:val="0C484F66"/>
    <w:rsid w:val="0C8D3AAD"/>
    <w:rsid w:val="10305DCD"/>
    <w:rsid w:val="109E1AE9"/>
    <w:rsid w:val="12080009"/>
    <w:rsid w:val="126170C1"/>
    <w:rsid w:val="1310625C"/>
    <w:rsid w:val="13C65773"/>
    <w:rsid w:val="13EC77E2"/>
    <w:rsid w:val="147014C1"/>
    <w:rsid w:val="15DF1EA0"/>
    <w:rsid w:val="15E81EDF"/>
    <w:rsid w:val="15F45C99"/>
    <w:rsid w:val="161A63AD"/>
    <w:rsid w:val="16441480"/>
    <w:rsid w:val="16D3646B"/>
    <w:rsid w:val="17B66696"/>
    <w:rsid w:val="17DF1AA2"/>
    <w:rsid w:val="19E86E19"/>
    <w:rsid w:val="1A092C9A"/>
    <w:rsid w:val="1A902CBE"/>
    <w:rsid w:val="1C1E62FF"/>
    <w:rsid w:val="1C287DA4"/>
    <w:rsid w:val="1D067D4F"/>
    <w:rsid w:val="1D1125A5"/>
    <w:rsid w:val="1EED7F7A"/>
    <w:rsid w:val="21A954A2"/>
    <w:rsid w:val="21C347B6"/>
    <w:rsid w:val="221958FB"/>
    <w:rsid w:val="24251814"/>
    <w:rsid w:val="24700EB4"/>
    <w:rsid w:val="24A31DAF"/>
    <w:rsid w:val="2584489B"/>
    <w:rsid w:val="27202D73"/>
    <w:rsid w:val="27CF50B2"/>
    <w:rsid w:val="284553B4"/>
    <w:rsid w:val="29246AA9"/>
    <w:rsid w:val="29383010"/>
    <w:rsid w:val="294609CE"/>
    <w:rsid w:val="2ACB56A5"/>
    <w:rsid w:val="2B032D2F"/>
    <w:rsid w:val="2B947461"/>
    <w:rsid w:val="2C351E0C"/>
    <w:rsid w:val="2CBA4DB9"/>
    <w:rsid w:val="2CEF1979"/>
    <w:rsid w:val="2E933214"/>
    <w:rsid w:val="2FBD203A"/>
    <w:rsid w:val="31620612"/>
    <w:rsid w:val="32811051"/>
    <w:rsid w:val="331D184C"/>
    <w:rsid w:val="345A1A55"/>
    <w:rsid w:val="35C744C7"/>
    <w:rsid w:val="36AE456E"/>
    <w:rsid w:val="36E42139"/>
    <w:rsid w:val="36E44B5A"/>
    <w:rsid w:val="373B0A61"/>
    <w:rsid w:val="374331C7"/>
    <w:rsid w:val="377E089E"/>
    <w:rsid w:val="37B852B4"/>
    <w:rsid w:val="38090CCF"/>
    <w:rsid w:val="38F35859"/>
    <w:rsid w:val="3B3A2DF7"/>
    <w:rsid w:val="3B3A6E39"/>
    <w:rsid w:val="3B662930"/>
    <w:rsid w:val="3CCC490C"/>
    <w:rsid w:val="3D1A5CB8"/>
    <w:rsid w:val="3DA23CB8"/>
    <w:rsid w:val="3DF56D8F"/>
    <w:rsid w:val="3ED93797"/>
    <w:rsid w:val="3F9115F7"/>
    <w:rsid w:val="4012098A"/>
    <w:rsid w:val="401F54D9"/>
    <w:rsid w:val="413770ED"/>
    <w:rsid w:val="415B0377"/>
    <w:rsid w:val="41D3399B"/>
    <w:rsid w:val="42020A85"/>
    <w:rsid w:val="420B279B"/>
    <w:rsid w:val="42665955"/>
    <w:rsid w:val="431E6A1C"/>
    <w:rsid w:val="43604C9D"/>
    <w:rsid w:val="44C567BE"/>
    <w:rsid w:val="457E3758"/>
    <w:rsid w:val="45D00471"/>
    <w:rsid w:val="46B34867"/>
    <w:rsid w:val="470F730E"/>
    <w:rsid w:val="47DA402A"/>
    <w:rsid w:val="48180069"/>
    <w:rsid w:val="482F34B4"/>
    <w:rsid w:val="49A62143"/>
    <w:rsid w:val="49CB1BAA"/>
    <w:rsid w:val="49E1317B"/>
    <w:rsid w:val="4B1A1F6F"/>
    <w:rsid w:val="4BA635F6"/>
    <w:rsid w:val="4BB01B20"/>
    <w:rsid w:val="4C0A3AF4"/>
    <w:rsid w:val="4C207802"/>
    <w:rsid w:val="4D923CCB"/>
    <w:rsid w:val="4D963C84"/>
    <w:rsid w:val="4EDD0D8A"/>
    <w:rsid w:val="4EF92269"/>
    <w:rsid w:val="4F01466A"/>
    <w:rsid w:val="4F8C6346"/>
    <w:rsid w:val="505A1436"/>
    <w:rsid w:val="51741E7C"/>
    <w:rsid w:val="522649CA"/>
    <w:rsid w:val="522D4B2B"/>
    <w:rsid w:val="530A05AF"/>
    <w:rsid w:val="53634D2D"/>
    <w:rsid w:val="54930C6A"/>
    <w:rsid w:val="54A70C44"/>
    <w:rsid w:val="54AB3300"/>
    <w:rsid w:val="54B74D4C"/>
    <w:rsid w:val="54C50E3B"/>
    <w:rsid w:val="54DB1893"/>
    <w:rsid w:val="551A391F"/>
    <w:rsid w:val="56444E85"/>
    <w:rsid w:val="56AE1DF3"/>
    <w:rsid w:val="58CD7592"/>
    <w:rsid w:val="5AE721C9"/>
    <w:rsid w:val="5BE857AC"/>
    <w:rsid w:val="5C43782B"/>
    <w:rsid w:val="5DA968D0"/>
    <w:rsid w:val="5E0A2A5B"/>
    <w:rsid w:val="5E2D3EF3"/>
    <w:rsid w:val="5E40270F"/>
    <w:rsid w:val="5EA12711"/>
    <w:rsid w:val="5F0E24E3"/>
    <w:rsid w:val="5F9F4402"/>
    <w:rsid w:val="5FEF3D7B"/>
    <w:rsid w:val="60026EAC"/>
    <w:rsid w:val="6033204C"/>
    <w:rsid w:val="60ED7BD8"/>
    <w:rsid w:val="60FA26D8"/>
    <w:rsid w:val="61DB40F1"/>
    <w:rsid w:val="6218135D"/>
    <w:rsid w:val="62EE6BC3"/>
    <w:rsid w:val="636924CC"/>
    <w:rsid w:val="6396613F"/>
    <w:rsid w:val="63EF75E3"/>
    <w:rsid w:val="64276993"/>
    <w:rsid w:val="64A70DF2"/>
    <w:rsid w:val="64D744B7"/>
    <w:rsid w:val="65A62D78"/>
    <w:rsid w:val="65BE3D44"/>
    <w:rsid w:val="66AA43B3"/>
    <w:rsid w:val="66AD4DB8"/>
    <w:rsid w:val="66E347EF"/>
    <w:rsid w:val="6793565D"/>
    <w:rsid w:val="69EC1E2F"/>
    <w:rsid w:val="6A582212"/>
    <w:rsid w:val="6BB45612"/>
    <w:rsid w:val="6BC44E95"/>
    <w:rsid w:val="6C767982"/>
    <w:rsid w:val="6CBA65C0"/>
    <w:rsid w:val="6D7B3098"/>
    <w:rsid w:val="6E6C4BB6"/>
    <w:rsid w:val="6F21423E"/>
    <w:rsid w:val="6FBA33FE"/>
    <w:rsid w:val="70DC2814"/>
    <w:rsid w:val="710D0EA4"/>
    <w:rsid w:val="712551F4"/>
    <w:rsid w:val="714479C8"/>
    <w:rsid w:val="72202FDB"/>
    <w:rsid w:val="77253B31"/>
    <w:rsid w:val="77535013"/>
    <w:rsid w:val="77823C03"/>
    <w:rsid w:val="778A0A55"/>
    <w:rsid w:val="77F02F8E"/>
    <w:rsid w:val="78361017"/>
    <w:rsid w:val="78C6699C"/>
    <w:rsid w:val="79F35738"/>
    <w:rsid w:val="7B450F0D"/>
    <w:rsid w:val="7B4A6441"/>
    <w:rsid w:val="7B8C1C77"/>
    <w:rsid w:val="7CC802B2"/>
    <w:rsid w:val="7D2A16F6"/>
    <w:rsid w:val="7D916BCD"/>
    <w:rsid w:val="7F182B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font01"/>
    <w:basedOn w:val="7"/>
    <w:qFormat/>
    <w:uiPriority w:val="0"/>
    <w:rPr>
      <w:rFonts w:hint="eastAsia" w:ascii="宋体" w:hAnsi="宋体" w:eastAsia="宋体" w:cs="宋体"/>
      <w:color w:val="000000"/>
      <w:sz w:val="24"/>
      <w:szCs w:val="24"/>
      <w:u w:val="none"/>
    </w:rPr>
  </w:style>
  <w:style w:type="character" w:customStyle="1" w:styleId="9">
    <w:name w:val="font11"/>
    <w:basedOn w:val="7"/>
    <w:qFormat/>
    <w:uiPriority w:val="0"/>
    <w:rPr>
      <w:rFonts w:hint="default" w:ascii="Tahoma" w:hAnsi="Tahoma" w:eastAsia="Tahoma" w:cs="Tahoma"/>
      <w:color w:val="000000"/>
      <w:sz w:val="24"/>
      <w:szCs w:val="24"/>
      <w:u w:val="none"/>
    </w:rPr>
  </w:style>
  <w:style w:type="paragraph" w:customStyle="1" w:styleId="10">
    <w:name w:val="列出段落1"/>
    <w:basedOn w:val="1"/>
    <w:qFormat/>
    <w:uiPriority w:val="34"/>
    <w:pPr>
      <w:ind w:firstLine="420" w:firstLineChars="200"/>
    </w:p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character" w:customStyle="1" w:styleId="14">
    <w:name w:val="15"/>
    <w:basedOn w:val="7"/>
    <w:qFormat/>
    <w:uiPriority w:val="0"/>
    <w:rPr>
      <w:rFonts w:hint="default" w:ascii="Tahoma" w:hAnsi="Tahoma" w:cs="Tahoma"/>
      <w:color w:val="000000"/>
      <w:sz w:val="24"/>
      <w:szCs w:val="24"/>
    </w:rPr>
  </w:style>
  <w:style w:type="character" w:customStyle="1" w:styleId="15">
    <w:name w:val="16"/>
    <w:basedOn w:val="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1952</Words>
  <Characters>2094</Characters>
  <Lines>48</Lines>
  <Paragraphs>13</Paragraphs>
  <TotalTime>5</TotalTime>
  <ScaleCrop>false</ScaleCrop>
  <LinksUpToDate>false</LinksUpToDate>
  <CharactersWithSpaces>2096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2019-12-02T13:52:00Z</dcterms:created>
  <dc:creator>国国</dc:creator>
  <cp:lastModifiedBy>Administrator</cp:lastModifiedBy>
  <cp:lastPrinted>2019-12-06T00:24:00Z</cp:lastPrinted>
  <dcterms:modified xsi:type="dcterms:W3CDTF">2024-08-21T09:41:01Z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6EC6657E23644B64A30252C026752C2D</vt:lpwstr>
  </property>
  <property fmtid="{D5CDD505-2E9C-101B-9397-08002B2CF9AE}" pid="4" name="commondata">
    <vt:lpwstr>eyJoZGlkIjoiY2VmZjAyMTU2M2ZmOGJlMjk3YjJhMzQ5NjVmZjIyZTEifQ==</vt:lpwstr>
  </property>
</Properties>
</file>