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val="0"/>
        <w:overflowPunct/>
        <w:topLinePunct/>
        <w:autoSpaceDE/>
        <w:autoSpaceDN/>
        <w:bidi w:val="0"/>
        <w:adjustRightInd w:val="0"/>
        <w:snapToGrid w:val="0"/>
        <w:spacing w:line="264" w:lineRule="auto"/>
        <w:ind w:left="0" w:right="0"/>
        <w:textAlignment w:val="baseline"/>
        <w:rPr>
          <w:spacing w:val="0"/>
          <w:position w:val="0"/>
          <w:sz w:val="21"/>
        </w:rPr>
      </w:pPr>
    </w:p>
    <w:p>
      <w:pPr>
        <w:pStyle w:val="4"/>
        <w:keepNext w:val="0"/>
        <w:keepLines w:val="0"/>
        <w:pageBreakBefore w:val="0"/>
        <w:widowControl w:val="0"/>
        <w:kinsoku/>
        <w:wordWrap w:val="0"/>
        <w:overflowPunct/>
        <w:topLinePunct/>
        <w:autoSpaceDE/>
        <w:autoSpaceDN/>
        <w:bidi w:val="0"/>
        <w:adjustRightInd w:val="0"/>
        <w:snapToGrid w:val="0"/>
        <w:spacing w:line="264" w:lineRule="auto"/>
        <w:ind w:left="0" w:right="0"/>
        <w:textAlignment w:val="baseline"/>
        <w:rPr>
          <w:spacing w:val="0"/>
          <w:position w:val="0"/>
          <w:sz w:val="21"/>
        </w:rPr>
      </w:pPr>
    </w:p>
    <w:p>
      <w:pPr>
        <w:keepNext w:val="0"/>
        <w:keepLines w:val="0"/>
        <w:pageBreakBefore w:val="0"/>
        <w:widowControl w:val="0"/>
        <w:kinsoku/>
        <w:wordWrap w:val="0"/>
        <w:overflowPunct/>
        <w:topLinePunct/>
        <w:autoSpaceDE/>
        <w:autoSpaceDN/>
        <w:bidi w:val="0"/>
        <w:adjustRightInd w:val="0"/>
        <w:snapToGrid w:val="0"/>
        <w:spacing w:line="560" w:lineRule="exact"/>
        <w:jc w:val="center"/>
        <w:textAlignment w:val="baseline"/>
        <w:rPr>
          <w:rFonts w:hint="eastAsia" w:ascii="仿宋_GB2312" w:hAnsi="仿宋_GB2312" w:eastAsia="仿宋_GB2312" w:cs="仿宋_GB2312"/>
          <w:b/>
          <w:bCs/>
          <w:sz w:val="36"/>
          <w:szCs w:val="36"/>
          <w:lang w:val="en-US" w:eastAsia="zh-CN"/>
        </w:rPr>
      </w:pPr>
      <w:r>
        <w:rPr>
          <w:rFonts w:hint="eastAsia" w:ascii="仿宋_GB2312" w:hAnsi="仿宋_GB2312" w:eastAsia="仿宋_GB2312" w:cs="仿宋_GB2312"/>
          <w:b/>
          <w:bCs/>
          <w:sz w:val="36"/>
          <w:szCs w:val="36"/>
          <w:lang w:val="en-US" w:eastAsia="zh-CN"/>
        </w:rPr>
        <w:t>电催化二氧化碳还原制甲酸及甲酸盐电解装置</w:t>
      </w:r>
    </w:p>
    <w:p>
      <w:pPr>
        <w:keepNext w:val="0"/>
        <w:keepLines w:val="0"/>
        <w:pageBreakBefore w:val="0"/>
        <w:widowControl w:val="0"/>
        <w:kinsoku/>
        <w:wordWrap w:val="0"/>
        <w:overflowPunct/>
        <w:topLinePunct/>
        <w:autoSpaceDE/>
        <w:autoSpaceDN/>
        <w:bidi w:val="0"/>
        <w:adjustRightInd w:val="0"/>
        <w:snapToGrid w:val="0"/>
        <w:spacing w:line="560" w:lineRule="exact"/>
        <w:jc w:val="center"/>
        <w:textAlignment w:val="baseline"/>
        <w:rPr>
          <w:rFonts w:ascii="宋体" w:hAnsi="宋体" w:eastAsia="宋体" w:cs="宋体"/>
          <w:spacing w:val="0"/>
          <w:position w:val="0"/>
          <w:sz w:val="24"/>
          <w:szCs w:val="24"/>
        </w:rPr>
      </w:pPr>
      <w:r>
        <w:rPr>
          <w:rFonts w:hint="eastAsia" w:ascii="仿宋_GB2312" w:hAnsi="仿宋_GB2312" w:eastAsia="仿宋_GB2312" w:cs="仿宋_GB2312"/>
          <w:b/>
          <w:bCs/>
          <w:sz w:val="36"/>
          <w:szCs w:val="36"/>
          <w:lang w:val="en-US" w:eastAsia="zh-CN"/>
        </w:rPr>
        <w:t>技术规格书</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bookmarkStart w:id="0" w:name="bookmark2"/>
      <w:bookmarkEnd w:id="0"/>
      <w:r>
        <w:rPr>
          <w:rFonts w:hint="eastAsia" w:ascii="方正仿宋简体" w:hAnsi="方正仿宋简体" w:eastAsia="方正仿宋简体" w:cs="方正仿宋简体"/>
          <w:sz w:val="28"/>
          <w:szCs w:val="28"/>
          <w:lang w:val="en-US" w:eastAsia="zh-CN"/>
        </w:rPr>
        <w:t>1.技术规格书：</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1.1本实验装置为非标设备，由多种仪器仪表、设备、管阀件经专业技术人员设计、组建而成。装置的用于二氧化碳在电解池中发生电催化还原反应生产甲酸，装置的技术合理性和先进性需要专业技术人员审定。</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1.2工艺流程：</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装置整体包括进料单元、反应单元、分离单元、CO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循环单元和公用工程单元等组成。</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1.3进料单元：</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进料单元由电解液原料储罐、电解液进料泵、CO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储罐、CO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进料泵和出料管线组成。CO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分为气液两项进料，进气管路配有气体流量计，防逆流设计，液相CO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则通过降温增压的方式，以液相CO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形式进料，进料量通过液体流量控制器计量控制。电解液进料通过计量泵输送。</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1.4电解槽单元：</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电解槽包括高压电解槽、差压监测、温控系统、直流电源等组成。阳极和阴极通过质子交换膜，产物分别进入阳极和阴极的分离罐内进行分离。系统温度和压力可以进行控制。</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1.5分离单元：</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分离单元通过分离罐，气相通过背压阀控制压力泄放，液相通过液位监测和液位控制阀，自动控制排液。</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1.6 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循环单元：</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液态形式经过冷却，采用循环泵的方式将出料CO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进行循环，反应后的需要经分离出氢气后冷却成液相循环使用。系统压力和温度自动控制。</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1.7公用工程单元：</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装置采用计算机控制并记录数据，可显示系统温度、压力、电流；设备配有压力传感器（显示精度可达0.25%.FS），可自由设置压力上限和压力报警值使反应压力可控；配置精密压力表和紧急泄压设施，装置配有压力、温度变化监控、连锁系统，可连锁停工装置。</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1.8工艺参数：</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1.8.1高压电解槽：耐压12 MPaG，耐温120℃，温度20-80℃可控，温度控制精度±2℃，过流材质HC-276。高压电解槽配套外部保温和外部安全防护</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default"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1.8.2电解液进料量：0～300 ml/min，流量控制精度：±0.1％，过流材质HC-276。</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1.8.3液态CO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进料：~30 ml/min，高压液相进料，流量控制精度：±0.15％，过流材质ss316</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1.8.4气态CO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进料：~20 SLPM，气相进料，流量控制精度：±0.1％，过流材质ss316。</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1.8.5电解液所有润湿材质要求HC-276。</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1.8.6电解液可以完成水平衡自调节，系统自动补水，PH在线监测。</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default"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1.8.7 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所有润湿材质要求ss316。</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default"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1.8.8 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的进料形式兼顾气相进料和液相进料两种形式，电解槽可以满足超临界CO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的甲酸合成反应。</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1.8.9系统压力控制精度：±0.1 MPaG。</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1.8.10阳极分离罐2L，配备液位监测，液位通过液位调节阀控制，材质要求HC-276。</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1.8.11阴极分离罐1L，配备液位监测，液位通过液位调节阀控制，材质要求ss316。</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1.8.12 CO</w:t>
      </w:r>
      <w:r>
        <w:rPr>
          <w:rFonts w:hint="eastAsia" w:ascii="方正仿宋简体" w:hAnsi="方正仿宋简体" w:eastAsia="方正仿宋简体" w:cs="方正仿宋简体"/>
          <w:sz w:val="28"/>
          <w:szCs w:val="28"/>
          <w:vertAlign w:val="subscript"/>
          <w:lang w:val="en-US" w:eastAsia="zh-CN"/>
        </w:rPr>
        <w:t>2</w:t>
      </w:r>
      <w:r>
        <w:rPr>
          <w:rFonts w:hint="eastAsia" w:ascii="方正仿宋简体" w:hAnsi="方正仿宋简体" w:eastAsia="方正仿宋简体" w:cs="方正仿宋简体"/>
          <w:sz w:val="28"/>
          <w:szCs w:val="28"/>
          <w:lang w:val="en-US" w:eastAsia="zh-CN"/>
        </w:rPr>
        <w:t>可以实现液相循环，循环比可调。</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1.8.13安全连锁：系统超温、超压报警，连锁控制进料和加热部件</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1.8.14装置整体考虑安全环保，防止环境污染和局部窒息风险，设备整体撬装密闭，含自动运行通风设备，透明防护设计。高压电解槽带溢流保护罩，防止伤害。装置整体布局合理，精巧。</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baseline"/>
        <w:rPr>
          <w:rFonts w:hint="eastAsia" w:ascii="方正仿宋简体" w:hAnsi="方正仿宋简体" w:eastAsia="方正仿宋简体" w:cs="方正仿宋简体"/>
          <w:sz w:val="28"/>
          <w:szCs w:val="28"/>
          <w:lang w:val="en-US" w:eastAsia="zh-CN"/>
        </w:rPr>
      </w:pPr>
      <w:r>
        <w:rPr>
          <w:rFonts w:hint="eastAsia" w:ascii="方正仿宋简体" w:hAnsi="方正仿宋简体" w:eastAsia="方正仿宋简体" w:cs="方正仿宋简体"/>
          <w:sz w:val="28"/>
          <w:szCs w:val="28"/>
          <w:lang w:val="en-US" w:eastAsia="zh-CN"/>
        </w:rPr>
        <w:t>1.9主要设备、仪器仪表、管阀件要求</w:t>
      </w:r>
    </w:p>
    <w:tbl>
      <w:tblPr>
        <w:tblStyle w:val="10"/>
        <w:tblW w:w="4999" w:type="pct"/>
        <w:tblInd w:w="0" w:type="dxa"/>
        <w:tblLayout w:type="fixed"/>
        <w:tblCellMar>
          <w:top w:w="0" w:type="dxa"/>
          <w:left w:w="108" w:type="dxa"/>
          <w:bottom w:w="0" w:type="dxa"/>
          <w:right w:w="108" w:type="dxa"/>
        </w:tblCellMar>
      </w:tblPr>
      <w:tblGrid>
        <w:gridCol w:w="598"/>
        <w:gridCol w:w="1857"/>
        <w:gridCol w:w="2863"/>
        <w:gridCol w:w="1697"/>
        <w:gridCol w:w="495"/>
        <w:gridCol w:w="725"/>
        <w:gridCol w:w="477"/>
      </w:tblGrid>
      <w:tr>
        <w:tblPrEx>
          <w:tblCellMar>
            <w:top w:w="0" w:type="dxa"/>
            <w:left w:w="108" w:type="dxa"/>
            <w:bottom w:w="0" w:type="dxa"/>
            <w:right w:w="108" w:type="dxa"/>
          </w:tblCellMar>
        </w:tblPrEx>
        <w:trPr>
          <w:trHeight w:val="280" w:hRule="atLeast"/>
          <w:tblHeader/>
        </w:trPr>
        <w:tc>
          <w:tcPr>
            <w:tcW w:w="343" w:type="pct"/>
            <w:tcBorders>
              <w:top w:val="single" w:color="auto" w:sz="4" w:space="0"/>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序号</w:t>
            </w:r>
          </w:p>
        </w:tc>
        <w:tc>
          <w:tcPr>
            <w:tcW w:w="1065" w:type="pct"/>
            <w:tcBorders>
              <w:top w:val="single" w:color="auto" w:sz="4" w:space="0"/>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设备名称</w:t>
            </w:r>
          </w:p>
        </w:tc>
        <w:tc>
          <w:tcPr>
            <w:tcW w:w="1642" w:type="pct"/>
            <w:tcBorders>
              <w:top w:val="single" w:color="auto" w:sz="4" w:space="0"/>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技术规格</w:t>
            </w:r>
          </w:p>
        </w:tc>
        <w:tc>
          <w:tcPr>
            <w:tcW w:w="974" w:type="pct"/>
            <w:tcBorders>
              <w:top w:val="single" w:color="auto" w:sz="4" w:space="0"/>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品牌要求</w:t>
            </w:r>
          </w:p>
        </w:tc>
        <w:tc>
          <w:tcPr>
            <w:tcW w:w="284" w:type="pct"/>
            <w:tcBorders>
              <w:top w:val="single" w:color="auto" w:sz="4" w:space="0"/>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数量</w:t>
            </w:r>
          </w:p>
        </w:tc>
        <w:tc>
          <w:tcPr>
            <w:tcW w:w="416" w:type="pct"/>
            <w:tcBorders>
              <w:top w:val="single" w:color="auto" w:sz="4" w:space="0"/>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单位</w:t>
            </w:r>
          </w:p>
        </w:tc>
        <w:tc>
          <w:tcPr>
            <w:tcW w:w="273" w:type="pct"/>
            <w:tcBorders>
              <w:top w:val="single" w:color="auto" w:sz="4" w:space="0"/>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备注</w:t>
            </w:r>
          </w:p>
        </w:tc>
      </w:tr>
      <w:tr>
        <w:tblPrEx>
          <w:tblCellMar>
            <w:top w:w="0" w:type="dxa"/>
            <w:left w:w="108" w:type="dxa"/>
            <w:bottom w:w="0" w:type="dxa"/>
            <w:right w:w="108" w:type="dxa"/>
          </w:tblCellMar>
        </w:tblPrEx>
        <w:trPr>
          <w:trHeight w:val="544"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电解液进料泵</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P：~10 MPaG；T：AMB；</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DP：10 MPaG；DT：80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F：~300 ml/min；MOC：HC-276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国产</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台</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798"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液态CO2进料泵</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P：~10 MPaG；T：AMB；</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DP：10 MPaG；DT：80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F：~40 ml/min；MOC：ss316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有稳定液相二氧化碳进料应用案例</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台</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439"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3</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液态CO2循环泵</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P：~10 MPaG；T：AMB；</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DP：10 MPaG；DT：80 ℃；</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F：~40 ml/min；MOC：ss316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有稳定液相二氧化碳进料应用案例</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台</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387"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4</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恒温水浴</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T：~99 ℃；T ctrl：±1 ℃</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普泰克或同等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台</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302"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5</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低温水浴</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T：5~20 ℃；T ctrl：±1 ℃</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普泰克或同等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台</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36"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6</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高压电解槽</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P：~10 MPaG；T：~99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DP：10 MPaG；DT：120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MOC：HC-276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8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7</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质子交换膜</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配套高压电解槽使用</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8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8</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高压电解槽保温套</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配套高压电解槽使用</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8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9</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直流电源</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配套高压电解槽使用</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667"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10</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电解液储罐</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DP：15 KPa；DT：50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V：5L；MOC：PE</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71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11</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气相预热器</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T ctrl：±1 ℃；MOC：ss316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699"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12</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液相预热器</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T ctrl：±1 ℃；MOC：ss316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389"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13</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阳极预热器</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T ctrl：±1 ℃；MOC：HC-276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174"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14</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阳极分离缓冲罐</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V：2L；MOC：HC-276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10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15</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阴极分离缓冲罐</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V：1L；MOC：ss316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91"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16</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阴极产物冷却器</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MPaG；T out：＜20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314"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17</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CO2缓冲罐</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V：1L；MOC：ss316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18</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集中放空罐</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DP：0.5 MPaG；DT：50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124"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19</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压力表</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Ac-P：2.5级；MOC：ss316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WIKA或同等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05"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20</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隔膜压力表</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Ac-P：2.5级；</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MOC：ss316表体；</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+HC-276膜片</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WIKA或同等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21</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压力传感器</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Ac-P：±0.25% FS；</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MOC：ss316；Output：4~20mA</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WIKA或同等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5</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个</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22</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差压传感器</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Ac-P：±20 kpa；</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MOC：ss316；Output：4~20mA</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横河或同等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个</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23</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差压液位计</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Ac-P：±2 mm；</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MOC：ss316；Output：4~20mA</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横河或同等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个</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24</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隔膜差压液位计</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Ac-P：±2 mm；MOC：ss316；</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Output：4~20mA</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横河或同等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3</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个</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25</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铠装热电偶</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T：-30~500 ℃；MOC：ss316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WATLOW或同等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26</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铠装热电偶</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T：-30~500 ℃；MOC：HC-276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WATLOW或同等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27</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质量流量控制器</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Ac-F：± 0.1%FS；</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MOC：ss316；Output：4~20mA</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BROOKS或同等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个</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28</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液体流量计</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Ac-F：± 0.15%FS；</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MOC：ss316；Output：4~20mA</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BRONKHORST或同等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个</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29</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减压阀</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TESCOM或同等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3</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个</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30</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背压阀</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TESCOM或同等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4</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个</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31</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液位调节阀</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BADGER或同等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个</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32</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液位调节阀</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MOC：HC-276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BADGER或同等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个</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33</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电气转换器</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Input：4~20mA；</w:t>
            </w:r>
          </w:p>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Output：3~15 psi</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百乐福或同等</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2</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个</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34</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不锈钢球阀</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Swagelok</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131"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35</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特材球阀</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MOC：HC-276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xml:space="preserve">Swagelok </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72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36</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比例卸荷阀</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Swagelok</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592"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37</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直通过滤器</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Swagelok</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549"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38</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T型过滤器</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Swagelok</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645"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39</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T型过滤器</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MOC：HC-276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FITOK</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613"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40</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单向阀</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MOC：ss316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Swagelok</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42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41</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单向阀</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DP：10 MPaG；DT：100 ℃；</w:t>
            </w:r>
            <w:r>
              <w:rPr>
                <w:rFonts w:hint="eastAsia" w:ascii="方正仿宋简体" w:hAnsi="方正仿宋简体" w:eastAsia="方正仿宋简体" w:cs="方正仿宋简体"/>
                <w:sz w:val="21"/>
                <w:szCs w:val="21"/>
                <w:lang w:val="en-US" w:eastAsia="zh-CN"/>
              </w:rPr>
              <w:br w:type="textWrapping"/>
            </w:r>
            <w:r>
              <w:rPr>
                <w:rFonts w:hint="eastAsia" w:ascii="方正仿宋简体" w:hAnsi="方正仿宋简体" w:eastAsia="方正仿宋简体" w:cs="方正仿宋简体"/>
                <w:sz w:val="21"/>
                <w:szCs w:val="21"/>
                <w:lang w:val="en-US" w:eastAsia="zh-CN"/>
              </w:rPr>
              <w:t>MOC：HC-276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FITOK</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42</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连接件</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MOC：ss316、HC-276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Swagelok</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9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43</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管线</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MOC：ss316、HC-276</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Swagelok</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批次</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8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44</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控制软件</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系统控制软件</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8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45</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电脑</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1T</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DELL</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台</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8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46</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控制柜</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标准机柜</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台</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8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47</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PLC系统</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系统自控使用</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西门子</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8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48</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控制附件</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串口服务器等附件</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8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49</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电气辅材</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空开线缆等辅材</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8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50</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框架</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铝型材</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8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51</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保温伴热材料</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复合材料</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　</w:t>
            </w:r>
          </w:p>
        </w:tc>
      </w:tr>
      <w:tr>
        <w:tblPrEx>
          <w:tblCellMar>
            <w:top w:w="0" w:type="dxa"/>
            <w:left w:w="108" w:type="dxa"/>
            <w:bottom w:w="0" w:type="dxa"/>
            <w:right w:w="108" w:type="dxa"/>
          </w:tblCellMar>
        </w:tblPrEx>
        <w:trPr>
          <w:trHeight w:val="280" w:hRule="atLeast"/>
        </w:trPr>
        <w:tc>
          <w:tcPr>
            <w:tcW w:w="343" w:type="pct"/>
            <w:tcBorders>
              <w:top w:val="nil"/>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52</w:t>
            </w:r>
          </w:p>
        </w:tc>
        <w:tc>
          <w:tcPr>
            <w:tcW w:w="1065"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备品备件</w:t>
            </w:r>
          </w:p>
        </w:tc>
        <w:tc>
          <w:tcPr>
            <w:tcW w:w="1642" w:type="pct"/>
            <w:tcBorders>
              <w:top w:val="nil"/>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含密封圈等耗材</w:t>
            </w:r>
          </w:p>
        </w:tc>
        <w:tc>
          <w:tcPr>
            <w:tcW w:w="97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非标定制</w:t>
            </w:r>
          </w:p>
        </w:tc>
        <w:tc>
          <w:tcPr>
            <w:tcW w:w="284"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nil"/>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p>
        </w:tc>
      </w:tr>
      <w:tr>
        <w:tblPrEx>
          <w:tblCellMar>
            <w:top w:w="0" w:type="dxa"/>
            <w:left w:w="108" w:type="dxa"/>
            <w:bottom w:w="0" w:type="dxa"/>
            <w:right w:w="108" w:type="dxa"/>
          </w:tblCellMar>
        </w:tblPrEx>
        <w:trPr>
          <w:trHeight w:val="280" w:hRule="atLeast"/>
        </w:trPr>
        <w:tc>
          <w:tcPr>
            <w:tcW w:w="343" w:type="pct"/>
            <w:tcBorders>
              <w:top w:val="single" w:color="auto" w:sz="4" w:space="0"/>
              <w:left w:val="single" w:color="auto" w:sz="4" w:space="0"/>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53</w:t>
            </w:r>
          </w:p>
        </w:tc>
        <w:tc>
          <w:tcPr>
            <w:tcW w:w="1065" w:type="pct"/>
            <w:tcBorders>
              <w:top w:val="single" w:color="auto" w:sz="4" w:space="0"/>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在线PH计</w:t>
            </w:r>
          </w:p>
        </w:tc>
        <w:tc>
          <w:tcPr>
            <w:tcW w:w="1642" w:type="pct"/>
            <w:tcBorders>
              <w:top w:val="single" w:color="auto" w:sz="4" w:space="0"/>
              <w:left w:val="nil"/>
              <w:bottom w:val="single" w:color="auto" w:sz="4" w:space="0"/>
              <w:right w:val="single" w:color="auto" w:sz="4" w:space="0"/>
            </w:tcBorders>
            <w:noWrap w:val="0"/>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p>
        </w:tc>
        <w:tc>
          <w:tcPr>
            <w:tcW w:w="974" w:type="pct"/>
            <w:tcBorders>
              <w:top w:val="single" w:color="auto" w:sz="4" w:space="0"/>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PHG-21C，含主机、电极（PH-3-316）</w:t>
            </w:r>
          </w:p>
        </w:tc>
        <w:tc>
          <w:tcPr>
            <w:tcW w:w="284" w:type="pct"/>
            <w:tcBorders>
              <w:top w:val="single" w:color="auto" w:sz="4" w:space="0"/>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1</w:t>
            </w:r>
          </w:p>
        </w:tc>
        <w:tc>
          <w:tcPr>
            <w:tcW w:w="416" w:type="pct"/>
            <w:tcBorders>
              <w:top w:val="single" w:color="auto" w:sz="4" w:space="0"/>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套</w:t>
            </w:r>
          </w:p>
        </w:tc>
        <w:tc>
          <w:tcPr>
            <w:tcW w:w="273" w:type="pct"/>
            <w:tcBorders>
              <w:top w:val="single" w:color="auto" w:sz="4" w:space="0"/>
              <w:left w:val="nil"/>
              <w:bottom w:val="single" w:color="auto" w:sz="4" w:space="0"/>
              <w:right w:val="single" w:color="auto" w:sz="4" w:space="0"/>
            </w:tcBorders>
            <w:noWrap/>
            <w:vAlign w:val="center"/>
          </w:tcPr>
          <w:p>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baseline"/>
              <w:rPr>
                <w:rFonts w:hint="eastAsia" w:ascii="方正仿宋简体" w:hAnsi="方正仿宋简体" w:eastAsia="方正仿宋简体" w:cs="方正仿宋简体"/>
                <w:sz w:val="21"/>
                <w:szCs w:val="21"/>
                <w:lang w:val="en-US" w:eastAsia="zh-CN"/>
              </w:rPr>
            </w:pPr>
          </w:p>
        </w:tc>
      </w:tr>
    </w:tbl>
    <w:p>
      <w:pPr>
        <w:pStyle w:val="18"/>
        <w:keepNext w:val="0"/>
        <w:keepLines w:val="0"/>
        <w:pageBreakBefore w:val="0"/>
        <w:widowControl w:val="0"/>
        <w:kinsoku/>
        <w:wordWrap/>
        <w:overflowPunct/>
        <w:topLinePunct w:val="0"/>
        <w:autoSpaceDE/>
        <w:autoSpaceDN/>
        <w:bidi w:val="0"/>
        <w:adjustRightInd w:val="0"/>
        <w:snapToGrid w:val="0"/>
        <w:spacing w:line="240" w:lineRule="auto"/>
        <w:textAlignment w:val="baseline"/>
        <w:rPr>
          <w:spacing w:val="0"/>
          <w:position w:val="0"/>
          <w:sz w:val="21"/>
        </w:rPr>
      </w:pPr>
      <w:bookmarkStart w:id="1" w:name="_GoBack"/>
      <w:bookmarkEnd w:id="1"/>
    </w:p>
    <w:sectPr>
      <w:headerReference r:id="rId5" w:type="default"/>
      <w:footerReference r:id="rId6" w:type="default"/>
      <w:pgSz w:w="11900" w:h="16840"/>
      <w:pgMar w:top="1134" w:right="1701" w:bottom="1134" w:left="1701" w:header="850" w:footer="850"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00000000000000000"/>
    <w:charset w:val="86"/>
    <w:family w:val="auto"/>
    <w:pitch w:val="default"/>
    <w:sig w:usb0="A00002BF" w:usb1="184F6CFA" w:usb2="00000012" w:usb3="00000000" w:csb0="00040001" w:csb1="00000000"/>
    <w:embedRegular r:id="rId1" w:fontKey="{E81C39FB-0E53-4A16-A6A7-1368899CE9D6}"/>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兰州中陆化工集团有限公司西固化工分公司电催化二氧化碳还原制甲酸及甲酸盐电解装置</w:t>
    </w:r>
  </w:p>
  <w:p>
    <w:pPr>
      <w:pStyle w:val="7"/>
      <w:pBdr>
        <w:bottom w:val="single" w:color="auto" w:sz="4" w:space="1"/>
      </w:pBdr>
      <w:jc w:val="center"/>
      <w:rPr>
        <w:rFonts w:hint="default"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采购项目-技术规格</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jM4NTZkZmZmMjhiYzRkYjlhMWVmMzNmYzM3MDg5NGIifQ=="/>
    <w:docVar w:name="KSO_WPS_MARK_KEY" w:val="851e2342-b134-4645-bda3-1a6fd05d24e1"/>
  </w:docVars>
  <w:rsids>
    <w:rsidRoot w:val="00000000"/>
    <w:rsid w:val="00375747"/>
    <w:rsid w:val="289F30D4"/>
    <w:rsid w:val="2DE80E11"/>
    <w:rsid w:val="3ACF1D5E"/>
    <w:rsid w:val="4B444562"/>
    <w:rsid w:val="4EF46546"/>
    <w:rsid w:val="5C690043"/>
    <w:rsid w:val="71E86C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napToGrid w:val="0"/>
      <w:spacing w:line="360" w:lineRule="auto"/>
      <w:jc w:val="left"/>
      <w:outlineLvl w:val="0"/>
    </w:pPr>
    <w:rPr>
      <w:rFonts w:ascii="Arial" w:hAnsi="Arial" w:eastAsia="宋体"/>
      <w:b/>
      <w:bCs/>
      <w:kern w:val="44"/>
      <w:sz w:val="30"/>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semiHidden/>
    <w:qFormat/>
    <w:uiPriority w:val="0"/>
    <w:rPr>
      <w:rFonts w:ascii="Arial" w:hAnsi="Arial" w:eastAsia="Arial" w:cs="Arial"/>
      <w:sz w:val="14"/>
      <w:szCs w:val="14"/>
      <w:lang w:val="en-US" w:eastAsia="en-US" w:bidi="ar-SA"/>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宋体" w:hAnsi="宋体" w:eastAsia="宋体" w:cs="宋体"/>
      <w:sz w:val="20"/>
      <w:szCs w:val="20"/>
      <w:lang w:val="en-US" w:eastAsia="en-US" w:bidi="ar-SA"/>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3"/>
    <w:qFormat/>
    <w:uiPriority w:val="0"/>
    <w:pPr>
      <w:ind w:leftChars="400"/>
    </w:pPr>
    <w:rPr>
      <w:rFonts w:ascii="Times New Roman" w:hAnsi="Times New Roman" w:eastAsia="宋体" w:cs="Times New Roman"/>
      <w:sz w:val="20"/>
      <w:szCs w:val="20"/>
    </w:rPr>
  </w:style>
  <w:style w:type="paragraph" w:customStyle="1" w:styleId="18">
    <w:name w:val="样式 小四"/>
    <w:qFormat/>
    <w:uiPriority w:val="0"/>
    <w:pPr>
      <w:widowControl w:val="0"/>
      <w:adjustRightInd w:val="0"/>
      <w:spacing w:line="360" w:lineRule="atLeast"/>
      <w:textAlignment w:val="baseline"/>
    </w:pPr>
    <w:rPr>
      <w:rFonts w:ascii="Times New Roman" w:hAnsi="Times New Roman" w:eastAsia="宋体" w:cs="Calibri"/>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2618</Words>
  <Characters>3659</Characters>
  <TotalTime>2</TotalTime>
  <ScaleCrop>false</ScaleCrop>
  <LinksUpToDate>false</LinksUpToDate>
  <CharactersWithSpaces>3814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2024-11-08T11:05:00Z</dcterms:created>
  <dc:creator>duyanjun</dc:creator>
  <cp:lastModifiedBy>高沛轩</cp:lastModifiedBy>
  <dcterms:modified xsi:type="dcterms:W3CDTF">2024-12-03T08:18:13Z</dcterms:modified>
  <dc:title>电视监控询价.20241016.docx</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2024-11-11T10:11:08Z</vt:filetime>
  </property>
  <property fmtid="{D5CDD505-2E9C-101B-9397-08002B2CF9AE}" pid="4" name="KSOProductBuildVer">
    <vt:lpwstr>2052-11.1.0.14309</vt:lpwstr>
  </property>
  <property fmtid="{D5CDD505-2E9C-101B-9397-08002B2CF9AE}" pid="5" name="ICV">
    <vt:lpwstr>A3571864CE074742871908F34CEA1B1B_12</vt:lpwstr>
  </property>
</Properties>
</file>