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A17AE">
      <w:pPr>
        <w:spacing w:line="400" w:lineRule="exact"/>
        <w:jc w:val="center"/>
        <w:outlineLvl w:val="0"/>
        <w:rPr>
          <w:rFonts w:ascii="宋体" w:hAnsi="宋体"/>
          <w:b/>
          <w:sz w:val="30"/>
          <w:szCs w:val="30"/>
        </w:rPr>
      </w:pPr>
      <w:r>
        <w:rPr>
          <w:rFonts w:hint="eastAsia" w:ascii="宋体" w:hAnsi="宋体"/>
          <w:b/>
          <w:sz w:val="30"/>
          <w:szCs w:val="30"/>
        </w:rPr>
        <w:t>2026年压力管防腐合同</w:t>
      </w:r>
    </w:p>
    <w:p w14:paraId="03800404">
      <w:pPr>
        <w:spacing w:line="400" w:lineRule="exact"/>
        <w:jc w:val="center"/>
        <w:rPr>
          <w:rFonts w:ascii="宋体" w:hAnsi="宋体"/>
          <w:b/>
          <w:sz w:val="28"/>
          <w:szCs w:val="28"/>
        </w:rPr>
      </w:pPr>
    </w:p>
    <w:p w14:paraId="50CF47FD">
      <w:pPr>
        <w:pStyle w:val="5"/>
        <w:wordWrap w:val="0"/>
        <w:spacing w:line="360" w:lineRule="auto"/>
        <w:jc w:val="right"/>
        <w:rPr>
          <w:rFonts w:hint="default" w:hAnsi="宋体" w:eastAsia="宋体" w:cs="仿宋_GB2312"/>
          <w:bCs/>
          <w:spacing w:val="2"/>
          <w:sz w:val="24"/>
          <w:u w:val="single"/>
          <w:lang w:val="en-US" w:eastAsia="zh-CN"/>
        </w:rPr>
      </w:pPr>
      <w:r>
        <w:rPr>
          <w:rFonts w:hint="eastAsia" w:hAnsi="宋体"/>
          <w:sz w:val="24"/>
        </w:rPr>
        <w:t>合同编号：</w:t>
      </w:r>
      <w:r>
        <w:rPr>
          <w:rFonts w:hint="eastAsia" w:hAnsi="宋体"/>
          <w:sz w:val="24"/>
          <w:lang w:val="en-US" w:eastAsia="zh-CN"/>
        </w:rPr>
        <w:t xml:space="preserve">               </w:t>
      </w:r>
    </w:p>
    <w:p w14:paraId="1179BCAF">
      <w:pPr>
        <w:pStyle w:val="5"/>
        <w:spacing w:line="360" w:lineRule="auto"/>
        <w:jc w:val="right"/>
        <w:rPr>
          <w:rFonts w:hAnsi="宋体"/>
          <w:sz w:val="24"/>
          <w:szCs w:val="24"/>
        </w:rPr>
      </w:pPr>
      <w:r>
        <w:rPr>
          <w:rFonts w:hint="eastAsia" w:hAnsi="宋体"/>
          <w:sz w:val="24"/>
        </w:rPr>
        <w:t>签订时间</w:t>
      </w:r>
      <w:r>
        <w:rPr>
          <w:rFonts w:hint="eastAsia" w:hAnsi="宋体"/>
          <w:sz w:val="24"/>
          <w:lang w:eastAsia="zh-CN"/>
        </w:rPr>
        <w:t>：</w:t>
      </w:r>
      <w:r>
        <w:rPr>
          <w:rFonts w:hint="eastAsia" w:hAnsi="宋体"/>
          <w:sz w:val="24"/>
        </w:rPr>
        <w:t>2026年  月  日</w:t>
      </w:r>
    </w:p>
    <w:p w14:paraId="2E790490">
      <w:pPr>
        <w:spacing w:line="360" w:lineRule="auto"/>
        <w:rPr>
          <w:rFonts w:ascii="宋体" w:hAnsi="宋体"/>
          <w:sz w:val="24"/>
        </w:rPr>
      </w:pPr>
      <w:r>
        <w:rPr>
          <w:rFonts w:hint="eastAsia" w:ascii="宋体" w:hAnsi="宋体"/>
          <w:sz w:val="24"/>
        </w:rPr>
        <w:t>甲方：常州市城市排水有限公司</w:t>
      </w:r>
    </w:p>
    <w:p w14:paraId="00AA7825">
      <w:pPr>
        <w:spacing w:line="360" w:lineRule="auto"/>
        <w:rPr>
          <w:rFonts w:ascii="宋体" w:hAnsi="宋体"/>
          <w:sz w:val="24"/>
        </w:rPr>
      </w:pPr>
      <w:r>
        <w:rPr>
          <w:rFonts w:hint="eastAsia" w:ascii="宋体" w:hAnsi="宋体"/>
          <w:sz w:val="24"/>
        </w:rPr>
        <w:t>住所地：常州市飞龙东路116号</w:t>
      </w:r>
    </w:p>
    <w:p w14:paraId="059CF490">
      <w:pPr>
        <w:spacing w:line="360" w:lineRule="auto"/>
        <w:rPr>
          <w:rFonts w:ascii="宋体" w:hAnsi="宋体"/>
          <w:sz w:val="24"/>
        </w:rPr>
      </w:pPr>
      <w:r>
        <w:rPr>
          <w:rFonts w:hint="eastAsia" w:ascii="宋体" w:hAnsi="宋体"/>
          <w:sz w:val="24"/>
        </w:rPr>
        <w:t>法定代表人：陈波</w:t>
      </w:r>
    </w:p>
    <w:p w14:paraId="504FA05C">
      <w:pPr>
        <w:spacing w:line="360" w:lineRule="auto"/>
        <w:rPr>
          <w:rFonts w:ascii="宋体" w:hAnsi="宋体"/>
          <w:sz w:val="24"/>
        </w:rPr>
      </w:pPr>
      <w:r>
        <w:rPr>
          <w:rFonts w:hint="eastAsia" w:ascii="宋体" w:hAnsi="宋体"/>
          <w:sz w:val="24"/>
        </w:rPr>
        <w:t>统一社会信用代码：</w:t>
      </w:r>
      <w:bookmarkStart w:id="0" w:name="OLE_LINK1"/>
      <w:r>
        <w:rPr>
          <w:rFonts w:hint="eastAsia" w:ascii="宋体" w:hAnsi="宋体"/>
          <w:sz w:val="24"/>
        </w:rPr>
        <w:t>913204001371681971</w:t>
      </w:r>
      <w:bookmarkEnd w:id="0"/>
    </w:p>
    <w:p w14:paraId="787EEFF0">
      <w:pPr>
        <w:spacing w:line="360" w:lineRule="auto"/>
        <w:rPr>
          <w:rFonts w:ascii="宋体" w:hAnsi="宋体"/>
          <w:sz w:val="24"/>
          <w:u w:val="single"/>
        </w:rPr>
      </w:pPr>
    </w:p>
    <w:p w14:paraId="269CA907">
      <w:pPr>
        <w:spacing w:line="360" w:lineRule="auto"/>
        <w:rPr>
          <w:rFonts w:ascii="宋体" w:hAnsi="宋体"/>
          <w:sz w:val="24"/>
        </w:rPr>
      </w:pPr>
      <w:r>
        <w:rPr>
          <w:rFonts w:hint="eastAsia" w:ascii="宋体" w:hAnsi="宋体"/>
          <w:sz w:val="24"/>
        </w:rPr>
        <w:t>乙方：</w:t>
      </w:r>
      <w:r>
        <w:rPr>
          <w:rFonts w:ascii="宋体" w:hAnsi="宋体"/>
          <w:sz w:val="24"/>
        </w:rPr>
        <w:t xml:space="preserve"> </w:t>
      </w:r>
    </w:p>
    <w:p w14:paraId="1FF15D2C">
      <w:pPr>
        <w:spacing w:line="360" w:lineRule="auto"/>
        <w:rPr>
          <w:rFonts w:ascii="宋体" w:hAnsi="宋体"/>
          <w:sz w:val="24"/>
          <w:u w:val="single"/>
        </w:rPr>
      </w:pPr>
      <w:r>
        <w:rPr>
          <w:rFonts w:hint="eastAsia" w:ascii="宋体" w:hAnsi="宋体"/>
          <w:sz w:val="24"/>
        </w:rPr>
        <w:t>住所地：</w:t>
      </w:r>
    </w:p>
    <w:p w14:paraId="3D654D1E">
      <w:pPr>
        <w:spacing w:line="360" w:lineRule="auto"/>
        <w:rPr>
          <w:rFonts w:ascii="宋体" w:hAnsi="宋体"/>
          <w:sz w:val="24"/>
        </w:rPr>
      </w:pPr>
      <w:r>
        <w:rPr>
          <w:rFonts w:hint="eastAsia" w:ascii="宋体" w:hAnsi="宋体"/>
          <w:sz w:val="24"/>
        </w:rPr>
        <w:t>法定代表人：</w:t>
      </w:r>
    </w:p>
    <w:p w14:paraId="2B3F9D38">
      <w:pPr>
        <w:pStyle w:val="5"/>
        <w:spacing w:line="360" w:lineRule="auto"/>
        <w:jc w:val="left"/>
        <w:rPr>
          <w:rFonts w:hAnsi="宋体"/>
          <w:sz w:val="24"/>
        </w:rPr>
      </w:pPr>
      <w:r>
        <w:rPr>
          <w:rFonts w:hint="eastAsia" w:hAnsi="宋体"/>
          <w:sz w:val="24"/>
        </w:rPr>
        <w:t>统一社会信用代码：</w:t>
      </w:r>
    </w:p>
    <w:p w14:paraId="1C3810D2">
      <w:pPr>
        <w:pStyle w:val="5"/>
        <w:spacing w:line="360" w:lineRule="auto"/>
        <w:jc w:val="left"/>
        <w:rPr>
          <w:rFonts w:hAnsi="宋体"/>
          <w:sz w:val="24"/>
          <w:szCs w:val="24"/>
          <w:u w:val="single"/>
        </w:rPr>
      </w:pPr>
    </w:p>
    <w:p w14:paraId="420C5CD9">
      <w:pPr>
        <w:spacing w:line="360" w:lineRule="auto"/>
        <w:ind w:firstLine="480" w:firstLineChars="200"/>
        <w:jc w:val="left"/>
        <w:rPr>
          <w:rFonts w:ascii="宋体" w:hAnsi="宋体"/>
          <w:sz w:val="24"/>
        </w:rPr>
      </w:pPr>
      <w:r>
        <w:rPr>
          <w:rFonts w:hint="eastAsia" w:ascii="宋体" w:hAnsi="宋体"/>
          <w:sz w:val="24"/>
        </w:rPr>
        <w:t>根据《中华人民共和国民法典》等法律法规的规定，甲乙双方经友好协商，签订本合同。</w:t>
      </w:r>
    </w:p>
    <w:p w14:paraId="3242C207">
      <w:pPr>
        <w:spacing w:line="360" w:lineRule="auto"/>
        <w:ind w:firstLine="482" w:firstLineChars="200"/>
        <w:jc w:val="left"/>
        <w:outlineLvl w:val="0"/>
        <w:rPr>
          <w:rFonts w:ascii="宋体" w:hAnsi="宋体"/>
          <w:b/>
          <w:sz w:val="24"/>
        </w:rPr>
      </w:pPr>
      <w:r>
        <w:rPr>
          <w:rFonts w:hint="eastAsia" w:ascii="宋体" w:hAnsi="宋体"/>
          <w:b/>
          <w:sz w:val="24"/>
        </w:rPr>
        <w:t>第一条 项目概况</w:t>
      </w:r>
    </w:p>
    <w:p w14:paraId="1C99BE12">
      <w:pPr>
        <w:spacing w:line="360" w:lineRule="auto"/>
        <w:ind w:firstLine="484" w:firstLineChars="202"/>
        <w:rPr>
          <w:rFonts w:ascii="宋体" w:hAnsi="宋体"/>
          <w:sz w:val="24"/>
        </w:rPr>
      </w:pPr>
      <w:r>
        <w:rPr>
          <w:rFonts w:hint="eastAsia" w:ascii="宋体" w:hAnsi="宋体"/>
          <w:sz w:val="24"/>
        </w:rPr>
        <w:t>1.项目名称：</w:t>
      </w:r>
      <w:r>
        <w:rPr>
          <w:rFonts w:hint="eastAsia" w:ascii="宋体" w:hAnsi="宋体"/>
          <w:sz w:val="24"/>
          <w:u w:val="single"/>
        </w:rPr>
        <w:t>2026年压力管防腐</w:t>
      </w:r>
    </w:p>
    <w:p w14:paraId="14E61D58">
      <w:pPr>
        <w:spacing w:line="360" w:lineRule="auto"/>
        <w:ind w:firstLine="484" w:firstLineChars="202"/>
        <w:rPr>
          <w:rFonts w:ascii="宋体" w:hAnsi="宋体"/>
          <w:sz w:val="24"/>
          <w:u w:val="single"/>
        </w:rPr>
      </w:pPr>
      <w:r>
        <w:rPr>
          <w:rFonts w:hint="eastAsia" w:ascii="宋体" w:hAnsi="宋体"/>
          <w:sz w:val="24"/>
        </w:rPr>
        <w:t>2.项目地点：</w:t>
      </w:r>
      <w:r>
        <w:rPr>
          <w:rFonts w:hint="eastAsia" w:ascii="宋体" w:hAnsi="宋体"/>
          <w:sz w:val="24"/>
          <w:u w:val="single"/>
        </w:rPr>
        <w:t xml:space="preserve"> 按甲方要求</w:t>
      </w:r>
    </w:p>
    <w:p w14:paraId="7EF437B6">
      <w:pPr>
        <w:spacing w:line="360" w:lineRule="auto"/>
        <w:ind w:firstLine="484" w:firstLineChars="202"/>
        <w:rPr>
          <w:rFonts w:ascii="宋体" w:hAnsi="宋体"/>
          <w:sz w:val="24"/>
          <w:u w:val="single"/>
        </w:rPr>
      </w:pPr>
      <w:r>
        <w:rPr>
          <w:rFonts w:hint="eastAsia" w:ascii="宋体" w:hAnsi="宋体"/>
          <w:sz w:val="24"/>
        </w:rPr>
        <w:t>3.乙方资质</w:t>
      </w:r>
      <w:r>
        <w:rPr>
          <w:rFonts w:ascii="宋体" w:hAnsi="宋体"/>
          <w:sz w:val="24"/>
        </w:rPr>
        <w:t>：</w:t>
      </w:r>
      <w:r>
        <w:rPr>
          <w:rFonts w:hint="eastAsia" w:ascii="宋体" w:hAnsi="宋体"/>
          <w:sz w:val="24"/>
          <w:u w:val="single"/>
        </w:rPr>
        <w:t>防腐保温工程专业承包三级及以上资质</w:t>
      </w:r>
    </w:p>
    <w:p w14:paraId="4F6E308F">
      <w:pPr>
        <w:spacing w:line="360" w:lineRule="auto"/>
        <w:ind w:firstLine="484" w:firstLineChars="202"/>
        <w:rPr>
          <w:rFonts w:ascii="宋体" w:hAnsi="宋体"/>
          <w:sz w:val="24"/>
        </w:rPr>
      </w:pPr>
      <w:r>
        <w:rPr>
          <w:rFonts w:hint="eastAsia" w:ascii="宋体" w:hAnsi="宋体"/>
          <w:sz w:val="24"/>
        </w:rPr>
        <w:t>4.服务范围：</w:t>
      </w:r>
      <w:r>
        <w:rPr>
          <w:rFonts w:hint="eastAsia" w:ascii="宋体" w:hAnsi="宋体"/>
          <w:sz w:val="24"/>
          <w:u w:val="single"/>
        </w:rPr>
        <w:t>本项目施工范围包括清单中的管道、排气阀、管座、支吊托架、防攀爬刺等所有附着物防腐。施工条件为现状桥管防腐施工条件</w:t>
      </w:r>
    </w:p>
    <w:p w14:paraId="1142C20F">
      <w:pPr>
        <w:spacing w:line="360" w:lineRule="auto"/>
        <w:ind w:firstLine="484" w:firstLineChars="202"/>
        <w:rPr>
          <w:rFonts w:ascii="宋体" w:hAnsi="宋体"/>
          <w:sz w:val="24"/>
        </w:rPr>
      </w:pPr>
      <w:r>
        <w:rPr>
          <w:rFonts w:hint="eastAsia" w:ascii="宋体" w:hAnsi="宋体"/>
          <w:sz w:val="24"/>
        </w:rPr>
        <w:t>5.工期：自合同签订之日起30天内完成第一遍防腐工程。</w:t>
      </w:r>
    </w:p>
    <w:p w14:paraId="70B7DA75">
      <w:pPr>
        <w:spacing w:line="360" w:lineRule="auto"/>
        <w:ind w:firstLine="484" w:firstLineChars="202"/>
        <w:rPr>
          <w:rFonts w:ascii="宋体" w:hAnsi="宋体"/>
          <w:sz w:val="24"/>
        </w:rPr>
      </w:pPr>
      <w:r>
        <w:rPr>
          <w:rFonts w:hint="eastAsia" w:ascii="宋体" w:hAnsi="宋体"/>
          <w:sz w:val="24"/>
        </w:rPr>
        <w:t>6</w:t>
      </w:r>
      <w:r>
        <w:rPr>
          <w:rFonts w:ascii="宋体" w:hAnsi="宋体"/>
          <w:sz w:val="24"/>
        </w:rPr>
        <w:t>.</w:t>
      </w:r>
      <w:r>
        <w:rPr>
          <w:rFonts w:hint="eastAsia" w:ascii="宋体" w:hAnsi="宋体"/>
          <w:sz w:val="24"/>
        </w:rPr>
        <w:t>质保期：三年，从第一遍防腐工程完工，经验收合格之日起开始计算。</w:t>
      </w:r>
    </w:p>
    <w:p w14:paraId="4C89CC7B">
      <w:pPr>
        <w:spacing w:line="360" w:lineRule="auto"/>
        <w:ind w:firstLine="487" w:firstLineChars="202"/>
        <w:outlineLvl w:val="0"/>
        <w:rPr>
          <w:rFonts w:ascii="宋体" w:hAnsi="宋体"/>
          <w:b/>
          <w:bCs/>
          <w:sz w:val="24"/>
        </w:rPr>
      </w:pPr>
      <w:r>
        <w:rPr>
          <w:rFonts w:hint="eastAsia" w:ascii="宋体" w:hAnsi="宋体"/>
          <w:b/>
          <w:bCs/>
          <w:sz w:val="24"/>
        </w:rPr>
        <w:t>第二条 服务内容</w:t>
      </w:r>
    </w:p>
    <w:p w14:paraId="6769561E">
      <w:pPr>
        <w:spacing w:line="360" w:lineRule="auto"/>
        <w:ind w:firstLine="484" w:firstLineChars="202"/>
        <w:jc w:val="center"/>
        <w:rPr>
          <w:rFonts w:ascii="宋体" w:hAnsi="宋体"/>
          <w:sz w:val="24"/>
        </w:rPr>
      </w:pPr>
      <w:r>
        <w:rPr>
          <w:rFonts w:hint="eastAsia" w:ascii="宋体" w:hAnsi="宋体"/>
          <w:sz w:val="24"/>
        </w:rPr>
        <w:t>工程量清单</w:t>
      </w:r>
    </w:p>
    <w:tbl>
      <w:tblPr>
        <w:tblStyle w:val="9"/>
        <w:tblW w:w="6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1635"/>
        <w:gridCol w:w="1843"/>
        <w:gridCol w:w="1466"/>
      </w:tblGrid>
      <w:tr w14:paraId="3198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vAlign w:val="center"/>
          </w:tcPr>
          <w:p w14:paraId="0216467A">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位置</w:t>
            </w:r>
          </w:p>
        </w:tc>
        <w:tc>
          <w:tcPr>
            <w:tcW w:w="1635" w:type="dxa"/>
            <w:shd w:val="clear" w:color="000000" w:fill="FFFFFF"/>
            <w:vAlign w:val="center"/>
          </w:tcPr>
          <w:p w14:paraId="7665B07D">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管径（mm）</w:t>
            </w:r>
          </w:p>
        </w:tc>
        <w:tc>
          <w:tcPr>
            <w:tcW w:w="1843" w:type="dxa"/>
            <w:shd w:val="clear" w:color="000000" w:fill="FFFFFF"/>
            <w:vAlign w:val="center"/>
          </w:tcPr>
          <w:p w14:paraId="76AA2C88">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长度（m）</w:t>
            </w:r>
          </w:p>
        </w:tc>
        <w:tc>
          <w:tcPr>
            <w:tcW w:w="1466" w:type="dxa"/>
            <w:shd w:val="clear" w:color="000000" w:fill="FFFFFF"/>
            <w:vAlign w:val="center"/>
          </w:tcPr>
          <w:p w14:paraId="780370A6">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面积（m</w:t>
            </w:r>
            <w:r>
              <w:rPr>
                <w:rFonts w:hint="eastAsia" w:ascii="宋体" w:hAnsi="宋体" w:eastAsia="宋体" w:cs="宋体"/>
                <w:b/>
                <w:kern w:val="0"/>
                <w:sz w:val="24"/>
                <w:szCs w:val="24"/>
                <w:vertAlign w:val="superscript"/>
              </w:rPr>
              <w:t>2</w:t>
            </w:r>
            <w:r>
              <w:rPr>
                <w:rFonts w:hint="eastAsia" w:ascii="宋体" w:hAnsi="宋体" w:eastAsia="宋体" w:cs="宋体"/>
                <w:b/>
                <w:kern w:val="0"/>
                <w:sz w:val="24"/>
                <w:szCs w:val="24"/>
              </w:rPr>
              <w:t>）</w:t>
            </w:r>
          </w:p>
        </w:tc>
      </w:tr>
      <w:tr w14:paraId="3C2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796C182B">
            <w:pPr>
              <w:jc w:val="center"/>
              <w:rPr>
                <w:rFonts w:hint="eastAsia" w:ascii="宋体" w:hAnsi="宋体" w:eastAsia="宋体" w:cs="宋体"/>
                <w:sz w:val="24"/>
                <w:szCs w:val="24"/>
              </w:rPr>
            </w:pPr>
            <w:r>
              <w:rPr>
                <w:rFonts w:hint="eastAsia" w:ascii="宋体" w:hAnsi="宋体" w:eastAsia="宋体" w:cs="宋体"/>
                <w:sz w:val="24"/>
                <w:szCs w:val="24"/>
              </w:rPr>
              <w:t>友谊桥</w:t>
            </w:r>
          </w:p>
        </w:tc>
        <w:tc>
          <w:tcPr>
            <w:tcW w:w="1635" w:type="dxa"/>
            <w:shd w:val="clear" w:color="000000" w:fill="FFFFFF"/>
            <w:noWrap/>
            <w:vAlign w:val="center"/>
          </w:tcPr>
          <w:p w14:paraId="0E6114DC">
            <w:pPr>
              <w:jc w:val="center"/>
              <w:rPr>
                <w:rFonts w:hint="eastAsia" w:ascii="宋体" w:hAnsi="宋体" w:eastAsia="宋体" w:cs="宋体"/>
                <w:sz w:val="24"/>
                <w:szCs w:val="24"/>
              </w:rPr>
            </w:pPr>
            <w:r>
              <w:rPr>
                <w:rFonts w:hint="eastAsia" w:ascii="宋体" w:hAnsi="宋体" w:eastAsia="宋体" w:cs="宋体"/>
                <w:sz w:val="24"/>
                <w:szCs w:val="24"/>
              </w:rPr>
              <w:t>1200</w:t>
            </w:r>
          </w:p>
        </w:tc>
        <w:tc>
          <w:tcPr>
            <w:tcW w:w="1843" w:type="dxa"/>
            <w:shd w:val="clear" w:color="000000" w:fill="FFFFFF"/>
            <w:noWrap/>
            <w:vAlign w:val="center"/>
          </w:tcPr>
          <w:p w14:paraId="0A5F1C9C">
            <w:pPr>
              <w:jc w:val="center"/>
              <w:rPr>
                <w:rFonts w:hint="eastAsia" w:ascii="宋体" w:hAnsi="宋体" w:eastAsia="宋体" w:cs="宋体"/>
                <w:sz w:val="24"/>
                <w:szCs w:val="24"/>
              </w:rPr>
            </w:pPr>
            <w:r>
              <w:rPr>
                <w:rFonts w:hint="eastAsia" w:ascii="宋体" w:hAnsi="宋体" w:eastAsia="宋体" w:cs="宋体"/>
                <w:sz w:val="24"/>
                <w:szCs w:val="24"/>
              </w:rPr>
              <w:t>24</w:t>
            </w:r>
          </w:p>
        </w:tc>
        <w:tc>
          <w:tcPr>
            <w:tcW w:w="1466" w:type="dxa"/>
            <w:shd w:val="clear" w:color="000000" w:fill="FFFFFF"/>
            <w:noWrap/>
            <w:vAlign w:val="center"/>
          </w:tcPr>
          <w:p w14:paraId="70CE2B1A">
            <w:pPr>
              <w:jc w:val="center"/>
              <w:rPr>
                <w:rFonts w:hint="eastAsia" w:ascii="宋体" w:hAnsi="宋体" w:eastAsia="宋体" w:cs="宋体"/>
                <w:sz w:val="24"/>
                <w:szCs w:val="24"/>
              </w:rPr>
            </w:pPr>
            <w:r>
              <w:rPr>
                <w:rFonts w:hint="eastAsia" w:ascii="宋体" w:hAnsi="宋体" w:eastAsia="宋体" w:cs="宋体"/>
                <w:sz w:val="24"/>
                <w:szCs w:val="24"/>
              </w:rPr>
              <w:t>105</w:t>
            </w:r>
          </w:p>
        </w:tc>
      </w:tr>
      <w:tr w14:paraId="7FC9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4ACBC9F1">
            <w:pPr>
              <w:jc w:val="center"/>
              <w:rPr>
                <w:rFonts w:hint="eastAsia" w:ascii="宋体" w:hAnsi="宋体" w:eastAsia="宋体" w:cs="宋体"/>
                <w:sz w:val="24"/>
                <w:szCs w:val="24"/>
              </w:rPr>
            </w:pPr>
            <w:r>
              <w:rPr>
                <w:rFonts w:hint="eastAsia" w:ascii="宋体" w:hAnsi="宋体" w:eastAsia="宋体" w:cs="宋体"/>
                <w:sz w:val="24"/>
                <w:szCs w:val="24"/>
              </w:rPr>
              <w:t>扁鹊桥</w:t>
            </w:r>
          </w:p>
        </w:tc>
        <w:tc>
          <w:tcPr>
            <w:tcW w:w="1635" w:type="dxa"/>
            <w:shd w:val="clear" w:color="000000" w:fill="FFFFFF"/>
            <w:noWrap/>
            <w:vAlign w:val="center"/>
          </w:tcPr>
          <w:p w14:paraId="38FE9024">
            <w:pPr>
              <w:jc w:val="center"/>
              <w:rPr>
                <w:rFonts w:hint="eastAsia" w:ascii="宋体" w:hAnsi="宋体" w:eastAsia="宋体" w:cs="宋体"/>
                <w:sz w:val="24"/>
                <w:szCs w:val="24"/>
              </w:rPr>
            </w:pPr>
            <w:r>
              <w:rPr>
                <w:rFonts w:hint="eastAsia" w:ascii="宋体" w:hAnsi="宋体" w:eastAsia="宋体" w:cs="宋体"/>
                <w:sz w:val="24"/>
                <w:szCs w:val="24"/>
              </w:rPr>
              <w:t>1200</w:t>
            </w:r>
          </w:p>
        </w:tc>
        <w:tc>
          <w:tcPr>
            <w:tcW w:w="1843" w:type="dxa"/>
            <w:shd w:val="clear" w:color="000000" w:fill="FFFFFF"/>
            <w:noWrap/>
            <w:vAlign w:val="center"/>
          </w:tcPr>
          <w:p w14:paraId="1A448726">
            <w:pPr>
              <w:jc w:val="center"/>
              <w:rPr>
                <w:rFonts w:hint="eastAsia" w:ascii="宋体" w:hAnsi="宋体" w:eastAsia="宋体" w:cs="宋体"/>
                <w:sz w:val="24"/>
                <w:szCs w:val="24"/>
              </w:rPr>
            </w:pPr>
            <w:r>
              <w:rPr>
                <w:rFonts w:hint="eastAsia" w:ascii="宋体" w:hAnsi="宋体" w:eastAsia="宋体" w:cs="宋体"/>
                <w:sz w:val="24"/>
                <w:szCs w:val="24"/>
              </w:rPr>
              <w:t>28</w:t>
            </w:r>
          </w:p>
        </w:tc>
        <w:tc>
          <w:tcPr>
            <w:tcW w:w="1466" w:type="dxa"/>
            <w:shd w:val="clear" w:color="000000" w:fill="FFFFFF"/>
            <w:noWrap/>
            <w:vAlign w:val="center"/>
          </w:tcPr>
          <w:p w14:paraId="58887EAA">
            <w:pPr>
              <w:jc w:val="center"/>
              <w:rPr>
                <w:rFonts w:hint="eastAsia" w:ascii="宋体" w:hAnsi="宋体" w:eastAsia="宋体" w:cs="宋体"/>
                <w:sz w:val="24"/>
                <w:szCs w:val="24"/>
              </w:rPr>
            </w:pPr>
            <w:r>
              <w:rPr>
                <w:rFonts w:hint="eastAsia" w:ascii="宋体" w:hAnsi="宋体" w:eastAsia="宋体" w:cs="宋体"/>
                <w:sz w:val="24"/>
                <w:szCs w:val="24"/>
              </w:rPr>
              <w:t>110</w:t>
            </w:r>
          </w:p>
        </w:tc>
      </w:tr>
      <w:tr w14:paraId="69ED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61E17A93">
            <w:pPr>
              <w:jc w:val="center"/>
              <w:rPr>
                <w:rFonts w:hint="eastAsia" w:ascii="宋体" w:hAnsi="宋体" w:eastAsia="宋体" w:cs="宋体"/>
                <w:sz w:val="24"/>
                <w:szCs w:val="24"/>
              </w:rPr>
            </w:pPr>
            <w:r>
              <w:rPr>
                <w:rFonts w:hint="eastAsia" w:ascii="宋体" w:hAnsi="宋体" w:eastAsia="宋体" w:cs="宋体"/>
                <w:sz w:val="24"/>
                <w:szCs w:val="24"/>
              </w:rPr>
              <w:t>四号桥</w:t>
            </w:r>
          </w:p>
        </w:tc>
        <w:tc>
          <w:tcPr>
            <w:tcW w:w="1635" w:type="dxa"/>
            <w:shd w:val="clear" w:color="000000" w:fill="FFFFFF"/>
            <w:noWrap/>
            <w:vAlign w:val="center"/>
          </w:tcPr>
          <w:p w14:paraId="784C7DF6">
            <w:pPr>
              <w:jc w:val="center"/>
              <w:rPr>
                <w:rFonts w:hint="eastAsia" w:ascii="宋体" w:hAnsi="宋体" w:eastAsia="宋体" w:cs="宋体"/>
                <w:sz w:val="24"/>
                <w:szCs w:val="24"/>
              </w:rPr>
            </w:pPr>
            <w:r>
              <w:rPr>
                <w:rFonts w:hint="eastAsia" w:ascii="宋体" w:hAnsi="宋体" w:eastAsia="宋体" w:cs="宋体"/>
                <w:sz w:val="24"/>
                <w:szCs w:val="24"/>
              </w:rPr>
              <w:t>800</w:t>
            </w:r>
          </w:p>
        </w:tc>
        <w:tc>
          <w:tcPr>
            <w:tcW w:w="1843" w:type="dxa"/>
            <w:shd w:val="clear" w:color="000000" w:fill="FFFFFF"/>
            <w:noWrap/>
            <w:vAlign w:val="center"/>
          </w:tcPr>
          <w:p w14:paraId="73AF9306">
            <w:pPr>
              <w:jc w:val="center"/>
              <w:rPr>
                <w:rFonts w:hint="eastAsia" w:ascii="宋体" w:hAnsi="宋体" w:eastAsia="宋体" w:cs="宋体"/>
                <w:sz w:val="24"/>
                <w:szCs w:val="24"/>
              </w:rPr>
            </w:pPr>
            <w:r>
              <w:rPr>
                <w:rFonts w:hint="eastAsia" w:ascii="宋体" w:hAnsi="宋体" w:eastAsia="宋体" w:cs="宋体"/>
                <w:sz w:val="24"/>
                <w:szCs w:val="24"/>
              </w:rPr>
              <w:t>28</w:t>
            </w:r>
          </w:p>
        </w:tc>
        <w:tc>
          <w:tcPr>
            <w:tcW w:w="1466" w:type="dxa"/>
            <w:shd w:val="clear" w:color="000000" w:fill="FFFFFF"/>
            <w:noWrap/>
            <w:vAlign w:val="center"/>
          </w:tcPr>
          <w:p w14:paraId="3539B8E4">
            <w:pPr>
              <w:jc w:val="center"/>
              <w:rPr>
                <w:rFonts w:hint="eastAsia" w:ascii="宋体" w:hAnsi="宋体" w:eastAsia="宋体" w:cs="宋体"/>
                <w:sz w:val="24"/>
                <w:szCs w:val="24"/>
              </w:rPr>
            </w:pPr>
            <w:r>
              <w:rPr>
                <w:rFonts w:hint="eastAsia" w:ascii="宋体" w:hAnsi="宋体" w:eastAsia="宋体" w:cs="宋体"/>
                <w:sz w:val="24"/>
                <w:szCs w:val="24"/>
              </w:rPr>
              <w:t>75</w:t>
            </w:r>
          </w:p>
        </w:tc>
      </w:tr>
      <w:tr w14:paraId="534F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24ADEE8A">
            <w:pPr>
              <w:jc w:val="center"/>
              <w:rPr>
                <w:rFonts w:hint="eastAsia" w:ascii="宋体" w:hAnsi="宋体" w:eastAsia="宋体" w:cs="宋体"/>
                <w:sz w:val="24"/>
                <w:szCs w:val="24"/>
              </w:rPr>
            </w:pPr>
            <w:r>
              <w:rPr>
                <w:rFonts w:hint="eastAsia" w:ascii="宋体" w:hAnsi="宋体" w:eastAsia="宋体" w:cs="宋体"/>
                <w:sz w:val="24"/>
                <w:szCs w:val="24"/>
              </w:rPr>
              <w:t>建新河桥</w:t>
            </w:r>
          </w:p>
        </w:tc>
        <w:tc>
          <w:tcPr>
            <w:tcW w:w="1635" w:type="dxa"/>
            <w:shd w:val="clear" w:color="000000" w:fill="FFFFFF"/>
            <w:noWrap/>
            <w:vAlign w:val="center"/>
          </w:tcPr>
          <w:p w14:paraId="51CA6EE3">
            <w:pPr>
              <w:jc w:val="center"/>
              <w:rPr>
                <w:rFonts w:hint="eastAsia" w:ascii="宋体" w:hAnsi="宋体" w:eastAsia="宋体" w:cs="宋体"/>
                <w:sz w:val="24"/>
                <w:szCs w:val="24"/>
              </w:rPr>
            </w:pPr>
            <w:r>
              <w:rPr>
                <w:rFonts w:hint="eastAsia" w:ascii="宋体" w:hAnsi="宋体" w:eastAsia="宋体" w:cs="宋体"/>
                <w:sz w:val="24"/>
                <w:szCs w:val="24"/>
              </w:rPr>
              <w:t>800</w:t>
            </w:r>
          </w:p>
        </w:tc>
        <w:tc>
          <w:tcPr>
            <w:tcW w:w="1843" w:type="dxa"/>
            <w:shd w:val="clear" w:color="000000" w:fill="FFFFFF"/>
            <w:noWrap/>
            <w:vAlign w:val="center"/>
          </w:tcPr>
          <w:p w14:paraId="005378D3">
            <w:pPr>
              <w:jc w:val="center"/>
              <w:rPr>
                <w:rFonts w:hint="eastAsia" w:ascii="宋体" w:hAnsi="宋体" w:eastAsia="宋体" w:cs="宋体"/>
                <w:sz w:val="24"/>
                <w:szCs w:val="24"/>
              </w:rPr>
            </w:pPr>
            <w:r>
              <w:rPr>
                <w:rFonts w:hint="eastAsia" w:ascii="宋体" w:hAnsi="宋体" w:eastAsia="宋体" w:cs="宋体"/>
                <w:sz w:val="24"/>
                <w:szCs w:val="24"/>
              </w:rPr>
              <w:t>17</w:t>
            </w:r>
          </w:p>
        </w:tc>
        <w:tc>
          <w:tcPr>
            <w:tcW w:w="1466" w:type="dxa"/>
            <w:shd w:val="clear" w:color="000000" w:fill="FFFFFF"/>
            <w:noWrap/>
            <w:vAlign w:val="center"/>
          </w:tcPr>
          <w:p w14:paraId="65CAF9C5">
            <w:pPr>
              <w:jc w:val="center"/>
              <w:rPr>
                <w:rFonts w:hint="eastAsia" w:ascii="宋体" w:hAnsi="宋体" w:eastAsia="宋体" w:cs="宋体"/>
                <w:sz w:val="24"/>
                <w:szCs w:val="24"/>
              </w:rPr>
            </w:pPr>
            <w:r>
              <w:rPr>
                <w:rFonts w:hint="eastAsia" w:ascii="宋体" w:hAnsi="宋体" w:eastAsia="宋体" w:cs="宋体"/>
                <w:sz w:val="24"/>
                <w:szCs w:val="24"/>
              </w:rPr>
              <w:t>46</w:t>
            </w:r>
          </w:p>
        </w:tc>
      </w:tr>
      <w:tr w14:paraId="404B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4EDB11C6">
            <w:pPr>
              <w:jc w:val="center"/>
              <w:rPr>
                <w:rFonts w:hint="eastAsia" w:ascii="宋体" w:hAnsi="宋体" w:eastAsia="宋体" w:cs="宋体"/>
                <w:sz w:val="24"/>
                <w:szCs w:val="24"/>
              </w:rPr>
            </w:pPr>
            <w:r>
              <w:rPr>
                <w:rFonts w:hint="eastAsia" w:ascii="宋体" w:hAnsi="宋体" w:eastAsia="宋体" w:cs="宋体"/>
                <w:sz w:val="24"/>
                <w:szCs w:val="24"/>
              </w:rPr>
              <w:t>凤凰河桥</w:t>
            </w:r>
          </w:p>
        </w:tc>
        <w:tc>
          <w:tcPr>
            <w:tcW w:w="1635" w:type="dxa"/>
            <w:shd w:val="clear" w:color="000000" w:fill="FFFFFF"/>
            <w:noWrap/>
            <w:vAlign w:val="center"/>
          </w:tcPr>
          <w:p w14:paraId="71151B56">
            <w:pPr>
              <w:jc w:val="center"/>
              <w:rPr>
                <w:rFonts w:hint="eastAsia" w:ascii="宋体" w:hAnsi="宋体" w:eastAsia="宋体" w:cs="宋体"/>
                <w:sz w:val="24"/>
                <w:szCs w:val="24"/>
              </w:rPr>
            </w:pPr>
            <w:r>
              <w:rPr>
                <w:rFonts w:hint="eastAsia" w:ascii="宋体" w:hAnsi="宋体" w:eastAsia="宋体" w:cs="宋体"/>
                <w:sz w:val="24"/>
                <w:szCs w:val="24"/>
              </w:rPr>
              <w:t>600</w:t>
            </w:r>
          </w:p>
        </w:tc>
        <w:tc>
          <w:tcPr>
            <w:tcW w:w="1843" w:type="dxa"/>
            <w:shd w:val="clear" w:color="000000" w:fill="FFFFFF"/>
            <w:noWrap/>
            <w:vAlign w:val="center"/>
          </w:tcPr>
          <w:p w14:paraId="078221CF">
            <w:pPr>
              <w:jc w:val="center"/>
              <w:rPr>
                <w:rFonts w:hint="eastAsia" w:ascii="宋体" w:hAnsi="宋体" w:eastAsia="宋体" w:cs="宋体"/>
                <w:sz w:val="24"/>
                <w:szCs w:val="24"/>
              </w:rPr>
            </w:pPr>
            <w:r>
              <w:rPr>
                <w:rFonts w:hint="eastAsia" w:ascii="宋体" w:hAnsi="宋体" w:eastAsia="宋体" w:cs="宋体"/>
                <w:sz w:val="24"/>
                <w:szCs w:val="24"/>
              </w:rPr>
              <w:t>38</w:t>
            </w:r>
          </w:p>
        </w:tc>
        <w:tc>
          <w:tcPr>
            <w:tcW w:w="1466" w:type="dxa"/>
            <w:shd w:val="clear" w:color="000000" w:fill="FFFFFF"/>
            <w:noWrap/>
            <w:vAlign w:val="center"/>
          </w:tcPr>
          <w:p w14:paraId="224FC70D">
            <w:pPr>
              <w:jc w:val="center"/>
              <w:rPr>
                <w:rFonts w:hint="eastAsia" w:ascii="宋体" w:hAnsi="宋体" w:eastAsia="宋体" w:cs="宋体"/>
                <w:sz w:val="24"/>
                <w:szCs w:val="24"/>
              </w:rPr>
            </w:pPr>
            <w:r>
              <w:rPr>
                <w:rFonts w:hint="eastAsia" w:ascii="宋体" w:hAnsi="宋体" w:eastAsia="宋体" w:cs="宋体"/>
                <w:sz w:val="24"/>
                <w:szCs w:val="24"/>
              </w:rPr>
              <w:t>75</w:t>
            </w:r>
          </w:p>
        </w:tc>
      </w:tr>
      <w:tr w14:paraId="1108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4B12221A">
            <w:pPr>
              <w:jc w:val="center"/>
              <w:rPr>
                <w:rFonts w:hint="eastAsia" w:ascii="宋体" w:hAnsi="宋体" w:eastAsia="宋体" w:cs="宋体"/>
                <w:sz w:val="24"/>
                <w:szCs w:val="24"/>
              </w:rPr>
            </w:pPr>
            <w:r>
              <w:rPr>
                <w:rFonts w:hint="eastAsia" w:ascii="宋体" w:hAnsi="宋体" w:eastAsia="宋体" w:cs="宋体"/>
                <w:sz w:val="24"/>
                <w:szCs w:val="24"/>
              </w:rPr>
              <w:t>小横河桥</w:t>
            </w:r>
          </w:p>
        </w:tc>
        <w:tc>
          <w:tcPr>
            <w:tcW w:w="1635" w:type="dxa"/>
            <w:shd w:val="clear" w:color="000000" w:fill="FFFFFF"/>
            <w:noWrap/>
            <w:vAlign w:val="center"/>
          </w:tcPr>
          <w:p w14:paraId="4B2EA247">
            <w:pPr>
              <w:jc w:val="center"/>
              <w:rPr>
                <w:rFonts w:hint="eastAsia" w:ascii="宋体" w:hAnsi="宋体" w:eastAsia="宋体" w:cs="宋体"/>
                <w:sz w:val="24"/>
                <w:szCs w:val="24"/>
              </w:rPr>
            </w:pPr>
            <w:r>
              <w:rPr>
                <w:rFonts w:hint="eastAsia" w:ascii="宋体" w:hAnsi="宋体" w:eastAsia="宋体" w:cs="宋体"/>
                <w:sz w:val="24"/>
                <w:szCs w:val="24"/>
              </w:rPr>
              <w:t>600</w:t>
            </w:r>
          </w:p>
        </w:tc>
        <w:tc>
          <w:tcPr>
            <w:tcW w:w="1843" w:type="dxa"/>
            <w:shd w:val="clear" w:color="000000" w:fill="FFFFFF"/>
            <w:noWrap/>
            <w:vAlign w:val="center"/>
          </w:tcPr>
          <w:p w14:paraId="0B666416">
            <w:pPr>
              <w:jc w:val="center"/>
              <w:rPr>
                <w:rFonts w:hint="eastAsia" w:ascii="宋体" w:hAnsi="宋体" w:eastAsia="宋体" w:cs="宋体"/>
                <w:sz w:val="24"/>
                <w:szCs w:val="24"/>
              </w:rPr>
            </w:pPr>
            <w:r>
              <w:rPr>
                <w:rFonts w:hint="eastAsia" w:ascii="宋体" w:hAnsi="宋体" w:eastAsia="宋体" w:cs="宋体"/>
                <w:sz w:val="24"/>
                <w:szCs w:val="24"/>
              </w:rPr>
              <w:t>125</w:t>
            </w:r>
          </w:p>
        </w:tc>
        <w:tc>
          <w:tcPr>
            <w:tcW w:w="1466" w:type="dxa"/>
            <w:shd w:val="clear" w:color="000000" w:fill="FFFFFF"/>
            <w:noWrap/>
            <w:vAlign w:val="center"/>
          </w:tcPr>
          <w:p w14:paraId="552A6F4C">
            <w:pPr>
              <w:jc w:val="center"/>
              <w:rPr>
                <w:rFonts w:hint="eastAsia" w:ascii="宋体" w:hAnsi="宋体" w:eastAsia="宋体" w:cs="宋体"/>
                <w:sz w:val="24"/>
                <w:szCs w:val="24"/>
              </w:rPr>
            </w:pPr>
            <w:r>
              <w:rPr>
                <w:rFonts w:hint="eastAsia" w:ascii="宋体" w:hAnsi="宋体" w:eastAsia="宋体" w:cs="宋体"/>
                <w:sz w:val="24"/>
                <w:szCs w:val="24"/>
              </w:rPr>
              <w:t>191</w:t>
            </w:r>
          </w:p>
        </w:tc>
      </w:tr>
      <w:tr w14:paraId="6C38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2ADC2725">
            <w:pPr>
              <w:jc w:val="center"/>
              <w:rPr>
                <w:rFonts w:hint="eastAsia" w:ascii="宋体" w:hAnsi="宋体" w:eastAsia="宋体" w:cs="宋体"/>
                <w:sz w:val="24"/>
                <w:szCs w:val="24"/>
              </w:rPr>
            </w:pPr>
            <w:r>
              <w:rPr>
                <w:rFonts w:hint="eastAsia" w:ascii="宋体" w:hAnsi="宋体" w:eastAsia="宋体" w:cs="宋体"/>
                <w:sz w:val="24"/>
                <w:szCs w:val="24"/>
              </w:rPr>
              <w:t>常林桥</w:t>
            </w:r>
          </w:p>
        </w:tc>
        <w:tc>
          <w:tcPr>
            <w:tcW w:w="1635" w:type="dxa"/>
            <w:shd w:val="clear" w:color="000000" w:fill="FFFFFF"/>
            <w:noWrap/>
            <w:vAlign w:val="center"/>
          </w:tcPr>
          <w:p w14:paraId="689865C3">
            <w:pPr>
              <w:jc w:val="center"/>
              <w:rPr>
                <w:rFonts w:hint="eastAsia" w:ascii="宋体" w:hAnsi="宋体" w:eastAsia="宋体" w:cs="宋体"/>
                <w:sz w:val="24"/>
                <w:szCs w:val="24"/>
              </w:rPr>
            </w:pPr>
            <w:r>
              <w:rPr>
                <w:rFonts w:hint="eastAsia" w:ascii="宋体" w:hAnsi="宋体" w:eastAsia="宋体" w:cs="宋体"/>
                <w:sz w:val="24"/>
                <w:szCs w:val="24"/>
              </w:rPr>
              <w:t>600</w:t>
            </w:r>
          </w:p>
        </w:tc>
        <w:tc>
          <w:tcPr>
            <w:tcW w:w="1843" w:type="dxa"/>
            <w:shd w:val="clear" w:color="000000" w:fill="FFFFFF"/>
            <w:noWrap/>
            <w:vAlign w:val="center"/>
          </w:tcPr>
          <w:p w14:paraId="3D2E5DCB">
            <w:pPr>
              <w:jc w:val="center"/>
              <w:rPr>
                <w:rFonts w:hint="eastAsia" w:ascii="宋体" w:hAnsi="宋体" w:eastAsia="宋体" w:cs="宋体"/>
                <w:sz w:val="24"/>
                <w:szCs w:val="24"/>
              </w:rPr>
            </w:pPr>
            <w:r>
              <w:rPr>
                <w:rFonts w:hint="eastAsia" w:ascii="宋体" w:hAnsi="宋体" w:eastAsia="宋体" w:cs="宋体"/>
                <w:sz w:val="24"/>
                <w:szCs w:val="24"/>
              </w:rPr>
              <w:t>99</w:t>
            </w:r>
          </w:p>
        </w:tc>
        <w:tc>
          <w:tcPr>
            <w:tcW w:w="1466" w:type="dxa"/>
            <w:shd w:val="clear" w:color="000000" w:fill="FFFFFF"/>
            <w:noWrap/>
            <w:vAlign w:val="center"/>
          </w:tcPr>
          <w:p w14:paraId="2FF62E5D">
            <w:pPr>
              <w:jc w:val="center"/>
              <w:rPr>
                <w:rFonts w:hint="eastAsia" w:ascii="宋体" w:hAnsi="宋体" w:eastAsia="宋体" w:cs="宋体"/>
                <w:sz w:val="24"/>
                <w:szCs w:val="24"/>
              </w:rPr>
            </w:pPr>
            <w:r>
              <w:rPr>
                <w:rFonts w:hint="eastAsia" w:ascii="宋体" w:hAnsi="宋体" w:eastAsia="宋体" w:cs="宋体"/>
                <w:sz w:val="24"/>
                <w:szCs w:val="24"/>
              </w:rPr>
              <w:t>151</w:t>
            </w:r>
          </w:p>
        </w:tc>
      </w:tr>
      <w:tr w14:paraId="64F5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18B3B031">
            <w:pPr>
              <w:jc w:val="center"/>
              <w:rPr>
                <w:rFonts w:hint="eastAsia" w:ascii="宋体" w:hAnsi="宋体" w:eastAsia="宋体" w:cs="宋体"/>
                <w:sz w:val="24"/>
                <w:szCs w:val="24"/>
              </w:rPr>
            </w:pPr>
            <w:r>
              <w:rPr>
                <w:rFonts w:hint="eastAsia" w:ascii="宋体" w:hAnsi="宋体" w:eastAsia="宋体" w:cs="宋体"/>
                <w:sz w:val="24"/>
                <w:szCs w:val="24"/>
              </w:rPr>
              <w:t>河海东路横汀桥</w:t>
            </w:r>
          </w:p>
        </w:tc>
        <w:tc>
          <w:tcPr>
            <w:tcW w:w="1635" w:type="dxa"/>
            <w:shd w:val="clear" w:color="000000" w:fill="FFFFFF"/>
            <w:noWrap/>
            <w:vAlign w:val="center"/>
          </w:tcPr>
          <w:p w14:paraId="67762B1B">
            <w:pPr>
              <w:jc w:val="center"/>
              <w:rPr>
                <w:rFonts w:hint="eastAsia" w:ascii="宋体" w:hAnsi="宋体" w:eastAsia="宋体" w:cs="宋体"/>
                <w:sz w:val="24"/>
                <w:szCs w:val="24"/>
              </w:rPr>
            </w:pPr>
            <w:r>
              <w:rPr>
                <w:rFonts w:hint="eastAsia" w:ascii="宋体" w:hAnsi="宋体" w:eastAsia="宋体" w:cs="宋体"/>
                <w:sz w:val="24"/>
                <w:szCs w:val="24"/>
              </w:rPr>
              <w:t>1200</w:t>
            </w:r>
          </w:p>
        </w:tc>
        <w:tc>
          <w:tcPr>
            <w:tcW w:w="1843" w:type="dxa"/>
            <w:shd w:val="clear" w:color="000000" w:fill="FFFFFF"/>
            <w:noWrap/>
            <w:vAlign w:val="center"/>
          </w:tcPr>
          <w:p w14:paraId="2DB5A0E6">
            <w:pPr>
              <w:jc w:val="center"/>
              <w:rPr>
                <w:rFonts w:hint="eastAsia" w:ascii="宋体" w:hAnsi="宋体" w:eastAsia="宋体" w:cs="宋体"/>
                <w:sz w:val="24"/>
                <w:szCs w:val="24"/>
              </w:rPr>
            </w:pPr>
            <w:r>
              <w:rPr>
                <w:rFonts w:hint="eastAsia" w:ascii="宋体" w:hAnsi="宋体" w:eastAsia="宋体" w:cs="宋体"/>
                <w:sz w:val="24"/>
                <w:szCs w:val="24"/>
              </w:rPr>
              <w:t>40</w:t>
            </w:r>
          </w:p>
        </w:tc>
        <w:tc>
          <w:tcPr>
            <w:tcW w:w="1466" w:type="dxa"/>
            <w:shd w:val="clear" w:color="000000" w:fill="FFFFFF"/>
            <w:noWrap/>
            <w:vAlign w:val="center"/>
          </w:tcPr>
          <w:p w14:paraId="27C682BE">
            <w:pPr>
              <w:jc w:val="center"/>
              <w:rPr>
                <w:rFonts w:hint="eastAsia" w:ascii="宋体" w:hAnsi="宋体" w:eastAsia="宋体" w:cs="宋体"/>
                <w:sz w:val="24"/>
                <w:szCs w:val="24"/>
              </w:rPr>
            </w:pPr>
            <w:r>
              <w:rPr>
                <w:rFonts w:hint="eastAsia" w:ascii="宋体" w:hAnsi="宋体" w:eastAsia="宋体" w:cs="宋体"/>
                <w:sz w:val="24"/>
                <w:szCs w:val="24"/>
              </w:rPr>
              <w:t>154</w:t>
            </w:r>
          </w:p>
        </w:tc>
      </w:tr>
      <w:tr w14:paraId="570F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050" w:type="dxa"/>
            <w:shd w:val="clear" w:color="000000" w:fill="FFFFFF"/>
            <w:noWrap/>
            <w:vAlign w:val="center"/>
          </w:tcPr>
          <w:p w14:paraId="169AD830">
            <w:pPr>
              <w:jc w:val="center"/>
              <w:rPr>
                <w:rFonts w:hint="eastAsia" w:ascii="宋体" w:hAnsi="宋体" w:eastAsia="宋体" w:cs="宋体"/>
                <w:sz w:val="24"/>
                <w:szCs w:val="24"/>
              </w:rPr>
            </w:pPr>
            <w:r>
              <w:rPr>
                <w:rFonts w:hint="eastAsia" w:ascii="宋体" w:hAnsi="宋体" w:eastAsia="宋体" w:cs="宋体"/>
                <w:sz w:val="24"/>
                <w:szCs w:val="24"/>
              </w:rPr>
              <w:t>合计</w:t>
            </w:r>
          </w:p>
        </w:tc>
        <w:tc>
          <w:tcPr>
            <w:tcW w:w="1635" w:type="dxa"/>
            <w:shd w:val="clear" w:color="000000" w:fill="FFFFFF"/>
            <w:noWrap/>
            <w:vAlign w:val="center"/>
          </w:tcPr>
          <w:p w14:paraId="3DAAA2A1">
            <w:pPr>
              <w:jc w:val="center"/>
              <w:rPr>
                <w:rFonts w:hint="eastAsia" w:ascii="宋体" w:hAnsi="宋体" w:eastAsia="宋体" w:cs="宋体"/>
                <w:sz w:val="24"/>
                <w:szCs w:val="24"/>
              </w:rPr>
            </w:pPr>
            <w:r>
              <w:rPr>
                <w:rFonts w:hint="eastAsia" w:ascii="宋体" w:hAnsi="宋体" w:eastAsia="宋体" w:cs="宋体"/>
                <w:sz w:val="24"/>
                <w:szCs w:val="24"/>
              </w:rPr>
              <w:t>/</w:t>
            </w:r>
          </w:p>
        </w:tc>
        <w:tc>
          <w:tcPr>
            <w:tcW w:w="1843" w:type="dxa"/>
            <w:shd w:val="clear" w:color="000000" w:fill="FFFFFF"/>
            <w:noWrap/>
            <w:vAlign w:val="center"/>
          </w:tcPr>
          <w:p w14:paraId="27FA5174">
            <w:pPr>
              <w:jc w:val="center"/>
              <w:rPr>
                <w:rFonts w:hint="eastAsia" w:ascii="宋体" w:hAnsi="宋体" w:eastAsia="宋体" w:cs="宋体"/>
                <w:sz w:val="24"/>
                <w:szCs w:val="24"/>
              </w:rPr>
            </w:pPr>
            <w:r>
              <w:rPr>
                <w:rFonts w:hint="eastAsia" w:ascii="宋体" w:hAnsi="宋体" w:eastAsia="宋体" w:cs="宋体"/>
                <w:sz w:val="24"/>
                <w:szCs w:val="24"/>
              </w:rPr>
              <w:t>399</w:t>
            </w:r>
          </w:p>
        </w:tc>
        <w:tc>
          <w:tcPr>
            <w:tcW w:w="1466" w:type="dxa"/>
            <w:shd w:val="clear" w:color="000000" w:fill="FFFFFF"/>
            <w:noWrap/>
            <w:vAlign w:val="center"/>
          </w:tcPr>
          <w:p w14:paraId="2D62EF4E">
            <w:pPr>
              <w:jc w:val="center"/>
              <w:rPr>
                <w:rFonts w:hint="eastAsia" w:ascii="宋体" w:hAnsi="宋体" w:eastAsia="宋体" w:cs="宋体"/>
                <w:sz w:val="24"/>
                <w:szCs w:val="24"/>
              </w:rPr>
            </w:pPr>
            <w:r>
              <w:rPr>
                <w:rFonts w:hint="eastAsia" w:ascii="宋体" w:hAnsi="宋体" w:eastAsia="宋体" w:cs="宋体"/>
                <w:sz w:val="24"/>
                <w:szCs w:val="24"/>
              </w:rPr>
              <w:t>907</w:t>
            </w:r>
          </w:p>
        </w:tc>
      </w:tr>
    </w:tbl>
    <w:p w14:paraId="563C2597">
      <w:pPr>
        <w:spacing w:line="360" w:lineRule="auto"/>
        <w:ind w:firstLine="482" w:firstLineChars="200"/>
        <w:jc w:val="left"/>
        <w:rPr>
          <w:rFonts w:ascii="宋体" w:hAnsi="宋体"/>
          <w:b/>
          <w:sz w:val="24"/>
        </w:rPr>
      </w:pPr>
      <w:r>
        <w:rPr>
          <w:rFonts w:hint="eastAsia" w:ascii="宋体" w:hAnsi="宋体"/>
          <w:b/>
          <w:sz w:val="24"/>
        </w:rPr>
        <w:t>第三条 合同文件组成</w:t>
      </w:r>
    </w:p>
    <w:p w14:paraId="38E631DE">
      <w:pPr>
        <w:spacing w:line="360" w:lineRule="auto"/>
        <w:ind w:firstLine="484" w:firstLineChars="202"/>
        <w:rPr>
          <w:rFonts w:ascii="宋体" w:hAnsi="宋体"/>
          <w:sz w:val="24"/>
        </w:rPr>
      </w:pPr>
      <w:r>
        <w:rPr>
          <w:rFonts w:hint="eastAsia" w:ascii="宋体" w:hAnsi="宋体"/>
          <w:sz w:val="24"/>
        </w:rPr>
        <w:t>合同文件应能互相解释，互为说明，其组成如下:</w:t>
      </w:r>
    </w:p>
    <w:p w14:paraId="4FE4F623">
      <w:pPr>
        <w:spacing w:line="360" w:lineRule="auto"/>
        <w:ind w:firstLine="484" w:firstLineChars="202"/>
        <w:rPr>
          <w:rFonts w:ascii="宋体" w:hAnsi="宋体"/>
          <w:sz w:val="24"/>
        </w:rPr>
      </w:pPr>
      <w:r>
        <w:rPr>
          <w:rFonts w:hint="eastAsia" w:ascii="宋体" w:hAnsi="宋体"/>
          <w:sz w:val="24"/>
        </w:rPr>
        <w:t>1.合同相关的补充协议；</w:t>
      </w:r>
    </w:p>
    <w:p w14:paraId="7C56F5F4">
      <w:pPr>
        <w:spacing w:line="360" w:lineRule="auto"/>
        <w:ind w:firstLine="484" w:firstLineChars="202"/>
        <w:rPr>
          <w:rFonts w:ascii="宋体" w:hAnsi="宋体"/>
          <w:sz w:val="24"/>
        </w:rPr>
      </w:pPr>
      <w:r>
        <w:rPr>
          <w:rFonts w:hint="eastAsia" w:ascii="宋体" w:hAnsi="宋体"/>
          <w:sz w:val="24"/>
        </w:rPr>
        <w:t>2.本合同协议书；</w:t>
      </w:r>
    </w:p>
    <w:p w14:paraId="05CDE3FB">
      <w:pPr>
        <w:spacing w:line="360" w:lineRule="auto"/>
        <w:ind w:firstLine="484" w:firstLineChars="202"/>
        <w:rPr>
          <w:rFonts w:ascii="宋体" w:hAnsi="宋体"/>
          <w:sz w:val="24"/>
        </w:rPr>
      </w:pPr>
      <w:r>
        <w:rPr>
          <w:rFonts w:hint="eastAsia" w:ascii="宋体" w:hAnsi="宋体"/>
          <w:sz w:val="24"/>
        </w:rPr>
        <w:t>3.中标</w:t>
      </w:r>
      <w:r>
        <w:rPr>
          <w:rFonts w:hint="eastAsia" w:ascii="宋体" w:hAnsi="宋体"/>
          <w:sz w:val="24"/>
          <w:lang w:val="en-US" w:eastAsia="zh-CN"/>
        </w:rPr>
        <w:t>确认</w:t>
      </w:r>
      <w:r>
        <w:rPr>
          <w:rFonts w:hint="eastAsia" w:ascii="宋体" w:hAnsi="宋体"/>
          <w:sz w:val="24"/>
        </w:rPr>
        <w:t>书；</w:t>
      </w:r>
    </w:p>
    <w:p w14:paraId="73B8C689">
      <w:pPr>
        <w:spacing w:line="360" w:lineRule="auto"/>
        <w:ind w:firstLine="484" w:firstLineChars="202"/>
        <w:rPr>
          <w:rFonts w:ascii="宋体" w:hAnsi="宋体"/>
          <w:sz w:val="24"/>
        </w:rPr>
      </w:pPr>
      <w:r>
        <w:rPr>
          <w:rFonts w:hint="eastAsia" w:ascii="宋体" w:hAnsi="宋体"/>
          <w:sz w:val="24"/>
        </w:rPr>
        <w:t>4.</w:t>
      </w:r>
      <w:r>
        <w:rPr>
          <w:rFonts w:hint="eastAsia" w:ascii="宋体" w:hAnsi="宋体"/>
          <w:sz w:val="24"/>
          <w:lang w:val="en-US" w:eastAsia="zh-CN"/>
        </w:rPr>
        <w:t>网询</w:t>
      </w:r>
      <w:r>
        <w:rPr>
          <w:rFonts w:hint="eastAsia" w:ascii="宋体" w:hAnsi="宋体"/>
          <w:sz w:val="24"/>
        </w:rPr>
        <w:t>文件及相关说明；</w:t>
      </w:r>
    </w:p>
    <w:p w14:paraId="4156E66C">
      <w:pPr>
        <w:spacing w:line="360" w:lineRule="auto"/>
        <w:ind w:firstLine="484" w:firstLineChars="202"/>
        <w:rPr>
          <w:rFonts w:ascii="宋体" w:hAnsi="宋体"/>
          <w:sz w:val="24"/>
        </w:rPr>
      </w:pPr>
      <w:r>
        <w:rPr>
          <w:rFonts w:hint="eastAsia" w:ascii="宋体" w:hAnsi="宋体"/>
          <w:sz w:val="24"/>
        </w:rPr>
        <w:t>5.</w:t>
      </w:r>
      <w:r>
        <w:rPr>
          <w:rFonts w:hint="eastAsia" w:ascii="宋体" w:hAnsi="宋体"/>
          <w:sz w:val="24"/>
          <w:lang w:val="en-US" w:eastAsia="zh-CN"/>
        </w:rPr>
        <w:t>报价单</w:t>
      </w:r>
      <w:r>
        <w:rPr>
          <w:rFonts w:hint="eastAsia" w:ascii="宋体" w:hAnsi="宋体"/>
          <w:sz w:val="24"/>
        </w:rPr>
        <w:t>及相关说明；</w:t>
      </w:r>
    </w:p>
    <w:p w14:paraId="7ACDF832">
      <w:pPr>
        <w:spacing w:line="360" w:lineRule="auto"/>
        <w:ind w:firstLine="484" w:firstLineChars="202"/>
        <w:rPr>
          <w:rFonts w:ascii="宋体" w:hAnsi="宋体"/>
          <w:sz w:val="24"/>
        </w:rPr>
      </w:pPr>
      <w:r>
        <w:rPr>
          <w:rFonts w:hint="eastAsia" w:ascii="宋体" w:hAnsi="宋体"/>
          <w:sz w:val="24"/>
        </w:rPr>
        <w:t>6.乙方在招投标过程中所作的其它承诺、声明、书面澄清等</w:t>
      </w:r>
      <w:r>
        <w:rPr>
          <w:rFonts w:ascii="宋体" w:hAnsi="宋体"/>
          <w:sz w:val="24"/>
        </w:rPr>
        <w:t>。</w:t>
      </w:r>
    </w:p>
    <w:p w14:paraId="6D918FAD">
      <w:pPr>
        <w:spacing w:line="360" w:lineRule="auto"/>
        <w:ind w:firstLine="484" w:firstLineChars="202"/>
        <w:rPr>
          <w:rFonts w:ascii="宋体" w:hAnsi="宋体"/>
          <w:sz w:val="24"/>
        </w:rPr>
      </w:pPr>
      <w:r>
        <w:rPr>
          <w:rFonts w:hint="eastAsia" w:ascii="宋体" w:hAnsi="宋体"/>
          <w:sz w:val="24"/>
        </w:rPr>
        <w:t>当合同文件出现含糊不清或不相一致，按以上优先顺序进行解释。</w:t>
      </w:r>
    </w:p>
    <w:p w14:paraId="419742B3">
      <w:pPr>
        <w:spacing w:line="360" w:lineRule="auto"/>
        <w:ind w:firstLine="482" w:firstLineChars="200"/>
        <w:jc w:val="left"/>
        <w:outlineLvl w:val="0"/>
        <w:rPr>
          <w:rFonts w:ascii="宋体" w:hAnsi="宋体"/>
          <w:b/>
          <w:sz w:val="24"/>
          <w:shd w:val="clear" w:color="FFFFFF" w:fill="D9D9D9"/>
        </w:rPr>
      </w:pPr>
      <w:r>
        <w:rPr>
          <w:rFonts w:hint="eastAsia" w:ascii="宋体" w:hAnsi="宋体"/>
          <w:b/>
          <w:sz w:val="24"/>
        </w:rPr>
        <w:t>第三条 合同价格与支付</w:t>
      </w:r>
    </w:p>
    <w:p w14:paraId="50D72907">
      <w:pPr>
        <w:snapToGrid w:val="0"/>
        <w:spacing w:line="360" w:lineRule="auto"/>
        <w:ind w:firstLine="426"/>
        <w:jc w:val="left"/>
        <w:rPr>
          <w:rFonts w:ascii="宋体" w:hAnsi="宋体" w:cs="宋体"/>
          <w:sz w:val="24"/>
        </w:rPr>
      </w:pPr>
      <w:r>
        <w:rPr>
          <w:rFonts w:hint="eastAsia" w:ascii="宋体" w:hAnsi="宋体" w:cs="宋体"/>
          <w:sz w:val="24"/>
        </w:rPr>
        <w:t>1.合同价格</w:t>
      </w:r>
    </w:p>
    <w:p w14:paraId="558EB431">
      <w:pPr>
        <w:snapToGrid w:val="0"/>
        <w:spacing w:line="360" w:lineRule="auto"/>
        <w:ind w:firstLine="480" w:firstLineChars="200"/>
        <w:jc w:val="left"/>
        <w:rPr>
          <w:rFonts w:ascii="宋体" w:hAnsi="宋体" w:cs="宋体"/>
          <w:sz w:val="24"/>
        </w:rPr>
      </w:pPr>
      <w:r>
        <w:rPr>
          <w:rFonts w:hint="eastAsia" w:ascii="宋体" w:hAnsi="宋体" w:cs="宋体"/>
          <w:sz w:val="24"/>
        </w:rPr>
        <w:t>本合同总价为</w:t>
      </w:r>
      <w:r>
        <w:rPr>
          <w:rFonts w:hint="eastAsia" w:ascii="宋体" w:hAnsi="宋体" w:cs="宋体"/>
          <w:b/>
          <w:bCs/>
          <w:sz w:val="24"/>
          <w:u w:val="single"/>
        </w:rPr>
        <w:t xml:space="preserve">        </w:t>
      </w:r>
      <w:r>
        <w:rPr>
          <w:rFonts w:hint="eastAsia" w:ascii="宋体" w:hAnsi="宋体" w:cs="宋体"/>
          <w:b/>
          <w:bCs/>
          <w:sz w:val="24"/>
        </w:rPr>
        <w:t>元</w:t>
      </w:r>
      <w:r>
        <w:rPr>
          <w:rFonts w:hint="eastAsia" w:ascii="宋体" w:hAnsi="宋体" w:cs="宋体"/>
          <w:b/>
          <w:sz w:val="24"/>
        </w:rPr>
        <w:t>（大写</w:t>
      </w:r>
      <w:r>
        <w:rPr>
          <w:rFonts w:hint="eastAsia" w:ascii="宋体" w:hAnsi="宋体" w:cs="宋体"/>
          <w:b/>
          <w:sz w:val="24"/>
          <w:u w:val="single"/>
        </w:rPr>
        <w:t xml:space="preserve">         </w:t>
      </w:r>
      <w:r>
        <w:rPr>
          <w:rFonts w:hint="eastAsia" w:ascii="宋体" w:hAnsi="宋体" w:cs="宋体"/>
          <w:b/>
          <w:sz w:val="24"/>
        </w:rPr>
        <w:t>，</w:t>
      </w:r>
      <w:r>
        <w:rPr>
          <w:rFonts w:hint="eastAsia" w:ascii="宋体" w:hAnsi="宋体" w:cs="宋体"/>
          <w:sz w:val="24"/>
        </w:rPr>
        <w:t>含税）。本合同总价包括提供本服务所需的人工、材料、运输、安全、保险、税金等全部费用，合同有效期内不作调整。</w:t>
      </w:r>
    </w:p>
    <w:p w14:paraId="73F9D116">
      <w:pPr>
        <w:numPr>
          <w:ilvl w:val="0"/>
          <w:numId w:val="1"/>
        </w:numPr>
        <w:snapToGrid w:val="0"/>
        <w:spacing w:line="360" w:lineRule="auto"/>
        <w:ind w:firstLine="426"/>
        <w:jc w:val="left"/>
        <w:rPr>
          <w:rFonts w:ascii="宋体" w:hAnsi="宋体" w:cs="宋体"/>
          <w:sz w:val="24"/>
        </w:rPr>
      </w:pPr>
      <w:r>
        <w:rPr>
          <w:rFonts w:hint="eastAsia" w:ascii="宋体" w:hAnsi="宋体" w:cs="宋体"/>
          <w:sz w:val="24"/>
        </w:rPr>
        <w:t>支付</w:t>
      </w:r>
    </w:p>
    <w:p w14:paraId="00EA962D">
      <w:pPr>
        <w:spacing w:line="360" w:lineRule="auto"/>
        <w:ind w:firstLine="480" w:firstLineChars="200"/>
        <w:jc w:val="left"/>
        <w:rPr>
          <w:rFonts w:ascii="宋体" w:hAnsi="宋体" w:cs="宋体"/>
          <w:sz w:val="24"/>
        </w:rPr>
      </w:pPr>
      <w:r>
        <w:rPr>
          <w:rFonts w:hint="eastAsia" w:ascii="宋体" w:hAnsi="宋体" w:cs="宋体"/>
          <w:sz w:val="24"/>
        </w:rPr>
        <w:t>本工程无预付款，第一遍防腐工程完工，经采购人验收合格后15日内支付至签约合同价的90%，第三年面漆完工经验收合格后15日内结清余款。</w:t>
      </w:r>
    </w:p>
    <w:p w14:paraId="7620D35C">
      <w:pPr>
        <w:spacing w:line="360" w:lineRule="auto"/>
        <w:ind w:firstLine="482" w:firstLineChars="200"/>
        <w:jc w:val="left"/>
        <w:outlineLvl w:val="0"/>
        <w:rPr>
          <w:rFonts w:ascii="宋体" w:hAnsi="宋体"/>
          <w:b/>
          <w:sz w:val="24"/>
        </w:rPr>
      </w:pPr>
      <w:r>
        <w:rPr>
          <w:rFonts w:hint="eastAsia" w:ascii="宋体" w:hAnsi="宋体"/>
          <w:b/>
          <w:sz w:val="24"/>
        </w:rPr>
        <w:t>第四条 甲方权利与义务</w:t>
      </w:r>
    </w:p>
    <w:p w14:paraId="1EB6DCFD">
      <w:pPr>
        <w:snapToGrid w:val="0"/>
        <w:spacing w:line="360" w:lineRule="auto"/>
        <w:ind w:firstLine="426"/>
        <w:jc w:val="left"/>
        <w:rPr>
          <w:rFonts w:ascii="宋体" w:hAnsi="宋体" w:cs="宋体"/>
          <w:sz w:val="24"/>
        </w:rPr>
      </w:pPr>
      <w:r>
        <w:rPr>
          <w:rFonts w:hint="eastAsia" w:ascii="宋体" w:hAnsi="宋体" w:cs="宋体"/>
          <w:sz w:val="24"/>
        </w:rPr>
        <w:t>1.甲方权利</w:t>
      </w:r>
    </w:p>
    <w:p w14:paraId="1D268040">
      <w:pPr>
        <w:snapToGrid w:val="0"/>
        <w:spacing w:line="360" w:lineRule="auto"/>
        <w:ind w:firstLine="426"/>
        <w:jc w:val="left"/>
        <w:rPr>
          <w:rFonts w:ascii="宋体" w:hAnsi="宋体" w:cs="宋体"/>
          <w:sz w:val="24"/>
        </w:rPr>
      </w:pPr>
      <w:r>
        <w:rPr>
          <w:rFonts w:hint="eastAsia" w:ascii="宋体" w:hAnsi="宋体" w:cs="宋体"/>
          <w:sz w:val="24"/>
        </w:rPr>
        <w:t>（1）甲方有权根据合同和招标文件及双方认可的技术标准，对乙方服务的及时性和工程质量进行监督考核。</w:t>
      </w:r>
    </w:p>
    <w:p w14:paraId="5A3B5824">
      <w:pPr>
        <w:snapToGrid w:val="0"/>
        <w:spacing w:line="360" w:lineRule="auto"/>
        <w:ind w:firstLine="426"/>
        <w:jc w:val="left"/>
        <w:rPr>
          <w:rFonts w:ascii="宋体" w:hAnsi="宋体" w:cs="宋体"/>
          <w:color w:val="FF0000"/>
          <w:sz w:val="24"/>
        </w:rPr>
      </w:pPr>
      <w:r>
        <w:rPr>
          <w:rFonts w:hint="eastAsia" w:ascii="宋体" w:hAnsi="宋体" w:cs="宋体"/>
          <w:sz w:val="24"/>
        </w:rPr>
        <w:t>（2）乙方服务进度或质量不符合甲方要求时，甲方有权利要求乙方增加施工人员数量或进行人员调换。</w:t>
      </w:r>
    </w:p>
    <w:p w14:paraId="123E44CF">
      <w:pPr>
        <w:snapToGrid w:val="0"/>
        <w:spacing w:line="360" w:lineRule="auto"/>
        <w:ind w:firstLine="426"/>
        <w:jc w:val="left"/>
        <w:rPr>
          <w:rFonts w:ascii="宋体" w:hAnsi="宋体" w:cs="宋体"/>
          <w:sz w:val="24"/>
        </w:rPr>
      </w:pPr>
      <w:r>
        <w:rPr>
          <w:rFonts w:hint="eastAsia" w:ascii="宋体" w:hAnsi="宋体" w:cs="宋体"/>
          <w:sz w:val="24"/>
        </w:rPr>
        <w:t>（3）甲方有权根据国家法律法规要求，并结合工作特点和实际情况修改或增添相关维修保养的要求和考核办法，这些要求和考核办法经双方签字确认后视为本合同不可分割的一部分。</w:t>
      </w:r>
    </w:p>
    <w:p w14:paraId="65CFD959">
      <w:pPr>
        <w:snapToGrid w:val="0"/>
        <w:spacing w:line="360" w:lineRule="auto"/>
        <w:ind w:firstLine="426"/>
        <w:jc w:val="left"/>
        <w:rPr>
          <w:rFonts w:ascii="宋体" w:hAnsi="宋体" w:cs="宋体"/>
          <w:sz w:val="24"/>
        </w:rPr>
      </w:pPr>
      <w:r>
        <w:rPr>
          <w:rFonts w:hint="eastAsia" w:ascii="宋体" w:hAnsi="宋体" w:cs="宋体"/>
          <w:sz w:val="24"/>
        </w:rPr>
        <w:t>2.甲方义务</w:t>
      </w:r>
    </w:p>
    <w:p w14:paraId="58005940">
      <w:pPr>
        <w:snapToGrid w:val="0"/>
        <w:spacing w:line="360" w:lineRule="auto"/>
        <w:ind w:firstLine="426"/>
        <w:jc w:val="left"/>
        <w:rPr>
          <w:rFonts w:ascii="宋体" w:hAnsi="宋体" w:cs="宋体"/>
          <w:sz w:val="24"/>
        </w:rPr>
      </w:pPr>
      <w:r>
        <w:rPr>
          <w:rFonts w:hint="eastAsia" w:ascii="宋体" w:hAnsi="宋体" w:cs="宋体"/>
          <w:sz w:val="24"/>
        </w:rPr>
        <w:t>（1）甲方应负责施工安全技术交底，协助解决施工中的技术问题。</w:t>
      </w:r>
    </w:p>
    <w:p w14:paraId="1C457A52">
      <w:pPr>
        <w:snapToGrid w:val="0"/>
        <w:spacing w:line="360" w:lineRule="auto"/>
        <w:ind w:firstLine="426"/>
        <w:jc w:val="left"/>
        <w:rPr>
          <w:rFonts w:ascii="宋体" w:hAnsi="宋体" w:cs="宋体"/>
          <w:sz w:val="24"/>
        </w:rPr>
      </w:pPr>
      <w:r>
        <w:rPr>
          <w:rFonts w:hint="eastAsia" w:ascii="宋体" w:hAnsi="宋体" w:cs="宋体"/>
          <w:sz w:val="24"/>
        </w:rPr>
        <w:t>（2）甲方负责及时提供服务工程中所需的甲供材料和设备。</w:t>
      </w:r>
    </w:p>
    <w:p w14:paraId="22282FAD">
      <w:pPr>
        <w:snapToGrid w:val="0"/>
        <w:spacing w:line="360" w:lineRule="auto"/>
        <w:ind w:firstLine="426"/>
        <w:jc w:val="left"/>
        <w:rPr>
          <w:rFonts w:ascii="宋体" w:hAnsi="宋体" w:cs="宋体"/>
          <w:sz w:val="24"/>
        </w:rPr>
      </w:pPr>
      <w:r>
        <w:rPr>
          <w:rFonts w:hint="eastAsia" w:ascii="宋体" w:hAnsi="宋体" w:cs="宋体"/>
          <w:sz w:val="24"/>
        </w:rPr>
        <w:t>（3）甲方帮助协调乙方服务过程中遇到的突发情况。</w:t>
      </w:r>
    </w:p>
    <w:p w14:paraId="10A91D3D">
      <w:pPr>
        <w:spacing w:line="360" w:lineRule="auto"/>
        <w:ind w:firstLine="482" w:firstLineChars="200"/>
        <w:jc w:val="left"/>
        <w:outlineLvl w:val="0"/>
        <w:rPr>
          <w:rFonts w:ascii="宋体" w:hAnsi="宋体"/>
          <w:b/>
          <w:sz w:val="24"/>
        </w:rPr>
      </w:pPr>
      <w:r>
        <w:rPr>
          <w:rFonts w:hint="eastAsia" w:ascii="宋体" w:hAnsi="宋体"/>
          <w:b/>
          <w:sz w:val="24"/>
        </w:rPr>
        <w:t>第五条 乙方权利与义务</w:t>
      </w:r>
    </w:p>
    <w:p w14:paraId="222C463E">
      <w:pPr>
        <w:snapToGrid w:val="0"/>
        <w:spacing w:line="360" w:lineRule="auto"/>
        <w:ind w:firstLine="426"/>
        <w:jc w:val="left"/>
        <w:rPr>
          <w:rFonts w:ascii="宋体" w:hAnsi="宋体" w:cs="宋体"/>
          <w:sz w:val="24"/>
        </w:rPr>
      </w:pPr>
      <w:r>
        <w:rPr>
          <w:rFonts w:hint="eastAsia" w:ascii="宋体" w:hAnsi="宋体" w:cs="宋体"/>
          <w:sz w:val="24"/>
        </w:rPr>
        <w:t>1.乙方权利</w:t>
      </w:r>
    </w:p>
    <w:p w14:paraId="340FF9A9">
      <w:pPr>
        <w:snapToGrid w:val="0"/>
        <w:spacing w:line="360" w:lineRule="auto"/>
        <w:ind w:firstLine="426"/>
        <w:jc w:val="left"/>
        <w:rPr>
          <w:rFonts w:ascii="宋体" w:hAnsi="宋体" w:cs="宋体"/>
          <w:sz w:val="24"/>
        </w:rPr>
      </w:pPr>
      <w:r>
        <w:rPr>
          <w:rFonts w:hint="eastAsia" w:ascii="宋体" w:hAnsi="宋体" w:cs="宋体"/>
          <w:sz w:val="24"/>
        </w:rPr>
        <w:t>（1）乙方有权拒绝甲方提出的违背法律法规、技术规范、安全作业规定的指令和要求。</w:t>
      </w:r>
    </w:p>
    <w:p w14:paraId="4AD1A3EC">
      <w:pPr>
        <w:snapToGrid w:val="0"/>
        <w:spacing w:line="360" w:lineRule="auto"/>
        <w:ind w:firstLine="426"/>
        <w:jc w:val="left"/>
        <w:rPr>
          <w:rFonts w:ascii="宋体" w:hAnsi="宋体" w:cs="宋体"/>
          <w:sz w:val="24"/>
        </w:rPr>
      </w:pPr>
      <w:r>
        <w:rPr>
          <w:rFonts w:hint="eastAsia" w:ascii="宋体" w:hAnsi="宋体" w:cs="宋体"/>
          <w:sz w:val="24"/>
        </w:rPr>
        <w:t>（2）乙方有权就甲方工作人员的不正当要求、违规行为等，向甲方的纪检监察部门或上级主管部门进行投诉。</w:t>
      </w:r>
    </w:p>
    <w:p w14:paraId="44B8A1EA">
      <w:pPr>
        <w:snapToGrid w:val="0"/>
        <w:spacing w:line="360" w:lineRule="auto"/>
        <w:ind w:firstLine="426"/>
        <w:jc w:val="left"/>
        <w:rPr>
          <w:rFonts w:ascii="宋体" w:hAnsi="宋体" w:cs="宋体"/>
          <w:sz w:val="24"/>
        </w:rPr>
      </w:pPr>
      <w:r>
        <w:rPr>
          <w:rFonts w:hint="eastAsia" w:ascii="宋体" w:hAnsi="宋体" w:cs="宋体"/>
          <w:sz w:val="24"/>
        </w:rPr>
        <w:t>2.乙方义务</w:t>
      </w:r>
    </w:p>
    <w:p w14:paraId="17D30FC1">
      <w:pPr>
        <w:snapToGrid w:val="0"/>
        <w:spacing w:line="360" w:lineRule="auto"/>
        <w:ind w:firstLine="426"/>
        <w:jc w:val="left"/>
        <w:rPr>
          <w:rFonts w:ascii="宋体" w:hAnsi="宋体" w:cs="宋体"/>
          <w:sz w:val="24"/>
        </w:rPr>
      </w:pPr>
      <w:r>
        <w:rPr>
          <w:rFonts w:hint="eastAsia" w:ascii="宋体" w:hAnsi="宋体" w:cs="宋体"/>
          <w:sz w:val="24"/>
        </w:rPr>
        <w:t xml:space="preserve">（1）乙方应根据甲方的要求，以及规范、规程等进行项目的实施。 </w:t>
      </w:r>
    </w:p>
    <w:p w14:paraId="2D310AAB">
      <w:pPr>
        <w:snapToGrid w:val="0"/>
        <w:spacing w:line="360" w:lineRule="auto"/>
        <w:ind w:firstLine="426"/>
        <w:jc w:val="left"/>
        <w:rPr>
          <w:rFonts w:ascii="宋体" w:hAnsi="宋体" w:cs="宋体"/>
          <w:sz w:val="24"/>
        </w:rPr>
      </w:pPr>
      <w:r>
        <w:rPr>
          <w:rFonts w:hint="eastAsia" w:ascii="宋体" w:hAnsi="宋体" w:cs="宋体"/>
          <w:sz w:val="24"/>
        </w:rPr>
        <w:t>（2）乙方应随时接受并配合甲方的监督检查。</w:t>
      </w:r>
    </w:p>
    <w:p w14:paraId="4012A876">
      <w:pPr>
        <w:snapToGrid w:val="0"/>
        <w:spacing w:line="360" w:lineRule="auto"/>
        <w:ind w:firstLine="426"/>
        <w:jc w:val="left"/>
        <w:rPr>
          <w:rFonts w:ascii="宋体" w:hAnsi="宋体" w:cs="宋体"/>
          <w:sz w:val="24"/>
        </w:rPr>
      </w:pPr>
      <w:r>
        <w:rPr>
          <w:rFonts w:hint="eastAsia" w:ascii="宋体" w:hAnsi="宋体" w:cs="宋体"/>
          <w:sz w:val="24"/>
        </w:rPr>
        <w:t>（3）乙方在接收到甲方的维修计划和内容后，应及时进行响应。</w:t>
      </w:r>
    </w:p>
    <w:p w14:paraId="4B3A3A5D">
      <w:pPr>
        <w:snapToGrid w:val="0"/>
        <w:spacing w:line="360" w:lineRule="auto"/>
        <w:ind w:firstLine="426"/>
        <w:jc w:val="left"/>
        <w:rPr>
          <w:rFonts w:ascii="宋体" w:hAnsi="宋体" w:cs="宋体"/>
          <w:sz w:val="24"/>
        </w:rPr>
      </w:pPr>
      <w:r>
        <w:rPr>
          <w:rFonts w:hint="eastAsia" w:ascii="宋体" w:hAnsi="宋体" w:cs="宋体"/>
          <w:sz w:val="24"/>
        </w:rPr>
        <w:t>（8）乙方应重视现场安全施工管理，加强安全防护措施，防止违章操作。</w:t>
      </w:r>
    </w:p>
    <w:p w14:paraId="5DFA71D9">
      <w:pPr>
        <w:spacing w:line="360" w:lineRule="auto"/>
        <w:ind w:firstLine="482"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第六条 服务要求</w:t>
      </w:r>
    </w:p>
    <w:p w14:paraId="1F129266">
      <w:pPr>
        <w:spacing w:line="360" w:lineRule="auto"/>
        <w:ind w:firstLine="480" w:firstLineChars="200"/>
        <w:rPr>
          <w:rFonts w:asciiTheme="minorEastAsia" w:hAnsiTheme="minorEastAsia" w:eastAsiaTheme="minorEastAsia"/>
          <w:bCs/>
          <w:sz w:val="24"/>
        </w:rPr>
      </w:pPr>
      <w:r>
        <w:rPr>
          <w:rFonts w:asciiTheme="minorEastAsia" w:hAnsiTheme="minorEastAsia" w:eastAsiaTheme="minorEastAsia"/>
          <w:bCs/>
          <w:sz w:val="24"/>
        </w:rPr>
        <w:t>1</w:t>
      </w:r>
      <w:r>
        <w:rPr>
          <w:rFonts w:hint="eastAsia" w:asciiTheme="minorEastAsia" w:hAnsiTheme="minorEastAsia" w:eastAsiaTheme="minorEastAsia"/>
          <w:bCs/>
          <w:sz w:val="24"/>
        </w:rPr>
        <w:t>.技术要求</w:t>
      </w:r>
    </w:p>
    <w:p w14:paraId="170A238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钢管表面处理和外防腐质量符合《钢结构管道涂装技术规范（YB/T9256—96）》和《给排水管道工程施工及验收规范》（GB 50268-2008）要求。</w:t>
      </w:r>
    </w:p>
    <w:p w14:paraId="26DDA19A">
      <w:pPr>
        <w:spacing w:line="360" w:lineRule="auto"/>
        <w:ind w:firstLine="480" w:firstLineChars="200"/>
        <w:rPr>
          <w:rFonts w:asciiTheme="minorEastAsia" w:hAnsiTheme="minorEastAsia" w:eastAsiaTheme="minorEastAsia"/>
          <w:bCs/>
          <w:sz w:val="24"/>
        </w:rPr>
      </w:pPr>
      <w:r>
        <w:rPr>
          <w:rFonts w:asciiTheme="minorEastAsia" w:hAnsiTheme="minorEastAsia" w:eastAsiaTheme="minorEastAsia"/>
          <w:bCs/>
          <w:sz w:val="24"/>
        </w:rPr>
        <w:t>2</w:t>
      </w:r>
      <w:r>
        <w:rPr>
          <w:rFonts w:hint="eastAsia" w:asciiTheme="minorEastAsia" w:hAnsiTheme="minorEastAsia" w:eastAsiaTheme="minorEastAsia"/>
          <w:bCs/>
          <w:sz w:val="24"/>
        </w:rPr>
        <w:t>.质量要求</w:t>
      </w:r>
    </w:p>
    <w:p w14:paraId="57EFC8CD">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为保证工程质量，完工后第三年再刷一道面漆，外防涂层干膜厚度≥0.3mm。施工中应采取有效措施防止油漆等污染物落入河流中。</w:t>
      </w:r>
    </w:p>
    <w:p w14:paraId="2D8E69B7">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3.材料及工序要求</w:t>
      </w:r>
    </w:p>
    <w:p w14:paraId="395A8AA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外防采用二底一中二面法（分别为环氧带锈底漆二道+环氧云铁防锈中间漆一道+脂肪族聚氨酯面漆二道），面漆颜色为浅蓝色（施工前确认色卡），管道上喷涂相关字样（具体样式由甲方提供），排气阀保温层拆装（材料由甲方提供）。</w:t>
      </w:r>
    </w:p>
    <w:p w14:paraId="2EC5D09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4.质量检验要求</w:t>
      </w:r>
    </w:p>
    <w:p w14:paraId="13C0918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实行工序检验及竣工验收。每道工序完成后须经甲方检验合格后方可进行下道工序施工，完工后进行竣工验收。</w:t>
      </w:r>
    </w:p>
    <w:p w14:paraId="7D527F9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5.验收要求</w:t>
      </w:r>
    </w:p>
    <w:p w14:paraId="6B2F6BB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验收参照《给水排水管道工程施工及验收规范》GB50628-2008与中国化工行业标准HG/T 2798-1996《氯化橡胶防腐涂料》相关文件进行。</w:t>
      </w:r>
    </w:p>
    <w:p w14:paraId="37A2CAAE">
      <w:pPr>
        <w:spacing w:line="360" w:lineRule="auto"/>
        <w:ind w:firstLine="482" w:firstLineChars="200"/>
        <w:jc w:val="left"/>
        <w:outlineLvl w:val="0"/>
        <w:rPr>
          <w:rFonts w:ascii="宋体" w:hAnsi="宋体"/>
          <w:b/>
          <w:sz w:val="24"/>
        </w:rPr>
      </w:pPr>
      <w:r>
        <w:rPr>
          <w:rFonts w:hint="eastAsia" w:ascii="宋体" w:hAnsi="宋体"/>
          <w:b/>
          <w:sz w:val="24"/>
        </w:rPr>
        <w:t>第七条 安全责任</w:t>
      </w:r>
    </w:p>
    <w:p w14:paraId="3219C205">
      <w:pPr>
        <w:snapToGrid w:val="0"/>
        <w:spacing w:line="360" w:lineRule="auto"/>
        <w:ind w:firstLine="480" w:firstLineChars="200"/>
        <w:jc w:val="left"/>
        <w:rPr>
          <w:rFonts w:ascii="宋体" w:hAnsi="宋体" w:cs="宋体"/>
          <w:sz w:val="24"/>
        </w:rPr>
      </w:pPr>
      <w:r>
        <w:rPr>
          <w:rFonts w:hint="eastAsia" w:ascii="宋体" w:hAnsi="宋体" w:cs="宋体"/>
          <w:sz w:val="24"/>
        </w:rPr>
        <w:t>1.乙方有义务接受甲方的工作监督和安全检查。乙方须对员工进行上岗前培训，按要求购买保险，对于需要持证上岗的工种，须持证上岗。</w:t>
      </w:r>
    </w:p>
    <w:p w14:paraId="37353F28">
      <w:pPr>
        <w:snapToGrid w:val="0"/>
        <w:spacing w:line="360" w:lineRule="auto"/>
        <w:ind w:firstLine="480" w:firstLineChars="200"/>
        <w:jc w:val="left"/>
        <w:rPr>
          <w:rFonts w:ascii="宋体" w:hAnsi="宋体" w:cs="宋体"/>
          <w:sz w:val="24"/>
        </w:rPr>
      </w:pPr>
      <w:r>
        <w:rPr>
          <w:rFonts w:hint="eastAsia" w:ascii="宋体" w:hAnsi="宋体" w:cs="宋体"/>
          <w:sz w:val="24"/>
        </w:rPr>
        <w:t>2.乙方承诺所派驻至甲方服务的员工的劳动关系隶属于乙方。在工作中发生的所有财产损失、人员伤亡事故均由乙方自行处理，与甲方无关。如因乙方处理不善造成甲方影响或损失的，甲方有权追究乙方责任。</w:t>
      </w:r>
    </w:p>
    <w:p w14:paraId="4C55238A">
      <w:pPr>
        <w:snapToGrid w:val="0"/>
        <w:spacing w:line="360" w:lineRule="auto"/>
        <w:ind w:firstLine="480" w:firstLineChars="200"/>
        <w:jc w:val="left"/>
        <w:rPr>
          <w:rFonts w:ascii="宋体" w:hAnsi="宋体" w:cs="宋体"/>
          <w:sz w:val="24"/>
        </w:rPr>
      </w:pPr>
      <w:r>
        <w:rPr>
          <w:rFonts w:hint="eastAsia" w:ascii="宋体" w:hAnsi="宋体" w:cs="宋体"/>
          <w:sz w:val="24"/>
        </w:rPr>
        <w:t>3.双方在签订本合同的同时签订安全生产协议。</w:t>
      </w:r>
    </w:p>
    <w:p w14:paraId="6D0BC65D">
      <w:pPr>
        <w:spacing w:line="360" w:lineRule="auto"/>
        <w:ind w:firstLine="482" w:firstLineChars="200"/>
        <w:jc w:val="left"/>
        <w:outlineLvl w:val="0"/>
        <w:rPr>
          <w:rFonts w:ascii="宋体" w:hAnsi="宋体"/>
          <w:b/>
          <w:sz w:val="24"/>
        </w:rPr>
      </w:pPr>
      <w:r>
        <w:rPr>
          <w:rFonts w:hint="eastAsia" w:ascii="宋体" w:hAnsi="宋体"/>
          <w:b/>
          <w:sz w:val="24"/>
        </w:rPr>
        <w:t>第八条 违约责任</w:t>
      </w:r>
    </w:p>
    <w:p w14:paraId="2C89E493">
      <w:pPr>
        <w:snapToGrid w:val="0"/>
        <w:spacing w:line="360" w:lineRule="auto"/>
        <w:ind w:firstLine="480" w:firstLineChars="200"/>
        <w:jc w:val="left"/>
        <w:rPr>
          <w:rFonts w:ascii="宋体" w:hAnsi="宋体" w:cs="宋体"/>
          <w:sz w:val="24"/>
        </w:rPr>
      </w:pPr>
      <w:r>
        <w:rPr>
          <w:rFonts w:hint="eastAsia" w:ascii="宋体" w:hAnsi="宋体" w:cs="宋体"/>
          <w:sz w:val="24"/>
        </w:rPr>
        <w:t>1.乙方应保证工作进度，由于乙方原因导致工期延误的，每延误1天，乙方应向甲方支付违约金200元。延误时间超过15天的，甲方有权解除合同。</w:t>
      </w:r>
    </w:p>
    <w:p w14:paraId="1E9CDBB1">
      <w:pPr>
        <w:snapToGrid w:val="0"/>
        <w:spacing w:line="360" w:lineRule="auto"/>
        <w:ind w:firstLine="480" w:firstLineChars="200"/>
        <w:jc w:val="left"/>
        <w:rPr>
          <w:rFonts w:ascii="宋体" w:hAnsi="宋体" w:cs="宋体"/>
          <w:sz w:val="24"/>
        </w:rPr>
      </w:pPr>
      <w:r>
        <w:rPr>
          <w:rFonts w:hint="eastAsia" w:ascii="宋体" w:hAnsi="宋体" w:cs="宋体"/>
          <w:sz w:val="24"/>
        </w:rPr>
        <w:t>2.乙方服务不符合甲方要求并影响甲方正常运行的，</w:t>
      </w:r>
      <w:r>
        <w:rPr>
          <w:rFonts w:hint="eastAsia" w:ascii="宋体" w:hAnsi="宋体" w:cs="宋体"/>
          <w:bCs/>
          <w:sz w:val="24"/>
        </w:rPr>
        <w:t>乙方应按照甲方要求进行整改。乙方未能在甲方要求的期限内整改或拒绝整改的，每拖延1天，乙方应向甲方支付违约金500元。拖延时间超过7天的，甲方有权向第三方购买相关服务，由此发生的费用由乙方承担，同时甲方有权解除合同</w:t>
      </w:r>
      <w:r>
        <w:rPr>
          <w:rFonts w:ascii="宋体" w:hAnsi="宋体" w:cs="宋体"/>
          <w:sz w:val="24"/>
        </w:rPr>
        <w:t>；</w:t>
      </w:r>
    </w:p>
    <w:p w14:paraId="64BF32CC">
      <w:pPr>
        <w:snapToGrid w:val="0"/>
        <w:spacing w:line="360" w:lineRule="auto"/>
        <w:ind w:firstLine="480" w:firstLineChars="200"/>
        <w:jc w:val="left"/>
        <w:rPr>
          <w:rFonts w:ascii="宋体" w:hAnsi="宋体" w:cs="宋体"/>
          <w:sz w:val="24"/>
        </w:rPr>
      </w:pPr>
      <w:r>
        <w:rPr>
          <w:rFonts w:hint="eastAsia" w:ascii="宋体" w:hAnsi="宋体" w:cs="宋体"/>
          <w:sz w:val="24"/>
        </w:rPr>
        <w:t>3.乙方未经甲方同意转包</w:t>
      </w:r>
      <w:r>
        <w:rPr>
          <w:rFonts w:ascii="宋体" w:hAnsi="宋体" w:cs="宋体"/>
          <w:sz w:val="24"/>
        </w:rPr>
        <w:t>、</w:t>
      </w:r>
      <w:r>
        <w:rPr>
          <w:rFonts w:hint="eastAsia" w:ascii="宋体" w:hAnsi="宋体" w:cs="宋体"/>
          <w:sz w:val="24"/>
        </w:rPr>
        <w:t>分包的</w:t>
      </w:r>
      <w:r>
        <w:rPr>
          <w:rFonts w:ascii="宋体" w:hAnsi="宋体" w:cs="宋体"/>
          <w:sz w:val="24"/>
        </w:rPr>
        <w:t>，</w:t>
      </w:r>
      <w:r>
        <w:rPr>
          <w:rFonts w:hint="eastAsia" w:ascii="宋体" w:hAnsi="宋体" w:cs="宋体"/>
          <w:sz w:val="24"/>
        </w:rPr>
        <w:t>应支付违约金1000元</w:t>
      </w:r>
      <w:r>
        <w:rPr>
          <w:rFonts w:ascii="宋体" w:hAnsi="宋体" w:cs="宋体"/>
          <w:sz w:val="24"/>
        </w:rPr>
        <w:t>/</w:t>
      </w:r>
      <w:r>
        <w:rPr>
          <w:rFonts w:hint="eastAsia" w:ascii="宋体" w:hAnsi="宋体" w:cs="宋体"/>
          <w:sz w:val="24"/>
        </w:rPr>
        <w:t>次</w:t>
      </w:r>
      <w:r>
        <w:rPr>
          <w:rFonts w:ascii="宋体" w:hAnsi="宋体" w:cs="宋体"/>
          <w:sz w:val="24"/>
        </w:rPr>
        <w:t>。</w:t>
      </w:r>
    </w:p>
    <w:p w14:paraId="6E476587">
      <w:pPr>
        <w:snapToGrid w:val="0"/>
        <w:spacing w:line="360" w:lineRule="auto"/>
        <w:ind w:firstLine="480" w:firstLineChars="200"/>
        <w:jc w:val="left"/>
        <w:rPr>
          <w:rFonts w:ascii="宋体" w:hAnsi="宋体" w:cs="宋体"/>
          <w:sz w:val="24"/>
        </w:rPr>
      </w:pPr>
      <w:r>
        <w:rPr>
          <w:rFonts w:hint="eastAsia" w:ascii="宋体" w:hAnsi="宋体" w:cs="宋体"/>
          <w:sz w:val="24"/>
        </w:rPr>
        <w:t>4.由乙方自行采购的施工材料必须符合环保及甲方的有关规定，经甲方同意后方可使用。因乙方施工材料所引起的质量、安全和经济责任，全部由乙方承担，每发生1次，乙方应向甲方支付违约金1000元。</w:t>
      </w:r>
    </w:p>
    <w:p w14:paraId="6C19D080">
      <w:pPr>
        <w:snapToGrid w:val="0"/>
        <w:spacing w:line="360" w:lineRule="auto"/>
        <w:ind w:firstLine="480" w:firstLineChars="200"/>
        <w:jc w:val="left"/>
        <w:rPr>
          <w:rFonts w:ascii="宋体" w:hAnsi="宋体" w:cs="宋体"/>
          <w:sz w:val="24"/>
        </w:rPr>
      </w:pPr>
      <w:r>
        <w:rPr>
          <w:rFonts w:hint="eastAsia" w:ascii="宋体" w:hAnsi="宋体" w:cs="宋体"/>
          <w:sz w:val="24"/>
        </w:rPr>
        <w:t>5.乙方应严格对隐蔽工程进行自检，自检合格后，向甲方报验。甲方在24小时内对隐蔽工程进行检查，检查合格后乙方可进行隐蔽；检查不合格，乙方应在甲方限定的时间内完成修整并重新报验。如乙方对隐蔽工程未报检，私自隐蔽，一经发现，甲方有权要求中乙方重新报检，每发生1次，乙方应向甲方支付违约金500元。</w:t>
      </w:r>
    </w:p>
    <w:p w14:paraId="3B35FAEE">
      <w:pPr>
        <w:spacing w:line="360" w:lineRule="auto"/>
        <w:ind w:right="31" w:rightChars="15" w:firstLine="480" w:firstLineChars="200"/>
        <w:rPr>
          <w:rFonts w:ascii="宋体" w:hAnsi="宋体"/>
          <w:sz w:val="24"/>
        </w:rPr>
      </w:pPr>
      <w:r>
        <w:rPr>
          <w:rFonts w:hint="eastAsia" w:ascii="宋体" w:hAnsi="宋体"/>
          <w:sz w:val="24"/>
        </w:rPr>
        <w:t>6.乙方未按甲方技术要求进行施工或存在偷工减料、以次充好等问题，甲方有权要求乙方重新返工，每发生1次，乙方应向甲方支付违约金800元。</w:t>
      </w:r>
    </w:p>
    <w:p w14:paraId="65844BBD">
      <w:pPr>
        <w:spacing w:line="360" w:lineRule="auto"/>
        <w:ind w:right="31" w:rightChars="15" w:firstLine="480" w:firstLineChars="200"/>
        <w:rPr>
          <w:rFonts w:ascii="宋体" w:hAnsi="宋体"/>
          <w:sz w:val="24"/>
        </w:rPr>
      </w:pPr>
      <w:r>
        <w:rPr>
          <w:rFonts w:hint="eastAsia" w:ascii="宋体" w:hAnsi="宋体"/>
          <w:sz w:val="24"/>
        </w:rPr>
        <w:t>7.本合同违约金最高不超过合同总价的30%，但乙方违约造成甲方损失的除外。</w:t>
      </w:r>
    </w:p>
    <w:p w14:paraId="070C8968">
      <w:pPr>
        <w:snapToGrid w:val="0"/>
        <w:spacing w:line="360" w:lineRule="auto"/>
        <w:ind w:firstLine="480" w:firstLineChars="200"/>
        <w:jc w:val="left"/>
        <w:rPr>
          <w:rFonts w:ascii="宋体" w:hAnsi="宋体" w:cs="宋体"/>
          <w:sz w:val="24"/>
        </w:rPr>
      </w:pPr>
      <w:r>
        <w:rPr>
          <w:rFonts w:hint="eastAsia" w:ascii="宋体" w:hAnsi="宋体" w:cs="宋体"/>
          <w:sz w:val="24"/>
        </w:rPr>
        <w:t>8.乙方在承担上述违约责任后，仍应继续履行合同规定的义务（双方解除合同的除外）。</w:t>
      </w:r>
    </w:p>
    <w:p w14:paraId="4A9CA8D6">
      <w:pPr>
        <w:spacing w:line="360" w:lineRule="auto"/>
        <w:ind w:firstLine="484" w:firstLineChars="202"/>
        <w:rPr>
          <w:rFonts w:ascii="宋体" w:hAnsi="宋体" w:cs="宋体"/>
          <w:b/>
          <w:bCs/>
          <w:color w:val="000000"/>
          <w:sz w:val="24"/>
        </w:rPr>
      </w:pPr>
      <w:r>
        <w:rPr>
          <w:rFonts w:hint="eastAsia" w:ascii="宋体" w:hAnsi="宋体" w:cs="宋体"/>
          <w:color w:val="000000"/>
          <w:sz w:val="24"/>
        </w:rPr>
        <w:t>9.本合同约定的各项违约金，甲方有权从未支付的结算款中直接扣除。违约金不足以弥补甲方损失的，甲方有权继续向乙方追偿。</w:t>
      </w:r>
    </w:p>
    <w:p w14:paraId="5D7CA2E4">
      <w:pPr>
        <w:spacing w:line="360" w:lineRule="auto"/>
        <w:ind w:firstLine="482" w:firstLineChars="200"/>
        <w:jc w:val="left"/>
        <w:rPr>
          <w:rFonts w:ascii="宋体" w:hAnsi="宋体"/>
          <w:b/>
          <w:sz w:val="24"/>
        </w:rPr>
      </w:pPr>
      <w:r>
        <w:rPr>
          <w:rFonts w:hint="eastAsia" w:ascii="宋体" w:hAnsi="宋体"/>
          <w:b/>
          <w:sz w:val="24"/>
        </w:rPr>
        <w:t>第九条 合同的变更和终止</w:t>
      </w:r>
    </w:p>
    <w:p w14:paraId="4182A113">
      <w:pPr>
        <w:spacing w:line="360" w:lineRule="auto"/>
        <w:ind w:firstLine="480" w:firstLineChars="200"/>
        <w:rPr>
          <w:rFonts w:ascii="宋体" w:hAnsi="宋体" w:cs="宋体"/>
          <w:sz w:val="24"/>
        </w:rPr>
      </w:pPr>
      <w:r>
        <w:rPr>
          <w:rFonts w:hint="eastAsia" w:ascii="宋体" w:hAnsi="宋体" w:cs="宋体"/>
          <w:sz w:val="24"/>
        </w:rPr>
        <w:t>1.</w:t>
      </w:r>
      <w:r>
        <w:rPr>
          <w:rFonts w:hint="eastAsia" w:cs="Arial" w:asciiTheme="minorEastAsia" w:hAnsiTheme="minorEastAsia" w:eastAsiaTheme="minorEastAsia"/>
          <w:bCs/>
          <w:sz w:val="24"/>
        </w:rPr>
        <w:t>本合同内容如需变更或补充，应经甲乙双方协商后，共同签署书面补充协议。</w:t>
      </w:r>
    </w:p>
    <w:p w14:paraId="7079484F">
      <w:pPr>
        <w:snapToGrid w:val="0"/>
        <w:spacing w:line="360" w:lineRule="auto"/>
        <w:ind w:firstLine="480" w:firstLineChars="200"/>
        <w:jc w:val="left"/>
        <w:rPr>
          <w:rFonts w:ascii="宋体" w:hAnsi="宋体" w:cs="宋体"/>
          <w:sz w:val="24"/>
        </w:rPr>
      </w:pPr>
      <w:r>
        <w:rPr>
          <w:rFonts w:hint="eastAsia" w:ascii="宋体" w:hAnsi="宋体" w:cs="宋体"/>
          <w:sz w:val="24"/>
        </w:rPr>
        <w:t>2.合同的解除</w:t>
      </w:r>
    </w:p>
    <w:p w14:paraId="619E3315">
      <w:pPr>
        <w:snapToGrid w:val="0"/>
        <w:spacing w:line="360" w:lineRule="auto"/>
        <w:ind w:firstLine="480" w:firstLineChars="200"/>
        <w:jc w:val="left"/>
        <w:rPr>
          <w:rFonts w:ascii="宋体" w:hAnsi="宋体" w:cs="宋体"/>
          <w:sz w:val="24"/>
        </w:rPr>
      </w:pPr>
      <w:r>
        <w:rPr>
          <w:rFonts w:hint="eastAsia" w:ascii="宋体" w:hAnsi="宋体" w:cs="宋体"/>
          <w:sz w:val="24"/>
        </w:rPr>
        <w:t>（1）如甲乙双方协商一致，可以解除合同。</w:t>
      </w:r>
    </w:p>
    <w:p w14:paraId="2727DA72">
      <w:pPr>
        <w:snapToGrid w:val="0"/>
        <w:spacing w:line="360" w:lineRule="auto"/>
        <w:ind w:firstLine="480" w:firstLineChars="200"/>
        <w:jc w:val="left"/>
        <w:rPr>
          <w:rFonts w:ascii="宋体" w:hAnsi="宋体" w:cs="宋体"/>
          <w:sz w:val="24"/>
        </w:rPr>
      </w:pPr>
      <w:r>
        <w:rPr>
          <w:rFonts w:hint="eastAsia" w:ascii="宋体" w:hAnsi="宋体" w:cs="宋体"/>
          <w:sz w:val="24"/>
        </w:rPr>
        <w:t>（2）乙方由于停止经营、破产或其他原因而无法继续履行本合同的，甲方有权单方面终止本合同。</w:t>
      </w:r>
    </w:p>
    <w:p w14:paraId="497B6EA6">
      <w:pPr>
        <w:snapToGrid w:val="0"/>
        <w:spacing w:line="360" w:lineRule="auto"/>
        <w:ind w:firstLine="480" w:firstLineChars="200"/>
        <w:jc w:val="left"/>
        <w:rPr>
          <w:rFonts w:ascii="宋体" w:hAnsi="宋体" w:cs="宋体"/>
          <w:sz w:val="24"/>
        </w:rPr>
      </w:pPr>
      <w:r>
        <w:rPr>
          <w:rFonts w:hint="eastAsia" w:ascii="宋体" w:hAnsi="宋体" w:cs="宋体"/>
          <w:sz w:val="24"/>
        </w:rPr>
        <w:t>（3）</w:t>
      </w:r>
      <w:r>
        <w:rPr>
          <w:rFonts w:hint="eastAsia" w:asciiTheme="minorEastAsia" w:hAnsiTheme="minorEastAsia" w:eastAsiaTheme="minorEastAsia"/>
          <w:sz w:val="24"/>
        </w:rPr>
        <w:t>乙方在履约过程中，有下列情形之一的，甲方有权单方解除合同，且乙方应赔偿甲方因此遭受的全部损失：</w:t>
      </w:r>
    </w:p>
    <w:p w14:paraId="46FB73D4">
      <w:pPr>
        <w:snapToGrid w:val="0"/>
        <w:spacing w:line="360" w:lineRule="auto"/>
        <w:ind w:firstLine="480" w:firstLineChars="200"/>
        <w:jc w:val="left"/>
        <w:rPr>
          <w:rFonts w:ascii="宋体" w:hAnsi="宋体" w:cs="宋体"/>
          <w:sz w:val="24"/>
        </w:rPr>
      </w:pPr>
      <w:r>
        <w:rPr>
          <w:rFonts w:hint="eastAsia" w:ascii="宋体" w:hAnsi="宋体" w:cs="宋体"/>
          <w:sz w:val="24"/>
        </w:rPr>
        <w:t>（1）乙方服务不符合合同或甲方要求，并在甲方提出明确整改意见后仍未及时整改的；</w:t>
      </w:r>
    </w:p>
    <w:p w14:paraId="07D2B9B8">
      <w:pPr>
        <w:snapToGrid w:val="0"/>
        <w:spacing w:line="360" w:lineRule="auto"/>
        <w:ind w:firstLine="480" w:firstLineChars="200"/>
        <w:jc w:val="left"/>
        <w:rPr>
          <w:rFonts w:asciiTheme="minorEastAsia" w:hAnsiTheme="minorEastAsia" w:eastAsiaTheme="minorEastAsia"/>
          <w:sz w:val="24"/>
        </w:rPr>
      </w:pPr>
      <w:r>
        <w:rPr>
          <w:rFonts w:hint="eastAsia" w:ascii="宋体" w:hAnsi="宋体"/>
          <w:sz w:val="24"/>
        </w:rPr>
        <w:t>（</w:t>
      </w:r>
      <w:r>
        <w:rPr>
          <w:rFonts w:ascii="宋体" w:hAnsi="宋体"/>
          <w:sz w:val="24"/>
        </w:rPr>
        <w:t>2</w:t>
      </w:r>
      <w:r>
        <w:rPr>
          <w:rFonts w:hint="eastAsia" w:ascii="宋体" w:hAnsi="宋体"/>
          <w:sz w:val="24"/>
        </w:rPr>
        <w:t>）</w:t>
      </w:r>
      <w:r>
        <w:rPr>
          <w:rFonts w:hint="eastAsia" w:cs="宋体" w:asciiTheme="minorEastAsia" w:hAnsiTheme="minorEastAsia" w:eastAsiaTheme="minorEastAsia"/>
          <w:sz w:val="24"/>
        </w:rPr>
        <w:t>乙方投标文件有严重不实的承诺以及其他弄虚作假情况的；</w:t>
      </w:r>
    </w:p>
    <w:p w14:paraId="3A813C6B">
      <w:pPr>
        <w:snapToGrid w:val="0"/>
        <w:spacing w:line="360" w:lineRule="auto"/>
        <w:ind w:firstLine="480" w:firstLineChars="200"/>
        <w:jc w:val="left"/>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）未经甲方书面同意对本项目</w:t>
      </w:r>
      <w:r>
        <w:rPr>
          <w:rFonts w:hint="eastAsia" w:asciiTheme="minorEastAsia" w:hAnsiTheme="minorEastAsia" w:eastAsiaTheme="minorEastAsia"/>
          <w:sz w:val="24"/>
        </w:rPr>
        <w:t>进行转包或分包的；</w:t>
      </w:r>
    </w:p>
    <w:p w14:paraId="4F9A0A04">
      <w:pPr>
        <w:widowControl/>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6</w:t>
      </w:r>
      <w:r>
        <w:rPr>
          <w:rFonts w:hint="eastAsia" w:asciiTheme="minorEastAsia" w:hAnsiTheme="minorEastAsia" w:eastAsiaTheme="minorEastAsia"/>
          <w:sz w:val="24"/>
        </w:rPr>
        <w:t>）乙方未能履行本合同约定的主要义务，经催告后在合理期限内仍未履行的，或者有其他违约行为致使不能实现合同目的的。</w:t>
      </w:r>
    </w:p>
    <w:p w14:paraId="421B4FC6">
      <w:pPr>
        <w:widowControl/>
        <w:spacing w:line="360" w:lineRule="auto"/>
        <w:ind w:firstLine="480" w:firstLineChars="200"/>
        <w:jc w:val="left"/>
        <w:rPr>
          <w:rFonts w:ascii="宋体" w:hAnsi="宋体"/>
          <w:sz w:val="24"/>
        </w:rPr>
      </w:pPr>
      <w:r>
        <w:rPr>
          <w:rFonts w:hint="eastAsia" w:asciiTheme="minorEastAsia" w:hAnsiTheme="minorEastAsia" w:eastAsiaTheme="minorEastAsia"/>
          <w:sz w:val="24"/>
        </w:rPr>
        <w:t>（7）乙方存在其他违法或严重违约的行为。</w:t>
      </w:r>
    </w:p>
    <w:p w14:paraId="1C16156A">
      <w:pPr>
        <w:spacing w:line="360" w:lineRule="auto"/>
        <w:ind w:firstLine="482" w:firstLineChars="200"/>
        <w:jc w:val="left"/>
        <w:outlineLvl w:val="0"/>
        <w:rPr>
          <w:rFonts w:ascii="宋体" w:hAnsi="宋体"/>
          <w:b/>
          <w:sz w:val="24"/>
        </w:rPr>
      </w:pPr>
      <w:r>
        <w:rPr>
          <w:rFonts w:hint="eastAsia" w:ascii="宋体" w:hAnsi="宋体"/>
          <w:b/>
          <w:sz w:val="24"/>
        </w:rPr>
        <w:t>第十条 通知和送达</w:t>
      </w:r>
    </w:p>
    <w:p w14:paraId="57826E45">
      <w:pPr>
        <w:spacing w:line="360" w:lineRule="auto"/>
        <w:ind w:firstLine="480" w:firstLineChars="200"/>
        <w:rPr>
          <w:rFonts w:ascii="宋体" w:hAnsi="宋体" w:cs="宋体"/>
          <w:sz w:val="24"/>
        </w:rPr>
      </w:pPr>
      <w:r>
        <w:rPr>
          <w:rFonts w:hint="eastAsia" w:ascii="宋体" w:hAnsi="宋体" w:cs="宋体"/>
          <w:sz w:val="24"/>
        </w:rPr>
        <w:t>1.合同履行过程中的联络及相关文件的签署，均应通过双方指定的联系人和联系方式进行。</w:t>
      </w:r>
    </w:p>
    <w:p w14:paraId="13177870">
      <w:pPr>
        <w:spacing w:line="360" w:lineRule="auto"/>
        <w:ind w:firstLine="480" w:firstLineChars="200"/>
        <w:rPr>
          <w:rFonts w:ascii="宋体" w:hAnsi="宋体" w:cs="宋体"/>
          <w:sz w:val="24"/>
        </w:rPr>
      </w:pPr>
      <w:r>
        <w:rPr>
          <w:rFonts w:hint="eastAsia" w:ascii="宋体" w:hAnsi="宋体" w:cs="宋体"/>
          <w:sz w:val="24"/>
        </w:rPr>
        <w:t>甲方联系人：李世龙，电话：18861267911</w:t>
      </w:r>
    </w:p>
    <w:p w14:paraId="7C0446C2">
      <w:pPr>
        <w:spacing w:line="360" w:lineRule="auto"/>
        <w:ind w:firstLine="480" w:firstLineChars="200"/>
        <w:rPr>
          <w:rFonts w:ascii="宋体" w:hAnsi="宋体" w:cs="宋体"/>
          <w:sz w:val="24"/>
        </w:rPr>
      </w:pPr>
      <w:r>
        <w:rPr>
          <w:rFonts w:hint="eastAsia" w:ascii="宋体" w:hAnsi="宋体" w:cs="宋体"/>
          <w:sz w:val="24"/>
        </w:rPr>
        <w:t>地址</w:t>
      </w:r>
      <w:bookmarkStart w:id="1" w:name="_GoBack"/>
      <w:bookmarkEnd w:id="1"/>
      <w:r>
        <w:rPr>
          <w:rFonts w:hint="eastAsia" w:ascii="宋体" w:hAnsi="宋体" w:cs="宋体"/>
          <w:sz w:val="24"/>
          <w:lang w:eastAsia="zh-CN"/>
        </w:rPr>
        <w:t>：</w:t>
      </w:r>
      <w:r>
        <w:rPr>
          <w:rFonts w:hint="eastAsia" w:ascii="宋体" w:hAnsi="宋体" w:cs="宋体"/>
          <w:sz w:val="24"/>
        </w:rPr>
        <w:t>常州市飞龙东路116号</w:t>
      </w:r>
    </w:p>
    <w:p w14:paraId="70D69F96">
      <w:pPr>
        <w:spacing w:line="360" w:lineRule="auto"/>
        <w:ind w:firstLine="480" w:firstLineChars="200"/>
        <w:rPr>
          <w:rFonts w:ascii="宋体" w:hAnsi="宋体" w:cs="宋体"/>
          <w:sz w:val="24"/>
        </w:rPr>
      </w:pPr>
      <w:r>
        <w:rPr>
          <w:rFonts w:hint="eastAsia" w:ascii="宋体" w:hAnsi="宋体" w:cs="宋体"/>
          <w:sz w:val="24"/>
        </w:rPr>
        <w:t>乙方联系人：_______，电话：_______________</w:t>
      </w:r>
    </w:p>
    <w:p w14:paraId="18EE50F0">
      <w:pPr>
        <w:spacing w:line="360" w:lineRule="auto"/>
        <w:ind w:firstLine="480" w:firstLineChars="200"/>
        <w:rPr>
          <w:rFonts w:ascii="宋体" w:hAnsi="宋体" w:cs="宋体"/>
          <w:sz w:val="24"/>
        </w:rPr>
      </w:pPr>
      <w:r>
        <w:rPr>
          <w:rFonts w:hint="eastAsia" w:ascii="宋体" w:hAnsi="宋体" w:cs="宋体"/>
          <w:sz w:val="24"/>
        </w:rPr>
        <w:t>地址：____________________________________</w:t>
      </w:r>
    </w:p>
    <w:p w14:paraId="4AE4A9CD">
      <w:pPr>
        <w:spacing w:line="360" w:lineRule="auto"/>
        <w:ind w:firstLine="480" w:firstLineChars="200"/>
        <w:rPr>
          <w:rFonts w:ascii="宋体" w:hAnsi="宋体" w:cs="宋体"/>
          <w:sz w:val="24"/>
        </w:rPr>
      </w:pPr>
      <w:r>
        <w:rPr>
          <w:rFonts w:hint="eastAsia" w:ascii="宋体" w:hAnsi="宋体" w:cs="宋体"/>
          <w:sz w:val="24"/>
        </w:rPr>
        <w:t>2.合同履行中的相关联络，送达到上述指定的联系人即视为送达。一方如需变更联系人、联系方式或送达地址，应当提前3个工作日书面通知另一方；未书面通知的，按本合同约定的原地址、联系人送达，无论是否实际签收，均视为有效送达。</w:t>
      </w:r>
    </w:p>
    <w:p w14:paraId="1AEAFE00">
      <w:pPr>
        <w:spacing w:line="360" w:lineRule="auto"/>
        <w:ind w:firstLine="480" w:firstLineChars="200"/>
        <w:rPr>
          <w:rFonts w:ascii="宋体" w:hAnsi="宋体" w:cs="宋体"/>
          <w:sz w:val="24"/>
        </w:rPr>
      </w:pPr>
      <w:r>
        <w:rPr>
          <w:rFonts w:hint="eastAsia" w:ascii="宋体" w:hAnsi="宋体" w:cs="宋体"/>
          <w:sz w:val="24"/>
        </w:rPr>
        <w:t>3.合同履行中若产生争议，当需要提交司法裁决时，上述地址及联系人均作为司法文书的接收地址和接收人。</w:t>
      </w:r>
    </w:p>
    <w:p w14:paraId="2A278E9C">
      <w:pPr>
        <w:snapToGrid w:val="0"/>
        <w:spacing w:line="360" w:lineRule="auto"/>
        <w:ind w:firstLine="482" w:firstLineChars="200"/>
        <w:jc w:val="left"/>
        <w:outlineLvl w:val="0"/>
        <w:rPr>
          <w:rFonts w:cs="宋体" w:asciiTheme="minorEastAsia" w:hAnsiTheme="minorEastAsia" w:eastAsiaTheme="minorEastAsia"/>
          <w:b/>
          <w:bCs/>
          <w:sz w:val="24"/>
        </w:rPr>
      </w:pPr>
      <w:r>
        <w:rPr>
          <w:rFonts w:hint="eastAsia" w:cs="宋体" w:asciiTheme="minorEastAsia" w:hAnsiTheme="minorEastAsia" w:eastAsiaTheme="minorEastAsia"/>
          <w:b/>
          <w:bCs/>
          <w:sz w:val="24"/>
        </w:rPr>
        <w:t>第十一条 争议的解决</w:t>
      </w:r>
    </w:p>
    <w:p w14:paraId="58658C6B">
      <w:pPr>
        <w:snapToGrid w:val="0"/>
        <w:spacing w:line="360" w:lineRule="auto"/>
        <w:ind w:firstLine="480"/>
        <w:jc w:val="left"/>
        <w:rPr>
          <w:rFonts w:asciiTheme="minorEastAsia" w:hAnsiTheme="minorEastAsia" w:eastAsiaTheme="minorEastAsia"/>
          <w:sz w:val="24"/>
        </w:rPr>
      </w:pPr>
      <w:r>
        <w:rPr>
          <w:rFonts w:hint="eastAsia" w:asciiTheme="minorEastAsia" w:hAnsiTheme="minorEastAsia" w:eastAsiaTheme="minorEastAsia"/>
          <w:sz w:val="24"/>
        </w:rPr>
        <w:t>1.因本合同引起的或与本合同有关的任何争议，双方友好协商解决，如双方不能协商解决的，任何一方均可向常州仲裁委员会申请仲裁。</w:t>
      </w:r>
      <w:r>
        <w:rPr>
          <w:rFonts w:hint="eastAsia" w:ascii="宋体" w:hAnsi="宋体" w:cs="宋体"/>
          <w:color w:val="000000"/>
          <w:sz w:val="24"/>
        </w:rPr>
        <w:t>该裁决是终局的，对双方均具有约束力。</w:t>
      </w:r>
    </w:p>
    <w:p w14:paraId="03A19BB6">
      <w:pPr>
        <w:spacing w:line="360" w:lineRule="auto"/>
        <w:ind w:firstLine="480" w:firstLineChars="200"/>
        <w:rPr>
          <w:rFonts w:ascii="宋体" w:hAnsi="宋体" w:cs="宋体"/>
          <w:color w:val="000000"/>
          <w:sz w:val="24"/>
        </w:rPr>
      </w:pPr>
      <w:r>
        <w:rPr>
          <w:rFonts w:hint="eastAsia" w:ascii="宋体" w:hAnsi="宋体" w:cs="宋体"/>
          <w:sz w:val="24"/>
        </w:rPr>
        <w:t>2.在仲裁期间，除有争议条款外，其他条款继续有效，乙方不得以解决争议为由拒绝履行本协议中没有争议的其他条款。</w:t>
      </w:r>
    </w:p>
    <w:p w14:paraId="794DB828">
      <w:pPr>
        <w:spacing w:line="360" w:lineRule="auto"/>
        <w:ind w:firstLine="482" w:firstLineChars="200"/>
        <w:jc w:val="left"/>
        <w:outlineLvl w:val="0"/>
        <w:rPr>
          <w:rFonts w:ascii="宋体" w:hAnsi="宋体"/>
          <w:b/>
          <w:sz w:val="24"/>
        </w:rPr>
      </w:pPr>
      <w:r>
        <w:rPr>
          <w:rFonts w:hint="eastAsia" w:ascii="宋体" w:hAnsi="宋体"/>
          <w:b/>
          <w:sz w:val="24"/>
        </w:rPr>
        <w:t>第十二条 合同生效及其他</w:t>
      </w:r>
    </w:p>
    <w:p w14:paraId="33254670">
      <w:pPr>
        <w:autoSpaceDE w:val="0"/>
        <w:autoSpaceDN w:val="0"/>
        <w:adjustRightInd w:val="0"/>
        <w:spacing w:line="360" w:lineRule="auto"/>
        <w:ind w:left="200" w:firstLine="240" w:firstLineChars="100"/>
        <w:jc w:val="left"/>
        <w:rPr>
          <w:rFonts w:ascii="宋体" w:hAnsi="宋体" w:cs="宋体"/>
          <w:sz w:val="24"/>
        </w:rPr>
      </w:pPr>
      <w:r>
        <w:rPr>
          <w:rFonts w:hint="eastAsia" w:ascii="宋体" w:hAnsi="宋体" w:cs="宋体"/>
          <w:sz w:val="24"/>
        </w:rPr>
        <w:t>1.</w:t>
      </w:r>
      <w:r>
        <w:rPr>
          <w:rFonts w:hint="eastAsia" w:asciiTheme="minorEastAsia" w:hAnsiTheme="minorEastAsia" w:eastAsiaTheme="minorEastAsia"/>
          <w:sz w:val="24"/>
          <w:lang w:val="zh-CN"/>
        </w:rPr>
        <w:t>本合同经甲乙双方盖章后生效。</w:t>
      </w:r>
    </w:p>
    <w:p w14:paraId="22B9D60C">
      <w:pPr>
        <w:snapToGrid w:val="0"/>
        <w:spacing w:line="360" w:lineRule="auto"/>
        <w:ind w:firstLine="480" w:firstLineChars="200"/>
        <w:jc w:val="left"/>
        <w:rPr>
          <w:rFonts w:ascii="宋体" w:hAnsi="宋体" w:cs="宋体"/>
          <w:sz w:val="24"/>
        </w:rPr>
      </w:pPr>
      <w:r>
        <w:rPr>
          <w:rFonts w:ascii="宋体" w:hAnsi="宋体" w:cs="宋体"/>
          <w:sz w:val="24"/>
        </w:rPr>
        <w:t>2</w:t>
      </w:r>
      <w:r>
        <w:rPr>
          <w:rFonts w:hint="eastAsia" w:ascii="宋体" w:hAnsi="宋体" w:cs="宋体"/>
          <w:sz w:val="24"/>
        </w:rPr>
        <w:t>.本合同一式陆份，甲方肆份、乙方贰份。</w:t>
      </w:r>
    </w:p>
    <w:p w14:paraId="5AC1200C">
      <w:pPr>
        <w:adjustRightInd w:val="0"/>
        <w:snapToGrid w:val="0"/>
        <w:spacing w:line="360" w:lineRule="auto"/>
        <w:ind w:firstLine="480"/>
        <w:contextualSpacing/>
        <w:jc w:val="left"/>
        <w:outlineLvl w:val="0"/>
        <w:rPr>
          <w:rFonts w:asciiTheme="minorEastAsia" w:hAnsiTheme="minorEastAsia" w:eastAsiaTheme="minorEastAsia"/>
          <w:b/>
          <w:sz w:val="24"/>
        </w:rPr>
      </w:pPr>
      <w:r>
        <w:rPr>
          <w:rFonts w:hint="eastAsia" w:asciiTheme="minorEastAsia" w:hAnsiTheme="minorEastAsia" w:eastAsiaTheme="minorEastAsia"/>
          <w:b/>
          <w:sz w:val="24"/>
        </w:rPr>
        <w:t>第十三条 合同附件</w:t>
      </w:r>
    </w:p>
    <w:p w14:paraId="66FC46E0">
      <w:pPr>
        <w:pStyle w:val="5"/>
        <w:spacing w:line="360" w:lineRule="auto"/>
        <w:ind w:firstLine="480" w:firstLineChars="200"/>
        <w:rPr>
          <w:rFonts w:hAnsi="宋体"/>
          <w:sz w:val="24"/>
          <w:szCs w:val="24"/>
        </w:rPr>
      </w:pPr>
      <w:r>
        <w:rPr>
          <w:rFonts w:hint="eastAsia" w:hAnsi="宋体"/>
          <w:sz w:val="24"/>
        </w:rPr>
        <w:t>附件1：字体样式及位置分布</w:t>
      </w:r>
    </w:p>
    <w:p w14:paraId="3571B8AD">
      <w:pPr>
        <w:pStyle w:val="4"/>
        <w:adjustRightInd w:val="0"/>
        <w:snapToGrid w:val="0"/>
        <w:spacing w:line="360" w:lineRule="auto"/>
        <w:ind w:firstLine="600" w:firstLineChars="250"/>
        <w:contextualSpacing/>
        <w:rPr>
          <w:rFonts w:asciiTheme="minorEastAsia" w:hAnsiTheme="minorEastAsia" w:eastAsiaTheme="minorEastAsia"/>
          <w:sz w:val="24"/>
        </w:rPr>
      </w:pPr>
    </w:p>
    <w:p w14:paraId="1DE627E5">
      <w:pPr>
        <w:pStyle w:val="4"/>
        <w:adjustRightInd w:val="0"/>
        <w:snapToGrid w:val="0"/>
        <w:spacing w:line="360" w:lineRule="auto"/>
        <w:ind w:firstLine="600" w:firstLineChars="250"/>
        <w:contextualSpacing/>
        <w:rPr>
          <w:rFonts w:asciiTheme="minorEastAsia" w:hAnsiTheme="minorEastAsia" w:eastAsiaTheme="minorEastAsia"/>
          <w:sz w:val="24"/>
        </w:rPr>
      </w:pPr>
    </w:p>
    <w:p w14:paraId="0B29266F">
      <w:pPr>
        <w:widowControl/>
        <w:spacing w:line="360" w:lineRule="auto"/>
        <w:ind w:firstLine="480" w:firstLineChars="200"/>
        <w:jc w:val="left"/>
        <w:rPr>
          <w:rFonts w:asciiTheme="minorEastAsia" w:hAnsiTheme="minorEastAsia" w:eastAsiaTheme="minorEastAsia"/>
          <w:sz w:val="24"/>
        </w:rPr>
      </w:pPr>
    </w:p>
    <w:p w14:paraId="073927EA">
      <w:pPr>
        <w:pStyle w:val="4"/>
        <w:adjustRightInd w:val="0"/>
        <w:snapToGrid w:val="0"/>
        <w:spacing w:line="360" w:lineRule="auto"/>
        <w:ind w:firstLine="600" w:firstLineChars="250"/>
        <w:contextualSpacing/>
        <w:rPr>
          <w:rFonts w:asciiTheme="minorEastAsia" w:hAnsiTheme="minorEastAsia" w:eastAsiaTheme="minorEastAsia"/>
          <w:sz w:val="24"/>
        </w:rPr>
      </w:pPr>
    </w:p>
    <w:p w14:paraId="38B0B607">
      <w:pPr>
        <w:widowControl/>
        <w:spacing w:line="360" w:lineRule="auto"/>
        <w:ind w:left="1696" w:hanging="953"/>
        <w:rPr>
          <w:rFonts w:asciiTheme="minorEastAsia" w:hAnsiTheme="minorEastAsia" w:eastAsiaTheme="minorEastAsia"/>
          <w:sz w:val="24"/>
        </w:rPr>
      </w:pPr>
      <w:r>
        <w:rPr>
          <w:rFonts w:asciiTheme="minorEastAsia" w:hAnsiTheme="minorEastAsia" w:eastAsiaTheme="minorEastAsia"/>
          <w:sz w:val="24"/>
        </w:rPr>
        <w:br w:type="page"/>
      </w:r>
    </w:p>
    <w:p w14:paraId="681613A5">
      <w:pPr>
        <w:spacing w:line="360" w:lineRule="auto"/>
        <w:rPr>
          <w:rFonts w:ascii="宋体" w:hAnsi="宋体"/>
          <w:b/>
          <w:sz w:val="24"/>
        </w:rPr>
      </w:pPr>
      <w:r>
        <w:rPr>
          <w:rFonts w:hint="eastAsia" w:ascii="宋体" w:hAnsi="宋体"/>
          <w:b/>
          <w:sz w:val="24"/>
        </w:rPr>
        <w:t>（签章页）</w:t>
      </w:r>
    </w:p>
    <w:p w14:paraId="603692AB">
      <w:pPr>
        <w:spacing w:line="360" w:lineRule="auto"/>
        <w:rPr>
          <w:rFonts w:ascii="宋体" w:hAnsi="宋体"/>
          <w:sz w:val="24"/>
        </w:rPr>
      </w:pPr>
      <w:r>
        <w:rPr>
          <w:rFonts w:hint="eastAsia" w:ascii="宋体" w:hAnsi="宋体"/>
          <w:sz w:val="24"/>
        </w:rPr>
        <w:t>甲    方：</w:t>
      </w:r>
    </w:p>
    <w:p w14:paraId="6C9B0C34">
      <w:pPr>
        <w:spacing w:line="360" w:lineRule="auto"/>
        <w:rPr>
          <w:rFonts w:ascii="宋体" w:hAnsi="宋体"/>
          <w:sz w:val="24"/>
          <w:u w:val="single"/>
        </w:rPr>
      </w:pPr>
      <w:r>
        <w:rPr>
          <w:rFonts w:hint="eastAsia" w:ascii="宋体" w:hAnsi="宋体"/>
          <w:sz w:val="24"/>
        </w:rPr>
        <w:t>单位名称（章）：</w:t>
      </w:r>
      <w:r>
        <w:rPr>
          <w:rFonts w:hint="eastAsia" w:ascii="宋体" w:hAnsi="宋体"/>
          <w:sz w:val="24"/>
          <w:u w:val="single"/>
        </w:rPr>
        <w:t>常州市城市排水有限公司</w:t>
      </w:r>
    </w:p>
    <w:p w14:paraId="269B8EF3">
      <w:pPr>
        <w:spacing w:line="360" w:lineRule="auto"/>
        <w:rPr>
          <w:rFonts w:ascii="宋体" w:hAnsi="宋体"/>
          <w:sz w:val="24"/>
          <w:u w:val="single"/>
        </w:rPr>
      </w:pPr>
      <w:r>
        <w:rPr>
          <w:rFonts w:hint="eastAsia" w:ascii="宋体" w:hAnsi="宋体"/>
          <w:sz w:val="24"/>
        </w:rPr>
        <w:t>单位地址：</w:t>
      </w:r>
      <w:r>
        <w:rPr>
          <w:rFonts w:hint="eastAsia" w:ascii="宋体" w:hAnsi="宋体"/>
          <w:sz w:val="24"/>
          <w:u w:val="single"/>
        </w:rPr>
        <w:t>常州市天宁区飞龙东路116号</w:t>
      </w:r>
    </w:p>
    <w:p w14:paraId="33B5BD4F">
      <w:pPr>
        <w:spacing w:line="360" w:lineRule="auto"/>
        <w:rPr>
          <w:rFonts w:ascii="宋体" w:hAnsi="宋体"/>
          <w:sz w:val="24"/>
        </w:rPr>
      </w:pPr>
      <w:r>
        <w:rPr>
          <w:rFonts w:hint="eastAsia" w:ascii="宋体" w:hAnsi="宋体"/>
          <w:sz w:val="24"/>
        </w:rPr>
        <w:t>法定代表人：陈波</w:t>
      </w:r>
    </w:p>
    <w:p w14:paraId="1BE369A4">
      <w:pPr>
        <w:spacing w:line="360" w:lineRule="auto"/>
        <w:rPr>
          <w:rFonts w:ascii="宋体" w:hAnsi="宋体"/>
          <w:sz w:val="24"/>
        </w:rPr>
      </w:pPr>
      <w:r>
        <w:rPr>
          <w:rFonts w:hint="eastAsia" w:ascii="宋体" w:hAnsi="宋体"/>
          <w:sz w:val="24"/>
        </w:rPr>
        <w:t>委托代理人：</w:t>
      </w:r>
    </w:p>
    <w:p w14:paraId="01A316CC">
      <w:pPr>
        <w:spacing w:line="360" w:lineRule="auto"/>
        <w:rPr>
          <w:rFonts w:ascii="宋体" w:hAnsi="宋体"/>
          <w:sz w:val="24"/>
        </w:rPr>
      </w:pPr>
      <w:r>
        <w:rPr>
          <w:rFonts w:hint="eastAsia" w:ascii="宋体" w:hAnsi="宋体"/>
          <w:sz w:val="24"/>
        </w:rPr>
        <w:t>联系电话：</w:t>
      </w:r>
    </w:p>
    <w:p w14:paraId="267A40A7">
      <w:pPr>
        <w:spacing w:line="360" w:lineRule="auto"/>
        <w:rPr>
          <w:rFonts w:ascii="宋体" w:hAnsi="宋体"/>
          <w:sz w:val="24"/>
        </w:rPr>
      </w:pPr>
      <w:r>
        <w:rPr>
          <w:rFonts w:hint="eastAsia" w:ascii="宋体" w:hAnsi="宋体"/>
          <w:sz w:val="24"/>
        </w:rPr>
        <w:t>日  期：_</w:t>
      </w:r>
      <w:r>
        <w:rPr>
          <w:rFonts w:ascii="宋体" w:hAnsi="宋体"/>
          <w:sz w:val="24"/>
        </w:rPr>
        <w:t>_____</w:t>
      </w:r>
      <w:r>
        <w:rPr>
          <w:rFonts w:hint="eastAsia" w:ascii="宋体" w:hAnsi="宋体"/>
          <w:sz w:val="24"/>
        </w:rPr>
        <w:t>年</w:t>
      </w:r>
      <w:r>
        <w:rPr>
          <w:rFonts w:ascii="宋体" w:hAnsi="宋体"/>
          <w:sz w:val="24"/>
        </w:rPr>
        <w:t>____</w:t>
      </w:r>
      <w:r>
        <w:rPr>
          <w:rFonts w:hint="eastAsia" w:ascii="宋体" w:hAnsi="宋体"/>
          <w:sz w:val="24"/>
        </w:rPr>
        <w:t>月</w:t>
      </w:r>
      <w:r>
        <w:rPr>
          <w:rFonts w:ascii="宋体" w:hAnsi="宋体"/>
          <w:sz w:val="24"/>
        </w:rPr>
        <w:t>____</w:t>
      </w:r>
      <w:r>
        <w:rPr>
          <w:rFonts w:hint="eastAsia" w:ascii="宋体" w:hAnsi="宋体"/>
          <w:sz w:val="24"/>
        </w:rPr>
        <w:t>日</w:t>
      </w:r>
    </w:p>
    <w:p w14:paraId="131E6F2D">
      <w:pPr>
        <w:spacing w:line="360" w:lineRule="auto"/>
        <w:rPr>
          <w:rFonts w:ascii="宋体" w:hAnsi="宋体"/>
          <w:sz w:val="24"/>
        </w:rPr>
      </w:pPr>
    </w:p>
    <w:p w14:paraId="45952347">
      <w:pPr>
        <w:spacing w:line="360" w:lineRule="auto"/>
        <w:rPr>
          <w:rFonts w:ascii="宋体" w:hAnsi="宋体"/>
          <w:sz w:val="24"/>
        </w:rPr>
      </w:pPr>
      <w:r>
        <w:rPr>
          <w:rFonts w:hint="eastAsia" w:ascii="宋体" w:hAnsi="宋体"/>
          <w:sz w:val="24"/>
        </w:rPr>
        <w:t>乙    方：</w:t>
      </w:r>
    </w:p>
    <w:p w14:paraId="6C7EC105">
      <w:pPr>
        <w:spacing w:line="360" w:lineRule="auto"/>
        <w:rPr>
          <w:rFonts w:ascii="宋体" w:hAnsi="宋体"/>
          <w:sz w:val="24"/>
          <w:u w:val="single"/>
        </w:rPr>
      </w:pPr>
      <w:r>
        <w:rPr>
          <w:rFonts w:hint="eastAsia" w:ascii="宋体" w:hAnsi="宋体"/>
          <w:sz w:val="24"/>
        </w:rPr>
        <w:t>单位名称（章）：</w:t>
      </w:r>
    </w:p>
    <w:p w14:paraId="178E93D7">
      <w:pPr>
        <w:spacing w:line="360" w:lineRule="auto"/>
        <w:rPr>
          <w:rFonts w:ascii="宋体" w:hAnsi="宋体"/>
          <w:sz w:val="24"/>
          <w:u w:val="single"/>
        </w:rPr>
      </w:pPr>
      <w:r>
        <w:rPr>
          <w:rFonts w:hint="eastAsia" w:ascii="宋体" w:hAnsi="宋体"/>
          <w:sz w:val="24"/>
        </w:rPr>
        <w:t>单位地址：</w:t>
      </w:r>
    </w:p>
    <w:p w14:paraId="6B8587A2">
      <w:pPr>
        <w:spacing w:line="360" w:lineRule="auto"/>
        <w:rPr>
          <w:rFonts w:ascii="宋体" w:hAnsi="宋体"/>
          <w:sz w:val="24"/>
        </w:rPr>
      </w:pPr>
      <w:r>
        <w:rPr>
          <w:rFonts w:hint="eastAsia" w:ascii="宋体" w:hAnsi="宋体"/>
          <w:sz w:val="24"/>
        </w:rPr>
        <w:t>法定代表人：</w:t>
      </w:r>
    </w:p>
    <w:p w14:paraId="3568736F">
      <w:pPr>
        <w:spacing w:line="360" w:lineRule="auto"/>
        <w:rPr>
          <w:rFonts w:ascii="宋体" w:hAnsi="宋体"/>
          <w:sz w:val="24"/>
        </w:rPr>
      </w:pPr>
      <w:r>
        <w:rPr>
          <w:rFonts w:hint="eastAsia" w:ascii="宋体" w:hAnsi="宋体"/>
          <w:sz w:val="24"/>
        </w:rPr>
        <w:t>委托代理人：</w:t>
      </w:r>
    </w:p>
    <w:p w14:paraId="0238FD59">
      <w:pPr>
        <w:spacing w:line="360" w:lineRule="auto"/>
        <w:rPr>
          <w:rFonts w:ascii="宋体" w:hAnsi="宋体"/>
          <w:sz w:val="24"/>
        </w:rPr>
      </w:pPr>
      <w:r>
        <w:rPr>
          <w:rFonts w:hint="eastAsia" w:ascii="宋体" w:hAnsi="宋体"/>
          <w:sz w:val="24"/>
        </w:rPr>
        <w:t>联系电话：</w:t>
      </w:r>
    </w:p>
    <w:p w14:paraId="47AF1CEA">
      <w:pPr>
        <w:spacing w:line="360" w:lineRule="auto"/>
        <w:rPr>
          <w:rFonts w:ascii="宋体" w:hAnsi="宋体"/>
          <w:sz w:val="24"/>
        </w:rPr>
      </w:pPr>
      <w:r>
        <w:rPr>
          <w:rFonts w:hint="eastAsia" w:ascii="宋体" w:hAnsi="宋体"/>
          <w:sz w:val="24"/>
        </w:rPr>
        <w:t>日  期：_</w:t>
      </w:r>
      <w:r>
        <w:rPr>
          <w:rFonts w:ascii="宋体" w:hAnsi="宋体"/>
          <w:sz w:val="24"/>
        </w:rPr>
        <w:t>_____</w:t>
      </w:r>
      <w:r>
        <w:rPr>
          <w:rFonts w:hint="eastAsia" w:ascii="宋体" w:hAnsi="宋体"/>
          <w:sz w:val="24"/>
        </w:rPr>
        <w:t>年</w:t>
      </w:r>
      <w:r>
        <w:rPr>
          <w:rFonts w:ascii="宋体" w:hAnsi="宋体"/>
          <w:sz w:val="24"/>
        </w:rPr>
        <w:t>____</w:t>
      </w:r>
      <w:r>
        <w:rPr>
          <w:rFonts w:hint="eastAsia" w:ascii="宋体" w:hAnsi="宋体"/>
          <w:sz w:val="24"/>
        </w:rPr>
        <w:t>月</w:t>
      </w:r>
      <w:r>
        <w:rPr>
          <w:rFonts w:ascii="宋体" w:hAnsi="宋体"/>
          <w:sz w:val="24"/>
        </w:rPr>
        <w:t>____</w:t>
      </w:r>
      <w:r>
        <w:rPr>
          <w:rFonts w:hint="eastAsia" w:ascii="宋体" w:hAnsi="宋体"/>
          <w:sz w:val="24"/>
        </w:rPr>
        <w:t>日</w:t>
      </w:r>
    </w:p>
    <w:p w14:paraId="45432E0A">
      <w:pPr>
        <w:pStyle w:val="4"/>
        <w:spacing w:line="360" w:lineRule="auto"/>
        <w:ind w:firstLine="480" w:firstLineChars="200"/>
        <w:rPr>
          <w:rFonts w:cs="宋体" w:asciiTheme="minorEastAsia" w:hAnsiTheme="minorEastAsia" w:eastAsiaTheme="minorEastAsia"/>
          <w:sz w:val="24"/>
        </w:rPr>
      </w:pPr>
    </w:p>
    <w:p w14:paraId="43D03594">
      <w:pPr>
        <w:pStyle w:val="4"/>
        <w:spacing w:line="360" w:lineRule="auto"/>
        <w:ind w:firstLine="480" w:firstLineChars="200"/>
        <w:rPr>
          <w:rFonts w:cs="宋体" w:asciiTheme="minorEastAsia" w:hAnsiTheme="minorEastAsia" w:eastAsiaTheme="minorEastAsia"/>
          <w:sz w:val="24"/>
        </w:rPr>
      </w:pPr>
    </w:p>
    <w:p w14:paraId="4B0D3538">
      <w:pPr>
        <w:snapToGrid w:val="0"/>
        <w:spacing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本合同由甲乙双方于本合同正文首页载明的时间于</w:t>
      </w:r>
      <w:r>
        <w:rPr>
          <w:rFonts w:hint="eastAsia" w:asciiTheme="minorEastAsia" w:hAnsiTheme="minorEastAsia" w:eastAsiaTheme="minorEastAsia"/>
          <w:szCs w:val="21"/>
          <w:u w:val="single"/>
        </w:rPr>
        <w:t xml:space="preserve">   常州市天宁区  </w:t>
      </w:r>
      <w:r>
        <w:rPr>
          <w:rFonts w:hint="eastAsia" w:asciiTheme="minorEastAsia" w:hAnsiTheme="minorEastAsia" w:eastAsiaTheme="minorEastAsia"/>
          <w:szCs w:val="21"/>
        </w:rPr>
        <w:t>签订。</w:t>
      </w:r>
    </w:p>
    <w:p w14:paraId="743623E9"/>
    <w:p w14:paraId="0146E651"/>
    <w:p w14:paraId="02781210"/>
    <w:p w14:paraId="646B2000"/>
    <w:p w14:paraId="084D518B">
      <w:r>
        <w:br w:type="page"/>
      </w:r>
    </w:p>
    <w:p w14:paraId="755C379B">
      <w:pPr>
        <w:pStyle w:val="4"/>
        <w:spacing w:line="360" w:lineRule="auto"/>
        <w:rPr>
          <w:sz w:val="24"/>
        </w:rPr>
        <w:sectPr>
          <w:footerReference r:id="rId5" w:type="default"/>
          <w:pgSz w:w="11906" w:h="16838"/>
          <w:pgMar w:top="1440" w:right="1800" w:bottom="1440" w:left="1800" w:header="851" w:footer="992" w:gutter="0"/>
          <w:cols w:space="425" w:num="1"/>
          <w:docGrid w:type="lines" w:linePitch="312" w:charSpace="0"/>
        </w:sectPr>
      </w:pPr>
    </w:p>
    <w:p w14:paraId="0016042B">
      <w:pPr>
        <w:widowControl/>
        <w:spacing w:line="360" w:lineRule="auto"/>
        <w:jc w:val="left"/>
        <w:rPr>
          <w:rFonts w:ascii="宋体" w:hAnsi="宋体"/>
          <w:b/>
          <w:bCs/>
          <w:sz w:val="24"/>
        </w:rPr>
      </w:pPr>
      <w:r>
        <w:rPr>
          <w:rFonts w:hint="eastAsia" w:ascii="宋体" w:hAnsi="宋体"/>
          <w:b/>
          <w:bCs/>
          <w:sz w:val="24"/>
        </w:rPr>
        <w:t>附件1：字体样式及位置分布</w:t>
      </w:r>
    </w:p>
    <w:p w14:paraId="6D591A45">
      <w:pPr>
        <w:widowControl/>
        <w:spacing w:line="360" w:lineRule="auto"/>
        <w:jc w:val="left"/>
        <w:rPr>
          <w:rFonts w:ascii="宋体" w:hAnsi="宋体"/>
          <w:b/>
          <w:bCs/>
          <w:sz w:val="24"/>
        </w:rPr>
      </w:pPr>
    </w:p>
    <w:p w14:paraId="5171FC12">
      <w:pPr>
        <w:widowControl/>
        <w:spacing w:line="360" w:lineRule="auto"/>
        <w:jc w:val="left"/>
        <w:rPr>
          <w:rFonts w:ascii="宋体" w:hAnsi="宋体"/>
          <w:b/>
          <w:bCs/>
          <w:sz w:val="24"/>
        </w:rPr>
      </w:pPr>
      <w:r>
        <w:rPr>
          <w:rFonts w:ascii="宋体" w:hAnsi="宋体"/>
          <w:b/>
          <w:bCs/>
          <w:sz w:val="24"/>
        </w:rPr>
        <w:drawing>
          <wp:inline distT="0" distB="0" distL="0" distR="0">
            <wp:extent cx="8838565" cy="1295400"/>
            <wp:effectExtent l="0" t="0" r="0" b="0"/>
            <wp:docPr id="3" name="图片 3"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本&#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38565" cy="1295400"/>
                    </a:xfrm>
                    <a:prstGeom prst="rect">
                      <a:avLst/>
                    </a:prstGeom>
                    <a:noFill/>
                  </pic:spPr>
                </pic:pic>
              </a:graphicData>
            </a:graphic>
          </wp:inline>
        </w:drawing>
      </w:r>
    </w:p>
    <w:p w14:paraId="6342CBB7">
      <w:pPr>
        <w:widowControl/>
        <w:spacing w:line="360" w:lineRule="auto"/>
        <w:jc w:val="left"/>
        <w:rPr>
          <w:rFonts w:ascii="宋体" w:hAnsi="宋体"/>
          <w:b/>
          <w:bCs/>
          <w:sz w:val="24"/>
        </w:rPr>
      </w:pPr>
      <w:r>
        <w:rPr>
          <w:rFonts w:ascii="宋体" w:hAnsi="宋体"/>
          <w:b/>
          <w:bCs/>
          <w:sz w:val="24"/>
        </w:rPr>
        <w:drawing>
          <wp:inline distT="0" distB="0" distL="0" distR="0">
            <wp:extent cx="1981200" cy="19056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87292" cy="1910945"/>
                    </a:xfrm>
                    <a:prstGeom prst="rect">
                      <a:avLst/>
                    </a:prstGeom>
                    <a:noFill/>
                  </pic:spPr>
                </pic:pic>
              </a:graphicData>
            </a:graphic>
          </wp:inline>
        </w:drawing>
      </w:r>
    </w:p>
    <w:p w14:paraId="2FEA395A">
      <w:pPr>
        <w:widowControl/>
        <w:spacing w:line="360" w:lineRule="auto"/>
        <w:jc w:val="left"/>
        <w:rPr>
          <w:rFonts w:ascii="宋体" w:hAnsi="宋体"/>
          <w:b/>
          <w:bCs/>
          <w:sz w:val="24"/>
        </w:rPr>
      </w:pPr>
      <w:r>
        <w:rPr>
          <w:rFonts w:ascii="宋体" w:hAnsi="宋体"/>
          <w:b/>
          <w:bCs/>
          <w:sz w:val="24"/>
        </w:rPr>
        <w:drawing>
          <wp:inline distT="0" distB="0" distL="0" distR="0">
            <wp:extent cx="5332095" cy="999490"/>
            <wp:effectExtent l="0" t="0" r="0" b="0"/>
            <wp:docPr id="1" name="图片 1"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形状&#10;&#10;中度可信度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52759" cy="1003794"/>
                    </a:xfrm>
                    <a:prstGeom prst="rect">
                      <a:avLst/>
                    </a:prstGeom>
                    <a:noFill/>
                  </pic:spPr>
                </pic:pic>
              </a:graphicData>
            </a:graphic>
          </wp:inline>
        </w:drawing>
      </w:r>
    </w:p>
    <w:sectPr>
      <w:pgSz w:w="16838" w:h="11906" w:orient="landscape"/>
      <w:pgMar w:top="1797" w:right="1440" w:bottom="1797"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132986"/>
      <w:docPartObj>
        <w:docPartGallery w:val="AutoText"/>
      </w:docPartObj>
    </w:sdtPr>
    <w:sdtContent>
      <w:sdt>
        <w:sdtPr>
          <w:id w:val="1728636285"/>
          <w:docPartObj>
            <w:docPartGallery w:val="AutoText"/>
          </w:docPartObj>
        </w:sdtPr>
        <w:sdtContent>
          <w:p w14:paraId="5078CADC">
            <w:pPr>
              <w:pStyle w:val="7"/>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p>
        </w:sdtContent>
      </w:sdt>
    </w:sdtContent>
  </w:sdt>
  <w:p w14:paraId="36DCA53F">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5DC11F"/>
    <w:multiLevelType w:val="singleLevel"/>
    <w:tmpl w:val="615DC11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F28A1"/>
    <w:rsid w:val="000170C8"/>
    <w:rsid w:val="00025EBB"/>
    <w:rsid w:val="0007404D"/>
    <w:rsid w:val="00087357"/>
    <w:rsid w:val="00093798"/>
    <w:rsid w:val="000D0845"/>
    <w:rsid w:val="000E2800"/>
    <w:rsid w:val="000F57F5"/>
    <w:rsid w:val="001278E1"/>
    <w:rsid w:val="0014307B"/>
    <w:rsid w:val="00153D39"/>
    <w:rsid w:val="001A3016"/>
    <w:rsid w:val="001A5D52"/>
    <w:rsid w:val="001C691E"/>
    <w:rsid w:val="001D1D7A"/>
    <w:rsid w:val="001F28A1"/>
    <w:rsid w:val="00221D17"/>
    <w:rsid w:val="00256771"/>
    <w:rsid w:val="002C0B6A"/>
    <w:rsid w:val="002C3D3D"/>
    <w:rsid w:val="002C6D5F"/>
    <w:rsid w:val="002D4316"/>
    <w:rsid w:val="002F6DB8"/>
    <w:rsid w:val="002F71EE"/>
    <w:rsid w:val="00304C1D"/>
    <w:rsid w:val="00310CA6"/>
    <w:rsid w:val="00317A6E"/>
    <w:rsid w:val="003207A3"/>
    <w:rsid w:val="00340CA6"/>
    <w:rsid w:val="00344001"/>
    <w:rsid w:val="00345D3C"/>
    <w:rsid w:val="0036391B"/>
    <w:rsid w:val="00363F91"/>
    <w:rsid w:val="00376B85"/>
    <w:rsid w:val="003D149B"/>
    <w:rsid w:val="004108BB"/>
    <w:rsid w:val="00423458"/>
    <w:rsid w:val="00430A42"/>
    <w:rsid w:val="00433725"/>
    <w:rsid w:val="00460D48"/>
    <w:rsid w:val="004719F3"/>
    <w:rsid w:val="00476573"/>
    <w:rsid w:val="00480E4E"/>
    <w:rsid w:val="00496350"/>
    <w:rsid w:val="004B49DA"/>
    <w:rsid w:val="004C69C3"/>
    <w:rsid w:val="004D0DAC"/>
    <w:rsid w:val="004E72BC"/>
    <w:rsid w:val="004F5E89"/>
    <w:rsid w:val="005110C2"/>
    <w:rsid w:val="00512C6F"/>
    <w:rsid w:val="00515870"/>
    <w:rsid w:val="00542A75"/>
    <w:rsid w:val="00562F41"/>
    <w:rsid w:val="00571697"/>
    <w:rsid w:val="00582BF1"/>
    <w:rsid w:val="00594FC1"/>
    <w:rsid w:val="005B77C9"/>
    <w:rsid w:val="005C7D65"/>
    <w:rsid w:val="005D1C69"/>
    <w:rsid w:val="005D2354"/>
    <w:rsid w:val="005E57C3"/>
    <w:rsid w:val="005E6C2E"/>
    <w:rsid w:val="005F539A"/>
    <w:rsid w:val="005F6B15"/>
    <w:rsid w:val="00631A0E"/>
    <w:rsid w:val="00634DE2"/>
    <w:rsid w:val="00646D4A"/>
    <w:rsid w:val="0067629E"/>
    <w:rsid w:val="00696FBC"/>
    <w:rsid w:val="006A1CF9"/>
    <w:rsid w:val="006A3826"/>
    <w:rsid w:val="006A5D3A"/>
    <w:rsid w:val="006E115E"/>
    <w:rsid w:val="006F5B1F"/>
    <w:rsid w:val="00702B6C"/>
    <w:rsid w:val="0070538B"/>
    <w:rsid w:val="00732A19"/>
    <w:rsid w:val="007453D2"/>
    <w:rsid w:val="007612CC"/>
    <w:rsid w:val="007713C5"/>
    <w:rsid w:val="0079289C"/>
    <w:rsid w:val="007A44EC"/>
    <w:rsid w:val="007B4584"/>
    <w:rsid w:val="007B5172"/>
    <w:rsid w:val="007C7BE0"/>
    <w:rsid w:val="007D1590"/>
    <w:rsid w:val="007D1EB6"/>
    <w:rsid w:val="007D388F"/>
    <w:rsid w:val="007E17F7"/>
    <w:rsid w:val="007E589A"/>
    <w:rsid w:val="007E6893"/>
    <w:rsid w:val="007F6B06"/>
    <w:rsid w:val="00821666"/>
    <w:rsid w:val="008335AB"/>
    <w:rsid w:val="00836A61"/>
    <w:rsid w:val="00840864"/>
    <w:rsid w:val="00850739"/>
    <w:rsid w:val="0086733A"/>
    <w:rsid w:val="00870C5A"/>
    <w:rsid w:val="008A6425"/>
    <w:rsid w:val="008B42CE"/>
    <w:rsid w:val="008B763B"/>
    <w:rsid w:val="008D6F52"/>
    <w:rsid w:val="008F53D8"/>
    <w:rsid w:val="009176D1"/>
    <w:rsid w:val="009268F9"/>
    <w:rsid w:val="00946FAB"/>
    <w:rsid w:val="009512A5"/>
    <w:rsid w:val="00962837"/>
    <w:rsid w:val="009973CE"/>
    <w:rsid w:val="009B4A13"/>
    <w:rsid w:val="009D11A8"/>
    <w:rsid w:val="009D41E4"/>
    <w:rsid w:val="009F317E"/>
    <w:rsid w:val="00A04C78"/>
    <w:rsid w:val="00A20420"/>
    <w:rsid w:val="00A77BC3"/>
    <w:rsid w:val="00A82961"/>
    <w:rsid w:val="00A94551"/>
    <w:rsid w:val="00AA3464"/>
    <w:rsid w:val="00AB6937"/>
    <w:rsid w:val="00AE6E7B"/>
    <w:rsid w:val="00AF14E9"/>
    <w:rsid w:val="00B115F7"/>
    <w:rsid w:val="00B12524"/>
    <w:rsid w:val="00B20895"/>
    <w:rsid w:val="00B47D03"/>
    <w:rsid w:val="00B50150"/>
    <w:rsid w:val="00B56C67"/>
    <w:rsid w:val="00BA10D9"/>
    <w:rsid w:val="00BA4460"/>
    <w:rsid w:val="00BC3EBC"/>
    <w:rsid w:val="00BC5104"/>
    <w:rsid w:val="00BD207F"/>
    <w:rsid w:val="00BD7CB6"/>
    <w:rsid w:val="00BE2EE9"/>
    <w:rsid w:val="00BF1714"/>
    <w:rsid w:val="00BF27FE"/>
    <w:rsid w:val="00C27FFA"/>
    <w:rsid w:val="00C41788"/>
    <w:rsid w:val="00C55D36"/>
    <w:rsid w:val="00C60E11"/>
    <w:rsid w:val="00C6452E"/>
    <w:rsid w:val="00C67040"/>
    <w:rsid w:val="00C75A3D"/>
    <w:rsid w:val="00C77038"/>
    <w:rsid w:val="00C904D1"/>
    <w:rsid w:val="00C94A07"/>
    <w:rsid w:val="00CA43D3"/>
    <w:rsid w:val="00CA755F"/>
    <w:rsid w:val="00CA7BA0"/>
    <w:rsid w:val="00CB7258"/>
    <w:rsid w:val="00CD457D"/>
    <w:rsid w:val="00CF40DC"/>
    <w:rsid w:val="00D024D7"/>
    <w:rsid w:val="00D57140"/>
    <w:rsid w:val="00D91A25"/>
    <w:rsid w:val="00D929F2"/>
    <w:rsid w:val="00D9489F"/>
    <w:rsid w:val="00DB261E"/>
    <w:rsid w:val="00DF7AA0"/>
    <w:rsid w:val="00E02377"/>
    <w:rsid w:val="00E02B60"/>
    <w:rsid w:val="00E167EB"/>
    <w:rsid w:val="00E332DF"/>
    <w:rsid w:val="00E567A6"/>
    <w:rsid w:val="00E71061"/>
    <w:rsid w:val="00EB6632"/>
    <w:rsid w:val="00ED1176"/>
    <w:rsid w:val="00ED5D28"/>
    <w:rsid w:val="00F22D4F"/>
    <w:rsid w:val="00F5684E"/>
    <w:rsid w:val="00F64C51"/>
    <w:rsid w:val="00F7048F"/>
    <w:rsid w:val="00F7269B"/>
    <w:rsid w:val="00F83DFF"/>
    <w:rsid w:val="00FC18FF"/>
    <w:rsid w:val="00FD3A09"/>
    <w:rsid w:val="00FD55D1"/>
    <w:rsid w:val="00FD65D2"/>
    <w:rsid w:val="00FE5493"/>
    <w:rsid w:val="00FE743F"/>
    <w:rsid w:val="00FF30D8"/>
    <w:rsid w:val="3EF01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left="0" w:firstLine="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9"/>
    <w:qFormat/>
    <w:uiPriority w:val="0"/>
    <w:pPr>
      <w:autoSpaceDE w:val="0"/>
      <w:autoSpaceDN w:val="0"/>
      <w:adjustRightInd w:val="0"/>
      <w:ind w:firstLine="420"/>
      <w:jc w:val="left"/>
    </w:pPr>
    <w:rPr>
      <w:rFonts w:ascii="宋体"/>
      <w:kern w:val="0"/>
      <w:sz w:val="24"/>
      <w:szCs w:val="20"/>
    </w:rPr>
  </w:style>
  <w:style w:type="paragraph" w:styleId="3">
    <w:name w:val="Document Map"/>
    <w:basedOn w:val="1"/>
    <w:link w:val="18"/>
    <w:semiHidden/>
    <w:unhideWhenUsed/>
    <w:uiPriority w:val="99"/>
    <w:rPr>
      <w:rFonts w:ascii="宋体"/>
      <w:sz w:val="18"/>
      <w:szCs w:val="18"/>
    </w:rPr>
  </w:style>
  <w:style w:type="paragraph" w:styleId="4">
    <w:name w:val="Body Text"/>
    <w:basedOn w:val="1"/>
    <w:link w:val="13"/>
    <w:qFormat/>
    <w:uiPriority w:val="0"/>
    <w:pPr>
      <w:spacing w:after="120"/>
    </w:pPr>
  </w:style>
  <w:style w:type="paragraph" w:styleId="5">
    <w:name w:val="Plain Text"/>
    <w:basedOn w:val="1"/>
    <w:link w:val="12"/>
    <w:qFormat/>
    <w:uiPriority w:val="99"/>
    <w:rPr>
      <w:rFonts w:ascii="宋体" w:hAnsi="Courier New"/>
      <w:szCs w:val="20"/>
    </w:rPr>
  </w:style>
  <w:style w:type="paragraph" w:styleId="6">
    <w:name w:val="Balloon Text"/>
    <w:basedOn w:val="1"/>
    <w:link w:val="17"/>
    <w:semiHidden/>
    <w:unhideWhenUsed/>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unhideWhenUsed/>
    <w:qFormat/>
    <w:uiPriority w:val="99"/>
    <w:rPr>
      <w:sz w:val="21"/>
      <w:szCs w:val="21"/>
    </w:rPr>
  </w:style>
  <w:style w:type="character" w:customStyle="1" w:styleId="12">
    <w:name w:val="纯文本 Char"/>
    <w:basedOn w:val="10"/>
    <w:link w:val="5"/>
    <w:qFormat/>
    <w:uiPriority w:val="99"/>
    <w:rPr>
      <w:rFonts w:ascii="宋体" w:hAnsi="Courier New" w:eastAsia="宋体" w:cs="Times New Roman"/>
      <w:szCs w:val="20"/>
    </w:rPr>
  </w:style>
  <w:style w:type="character" w:customStyle="1" w:styleId="13">
    <w:name w:val="正文文本 Char"/>
    <w:basedOn w:val="10"/>
    <w:link w:val="4"/>
    <w:qFormat/>
    <w:uiPriority w:val="0"/>
    <w:rPr>
      <w:rFonts w:ascii="Times New Roman" w:hAnsi="Times New Roman" w:eastAsia="宋体" w:cs="Times New Roman"/>
      <w:szCs w:val="24"/>
    </w:rPr>
  </w:style>
  <w:style w:type="character" w:customStyle="1" w:styleId="14">
    <w:name w:val="页眉 Char"/>
    <w:basedOn w:val="10"/>
    <w:link w:val="8"/>
    <w:uiPriority w:val="99"/>
    <w:rPr>
      <w:rFonts w:ascii="Times New Roman" w:hAnsi="Times New Roman" w:eastAsia="宋体" w:cs="Times New Roman"/>
      <w:sz w:val="18"/>
      <w:szCs w:val="18"/>
    </w:rPr>
  </w:style>
  <w:style w:type="character" w:customStyle="1" w:styleId="15">
    <w:name w:val="页脚 Char"/>
    <w:basedOn w:val="10"/>
    <w:link w:val="7"/>
    <w:uiPriority w:val="99"/>
    <w:rPr>
      <w:rFonts w:ascii="Times New Roman" w:hAnsi="Times New Roman" w:eastAsia="宋体" w:cs="Times New Roman"/>
      <w:sz w:val="18"/>
      <w:szCs w:val="18"/>
    </w:rPr>
  </w:style>
  <w:style w:type="paragraph" w:customStyle="1" w:styleId="16">
    <w:name w:val="Revision"/>
    <w:hidden/>
    <w:semiHidden/>
    <w:qFormat/>
    <w:uiPriority w:val="99"/>
    <w:pPr>
      <w:spacing w:line="240" w:lineRule="auto"/>
      <w:ind w:left="0" w:firstLine="0"/>
      <w:jc w:val="left"/>
    </w:pPr>
    <w:rPr>
      <w:rFonts w:ascii="Times New Roman" w:hAnsi="Times New Roman" w:eastAsia="宋体" w:cs="Times New Roman"/>
      <w:kern w:val="2"/>
      <w:sz w:val="21"/>
      <w:szCs w:val="24"/>
      <w:lang w:val="en-US" w:eastAsia="zh-CN" w:bidi="ar-SA"/>
    </w:rPr>
  </w:style>
  <w:style w:type="character" w:customStyle="1" w:styleId="17">
    <w:name w:val="批注框文本 Char"/>
    <w:basedOn w:val="10"/>
    <w:link w:val="6"/>
    <w:semiHidden/>
    <w:uiPriority w:val="99"/>
    <w:rPr>
      <w:rFonts w:ascii="Times New Roman" w:hAnsi="Times New Roman" w:eastAsia="宋体" w:cs="Times New Roman"/>
      <w:sz w:val="18"/>
      <w:szCs w:val="18"/>
    </w:rPr>
  </w:style>
  <w:style w:type="character" w:customStyle="1" w:styleId="18">
    <w:name w:val="文档结构图 Char"/>
    <w:basedOn w:val="10"/>
    <w:link w:val="3"/>
    <w:semiHidden/>
    <w:uiPriority w:val="99"/>
    <w:rPr>
      <w:rFonts w:ascii="宋体" w:hAnsi="Times New Roman" w:eastAsia="宋体" w:cs="Times New Roman"/>
      <w:sz w:val="18"/>
      <w:szCs w:val="18"/>
    </w:rPr>
  </w:style>
  <w:style w:type="character" w:customStyle="1" w:styleId="19">
    <w:name w:val="正文缩进 Char"/>
    <w:link w:val="2"/>
    <w:uiPriority w:val="0"/>
    <w:rPr>
      <w:rFonts w:ascii="宋体" w:hAnsi="Times New Roman" w:eastAsia="宋体"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4C6B7-2E34-41C9-82BC-23C0BE07AA78}">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3296</Words>
  <Characters>3584</Characters>
  <Lines>27</Lines>
  <Paragraphs>7</Paragraphs>
  <TotalTime>244</TotalTime>
  <ScaleCrop>false</ScaleCrop>
  <LinksUpToDate>false</LinksUpToDate>
  <CharactersWithSpaces>3671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2022-07-13T07:46:00Z</dcterms:created>
  <dc:creator>王文闻</dc:creator>
  <cp:lastModifiedBy>zhu</cp:lastModifiedBy>
  <cp:lastPrinted>2022-09-20T02:45:00Z</cp:lastPrinted>
  <dcterms:modified xsi:type="dcterms:W3CDTF">2026-07-10T07:07:41Z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eyJoZGlkIjoiZmY5NmM4YTI2NmYyZTM5NzY0NjJiMmRiZGU4NjYxZDEiLCJ1c2VySWQiOiI4MjU2MzkzOTcifQ==</vt:lpwstr>
  </property>
  <property fmtid="{D5CDD505-2E9C-101B-9397-08002B2CF9AE}" pid="3" name="KSOProductBuildVer">
    <vt:lpwstr>2052-12.1.0.26895</vt:lpwstr>
  </property>
  <property fmtid="{D5CDD505-2E9C-101B-9397-08002B2CF9AE}" pid="4" name="ICV">
    <vt:lpwstr>6F95AA2A0532475E85DFDFB32452DC00_12</vt:lpwstr>
  </property>
</Properties>
</file>