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5D6DA">
      <w:pPr>
        <w:pStyle w:val="7"/>
        <w:tabs>
          <w:tab w:val="left" w:pos="3882"/>
        </w:tabs>
        <w:spacing w:before="120" w:line="180" w:lineRule="auto"/>
        <w:outlineLvl w:val="9"/>
        <w:rPr>
          <w:rFonts w:ascii="宋体" w:hAnsi="宋体" w:cs="宋体"/>
        </w:rPr>
      </w:pPr>
      <w:r>
        <w:rPr>
          <w:rFonts w:hint="eastAsia" w:ascii="宋体" w:hAnsi="宋体" w:cs="宋体"/>
        </w:rPr>
        <w:t>附件</w:t>
      </w:r>
      <w:r>
        <w:rPr>
          <w:rFonts w:hint="eastAsia" w:ascii="宋体" w:hAnsi="宋体" w:cs="宋体"/>
          <w:lang w:val="en-US" w:eastAsia="zh-CN"/>
        </w:rPr>
        <w:t>1-</w:t>
      </w:r>
      <w:r>
        <w:rPr>
          <w:rFonts w:hint="eastAsia" w:ascii="宋体" w:hAnsi="宋体" w:cs="宋体"/>
        </w:rPr>
        <w:t>采购内容及要求</w:t>
      </w:r>
    </w:p>
    <w:p w14:paraId="2132B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b/>
          <w:sz w:val="24"/>
        </w:rPr>
      </w:pPr>
      <w:r>
        <w:rPr>
          <w:rFonts w:hint="eastAsia"/>
          <w:b/>
          <w:sz w:val="24"/>
        </w:rPr>
        <w:t>一、项目概述</w:t>
      </w:r>
    </w:p>
    <w:p w14:paraId="7715F696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本次采购的是常州市城市排水有限公司2026年城北厂滤池在线仪表维保服务</w:t>
      </w:r>
      <w:r>
        <w:rPr>
          <w:rFonts w:ascii="宋体" w:hAnsi="宋体"/>
          <w:b w:val="0"/>
          <w:bCs w:val="0"/>
          <w:sz w:val="24"/>
          <w:szCs w:val="24"/>
        </w:rPr>
        <w:t>。</w:t>
      </w:r>
    </w:p>
    <w:p w14:paraId="1B800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default" w:eastAsia="宋体" w:cs="Times New Roman"/>
          <w:b/>
          <w:sz w:val="24"/>
          <w:lang w:val="en-US" w:eastAsia="zh-CN"/>
        </w:rPr>
      </w:pPr>
      <w:r>
        <w:rPr>
          <w:rFonts w:hint="eastAsia" w:eastAsia="宋体" w:cs="Times New Roman"/>
          <w:b/>
          <w:sz w:val="24"/>
        </w:rPr>
        <w:t>二、</w:t>
      </w:r>
      <w:r>
        <w:rPr>
          <w:rFonts w:hint="eastAsia" w:eastAsia="宋体" w:cs="Times New Roman"/>
          <w:b/>
          <w:sz w:val="24"/>
          <w:lang w:val="en-US" w:eastAsia="zh-CN"/>
        </w:rPr>
        <w:t>服务清单</w:t>
      </w:r>
    </w:p>
    <w:tbl>
      <w:tblPr>
        <w:tblStyle w:val="8"/>
        <w:tblW w:w="8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9"/>
        <w:gridCol w:w="2982"/>
        <w:gridCol w:w="1895"/>
        <w:gridCol w:w="1080"/>
        <w:gridCol w:w="813"/>
        <w:gridCol w:w="863"/>
      </w:tblGrid>
      <w:tr w14:paraId="7413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2074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79BB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86A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型号规格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BDDB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0392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D84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</w:tr>
      <w:tr w14:paraId="1704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AD32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971E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CA80COD简易维护包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C849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71474746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D99A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E+H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3CF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2A4C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1EDF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817C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A6AC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COD在线仪专用试剂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50E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CY80COD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10F8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E+H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E1E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7108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773D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BA8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AC4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COD监测仪光栅模块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697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原厂适配CA80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1CCC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E+H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FFF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C217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2443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0AA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E48A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硝氮监测仪探头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32F2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适配CAS51D探头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4AB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E+H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B83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C7F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6F59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255E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7107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溶解氧监测仪荧光帽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F94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原厂适配COS系列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8FF9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E+H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6D73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BB64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7B535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AD9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209C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余氯监测仪维护包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284B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适配HACH余氯分析仪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340C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HACH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B8C2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1D68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3FDA3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1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8E3A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2FB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正磷酸盐在线仪成套试剂</w:t>
            </w:r>
          </w:p>
        </w:tc>
        <w:tc>
          <w:tcPr>
            <w:tcW w:w="189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30EB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适配Partech正磷酸盐分析仪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136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Partech</w:t>
            </w:r>
          </w:p>
        </w:tc>
        <w:tc>
          <w:tcPr>
            <w:tcW w:w="81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195C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5552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 w14:paraId="519BB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default" w:eastAsia="宋体" w:cs="Times New Roman"/>
          <w:b/>
          <w:sz w:val="24"/>
          <w:lang w:val="en-US" w:eastAsia="zh-CN"/>
        </w:rPr>
      </w:pPr>
      <w:r>
        <w:rPr>
          <w:rFonts w:hint="eastAsia" w:eastAsia="宋体" w:cs="Times New Roman"/>
          <w:b/>
          <w:sz w:val="24"/>
          <w:lang w:val="en-US" w:eastAsia="zh-CN"/>
        </w:rPr>
        <w:t>三、服务内容</w:t>
      </w:r>
    </w:p>
    <w:p w14:paraId="2CE0989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（一）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配套免费维保服务内容（含在报价内，无额外收费）</w:t>
      </w:r>
    </w:p>
    <w:p w14:paraId="177B6F69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全部COD、硝氮、溶解氧、余氯在线仪表整机深度清洗、管路冲洗、残渣清理；</w:t>
      </w:r>
    </w:p>
    <w:p w14:paraId="624AE849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全部仪表多点标准溶液标定、零点/斜率校准，出具标定记录；</w:t>
      </w:r>
    </w:p>
    <w:p w14:paraId="110F2DFB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（3）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所有配件现场拆装更换、光路/信号调试；</w:t>
      </w:r>
    </w:p>
    <w:p w14:paraId="691D2034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（4）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厂区运维人员现场实操培训：耗材更换、仪表标定、基础故障排查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Partech正磷成套试剂更换配比操作；</w:t>
      </w:r>
    </w:p>
    <w:p w14:paraId="22A208B3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（5）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全部仪表调试完成后72小时稳定性跟踪。</w:t>
      </w:r>
    </w:p>
    <w:p w14:paraId="63EAA954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（二）各耗材详细技术参数、功能及维护包明细</w:t>
      </w:r>
    </w:p>
    <w:p w14:paraId="098DA2D7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CA80COD简易维护包（E+H，型号71474746）</w:t>
      </w:r>
    </w:p>
    <w:p w14:paraId="78C2DFE9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（1）核心功能</w:t>
      </w:r>
    </w:p>
    <w:p w14:paraId="69D6A195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适配厂区CA80COD在线分析仪，替换管路、密封、过滤、消解易损件，消除管路渗漏、堵塞、消解精度不足问题，稳定COD在线测量数据，满足污水厂长期连续监测需求。</w:t>
      </w:r>
    </w:p>
    <w:p w14:paraId="49225F28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（2）套件内含部件</w:t>
      </w:r>
    </w:p>
    <w:p w14:paraId="7ECAF61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PTFE耐酸碱蠕动泵管、全套试剂进样管路、消解杯耐高温O型密封圈、样品前置过滤器及替换滤芯、玻璃消解杯、专用清洁毛刷/无尘布、原厂拆装说明书。</w:t>
      </w:r>
    </w:p>
    <w:p w14:paraId="4F95B845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（3）采购参数要求</w:t>
      </w:r>
    </w:p>
    <w:p w14:paraId="5CB0DDFA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必须E+H原厂全新配件，随货附带出厂合格证；无需改造设备，直接匹配现有COD分析仪；供方提供现场更换指导。</w:t>
      </w:r>
    </w:p>
    <w:p w14:paraId="680CB0F0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COD试剂CY80COD（E+H专用）</w:t>
      </w:r>
    </w:p>
    <w:p w14:paraId="2549F576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（1）产品说明</w:t>
      </w:r>
    </w:p>
    <w:p w14:paraId="6D2A7BDB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遵循国标GB/T11914重铬酸钾消解测量法，为CA80COD分析仪成套专用试剂，整套包含重铬酸钾氧化剂、消解缓冲液、稀释参比液、零点标液、1500mg/LCOD校准标液。</w:t>
      </w:r>
    </w:p>
    <w:p w14:paraId="73987481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（2）储存与使用要求</w:t>
      </w:r>
    </w:p>
    <w:p w14:paraId="6BF78449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避光10-25℃阴凉存储，保质期3个月；耐酸碱HDPE防渗漏包装；更换试剂配套废液处理指导，符合危废处置规范。</w:t>
      </w:r>
    </w:p>
    <w:p w14:paraId="314A37A4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3.硝氮监测仪探头维修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（E+H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更换滤光片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）</w:t>
      </w:r>
    </w:p>
    <w:p w14:paraId="5249288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原厂维修后性能保障：探头返厂更换全新原厂滤光片后，将执行出厂标准全套校准流程（零点校准、高低浓度硝氮标液多点比对、光路偏移修正），出具盖原厂维修章的光学校准报告；修复后测量指标完全匹配全新CAS51D整机参数：</w:t>
      </w:r>
    </w:p>
    <w:p w14:paraId="59D3AFE3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测量范围：0.01~10mg/LNO3-N</w:t>
      </w:r>
    </w:p>
    <w:p w14:paraId="78FA09FD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测量误差：≤±5%读数</w:t>
      </w:r>
    </w:p>
    <w:p w14:paraId="2025069F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响应时间：＜30s</w:t>
      </w:r>
    </w:p>
    <w:p w14:paraId="119D98C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default" w:ascii="宋体" w:hAnsi="宋体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防护等级：IP68，可长期水下浸没使用全部指标满足HJ354-2019、HJ355-2019水污染源在线监测系统规范，监测数据可稳定上传环保监管平台，顺利通过环保比对验收。</w:t>
      </w:r>
    </w:p>
    <w:p w14:paraId="17415A87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COD监测仪光栅模块</w:t>
      </w:r>
    </w:p>
    <w:p w14:paraId="22C1B0A2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（1）功能参数</w:t>
      </w:r>
    </w:p>
    <w:p w14:paraId="1B445943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COD分析仪核心光学计量单元，试剂投加精度±0.5%，控制消解显色光学采集，直接决定COD数据准确度；适配厂区在用CA80COD设备。</w:t>
      </w:r>
    </w:p>
    <w:p w14:paraId="0A3EA238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（2）采购要求</w:t>
      </w:r>
    </w:p>
    <w:p w14:paraId="1FEAFA83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原厂全新模块，附带出厂光路校准报告；更换后由技术人员完成整机光路校正，质保12个月，非人为损坏免费维修更换。</w:t>
      </w:r>
    </w:p>
    <w:p w14:paraId="68A11567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溶解氧监测仪荧光帽</w:t>
      </w:r>
    </w:p>
    <w:p w14:paraId="1E6E8EC0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（1）功能参数</w:t>
      </w:r>
    </w:p>
    <w:p w14:paraId="7FDE9DA6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适配E+H荧光法溶解氧传感器，基于荧光淬灭原理测溶解氧，测量范围0~20mg/L，精度±0.02mg/L，光学荧光层理论使用寿命2年，更换后无需二次标定。</w:t>
      </w:r>
    </w:p>
    <w:p w14:paraId="55DF32F1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（2）采购要求</w:t>
      </w:r>
    </w:p>
    <w:p w14:paraId="2144F1A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原厂原装荧光敏感膜帽，无仿制替代品；供方提供现场快速更换操作培训。</w:t>
      </w:r>
    </w:p>
    <w:p w14:paraId="4EA505D4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HACH余氯监测仪维护包</w:t>
      </w:r>
    </w:p>
    <w:p w14:paraId="373DEB2F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（1）核心功能</w:t>
      </w:r>
    </w:p>
    <w:p w14:paraId="1ED0AB02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用于厂区HACH在线余氯分析仪年度维保，替换老化管路、密封件、过滤部件，杜绝管路漏液、比色皿污染、测量漂移问题。</w:t>
      </w:r>
    </w:p>
    <w:p w14:paraId="6ADA4994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（2）套件内含部件</w:t>
      </w:r>
    </w:p>
    <w:p w14:paraId="13E03EA0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PTFE成套试剂管路、防漏密封瓶盖、管路快装接头、搅拌子、不锈钢Y型过滤滤网、石英比色皿、拆装维护手册。</w:t>
      </w:r>
    </w:p>
    <w:p w14:paraId="5D8A6EFB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Partech正磷酸盐成套试剂（9个月用量，合并打包为一套）</w:t>
      </w:r>
    </w:p>
    <w:p w14:paraId="1938CEBA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（1）配套品牌</w:t>
      </w:r>
    </w:p>
    <w:p w14:paraId="50FD47C3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Partech，完全匹配厂区现有正磷酸盐在线分析仪；</w:t>
      </w:r>
    </w:p>
    <w:p w14:paraId="44AE5E19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）核心功能</w:t>
      </w:r>
    </w:p>
    <w:p w14:paraId="72E27B2F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正磷试剂：采用钼锑抗分光光度法，符合HJ670-2013国标，用于水样中正磷酸盐显色反应，实现仪表自动在线比色检测；</w:t>
      </w:r>
    </w:p>
    <w:p w14:paraId="3DB8896D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柠檬酸试剂：调节水样pH、屏蔽重金属离子干扰，保证显色反应稳定，避免管路结晶堵塞；</w:t>
      </w:r>
    </w:p>
    <w:p w14:paraId="53F7D67D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）采购参数要求</w:t>
      </w:r>
    </w:p>
    <w:p w14:paraId="78CC289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Partech原厂配套成套试剂，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需根据原厂提供的试剂配方进行调配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；密封防渗漏包装，常温避光储存；本次采购9套，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供货周期为2个月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，同步配套仪表管路清洗、试剂更换实操指导。</w:t>
      </w:r>
    </w:p>
    <w:p w14:paraId="79F58E8C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）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试剂配方</w:t>
      </w:r>
    </w:p>
    <w:p w14:paraId="57986E7C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每套包含当月所需正磷试剂 + 柠檬酸试剂，正磷试剂提供两种配比方案，任一种均可满足设备运行要求，可根据现场实际水质情况选择：</w:t>
      </w:r>
    </w:p>
    <w:p w14:paraId="5791DFDC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正磷试剂1：</w:t>
      </w:r>
    </w:p>
    <w:p w14:paraId="4020AB7F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1.使用1L量筒量1000±5ml去离子水到1L烧杯中。</w:t>
      </w:r>
    </w:p>
    <w:p w14:paraId="76B9211C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2.在烧杯中加入搅拌子，放在搅拌器上搅拌。</w:t>
      </w:r>
    </w:p>
    <w:p w14:paraId="260967CB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3.用分析天平称100±1g抗坏血酸，加入烧杯中。</w:t>
      </w:r>
    </w:p>
    <w:p w14:paraId="0AC590B1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4.搅拌使其充分溶解(~2min)。</w:t>
      </w:r>
    </w:p>
    <w:p w14:paraId="504DD5EA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5.将搅拌子从烧杯中移出。</w:t>
      </w:r>
    </w:p>
    <w:p w14:paraId="179FA3BD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6.将溶液倒入1L黑瓶中。</w:t>
      </w:r>
    </w:p>
    <w:p w14:paraId="6A66842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正磷试剂2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eastAsia="zh-CN"/>
        </w:rPr>
        <w:t>：</w:t>
      </w:r>
    </w:p>
    <w:p w14:paraId="3A70547E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将24克钼酸铵溶于400毫升去离子水中，使其完全溶解。然后加入0.5486克三水合酒石酸锑钾，使其完全溶解。接着加入280毫升硫酸，并将溶液稀释至1升的去离子水中。让溶液冷却</w:t>
      </w:r>
    </w:p>
    <w:p w14:paraId="2AB59005">
      <w:pPr>
        <w:pStyle w:val="7"/>
        <w:keepNext w:val="0"/>
        <w:keepLines w:val="0"/>
        <w:pageBreakBefore w:val="0"/>
        <w:widowControl w:val="0"/>
        <w:tabs>
          <w:tab w:val="left" w:pos="38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柠檬酸试剂：500g配2.5升水</w:t>
      </w:r>
    </w:p>
    <w:p w14:paraId="410C3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eastAsia="宋体" w:cs="Times New Roman"/>
          <w:b/>
          <w:sz w:val="24"/>
          <w:lang w:val="en-US" w:eastAsia="zh-CN"/>
        </w:rPr>
      </w:pPr>
      <w:r>
        <w:rPr>
          <w:rFonts w:hint="eastAsia" w:eastAsia="宋体" w:cs="Times New Roman"/>
          <w:b/>
          <w:sz w:val="24"/>
          <w:lang w:val="en-US" w:eastAsia="zh-CN"/>
        </w:rPr>
        <w:t>四、控制价、质保期、付款方式、发票要求</w:t>
      </w:r>
    </w:p>
    <w:p w14:paraId="23285183">
      <w:pPr>
        <w:spacing w:line="360" w:lineRule="auto"/>
        <w:ind w:firstLine="520" w:firstLineChars="200"/>
        <w:rPr>
          <w:rFonts w:ascii="宋体" w:hAnsi="宋体" w:cs="宋体"/>
          <w:bCs/>
          <w:spacing w:val="10"/>
          <w:sz w:val="24"/>
        </w:rPr>
      </w:pPr>
      <w:r>
        <w:rPr>
          <w:rFonts w:hint="eastAsia" w:ascii="宋体" w:hAnsi="宋体" w:cs="宋体"/>
          <w:bCs/>
          <w:spacing w:val="10"/>
          <w:sz w:val="24"/>
        </w:rPr>
        <w:t>1.本次采购最高限价为：人民币</w:t>
      </w:r>
      <w:r>
        <w:rPr>
          <w:rFonts w:hint="eastAsia" w:ascii="宋体" w:hAnsi="宋体" w:cs="宋体"/>
          <w:b/>
          <w:bCs/>
          <w:spacing w:val="10"/>
          <w:sz w:val="24"/>
          <w:lang w:val="en-US" w:eastAsia="zh-CN"/>
        </w:rPr>
        <w:t>5.5</w:t>
      </w:r>
      <w:r>
        <w:rPr>
          <w:rFonts w:hint="eastAsia" w:ascii="宋体" w:hAnsi="宋体" w:cs="宋体"/>
          <w:b/>
          <w:bCs/>
          <w:spacing w:val="10"/>
          <w:sz w:val="24"/>
        </w:rPr>
        <w:t>万元</w:t>
      </w:r>
      <w:r>
        <w:rPr>
          <w:rFonts w:hint="eastAsia" w:ascii="宋体" w:hAnsi="宋体" w:cs="宋体"/>
          <w:bCs/>
          <w:spacing w:val="10"/>
          <w:sz w:val="24"/>
        </w:rPr>
        <w:t>（高于最高限价的报价属于无效报价）；</w:t>
      </w:r>
    </w:p>
    <w:p w14:paraId="44A2D34F">
      <w:pPr>
        <w:spacing w:line="360" w:lineRule="auto"/>
        <w:ind w:firstLine="520" w:firstLineChars="200"/>
        <w:rPr>
          <w:rFonts w:hint="eastAsia" w:ascii="宋体" w:hAnsi="宋体" w:cs="宋体"/>
          <w:bCs/>
          <w:spacing w:val="10"/>
          <w:sz w:val="24"/>
        </w:rPr>
      </w:pPr>
      <w:r>
        <w:rPr>
          <w:rFonts w:ascii="宋体" w:hAnsi="宋体" w:cs="宋体"/>
          <w:bCs/>
          <w:spacing w:val="10"/>
          <w:sz w:val="24"/>
        </w:rPr>
        <w:t>2.</w:t>
      </w:r>
      <w:r>
        <w:rPr>
          <w:rFonts w:hint="eastAsia" w:ascii="宋体" w:hAnsi="宋体" w:cs="宋体"/>
          <w:bCs/>
          <w:spacing w:val="10"/>
          <w:sz w:val="24"/>
        </w:rPr>
        <w:t>质保期：</w:t>
      </w:r>
      <w:bookmarkStart w:id="0" w:name="_GoBack"/>
      <w:bookmarkEnd w:id="0"/>
      <w:r>
        <w:rPr>
          <w:rFonts w:ascii="宋体" w:hAnsi="宋体" w:cs="宋体"/>
          <w:b/>
          <w:bCs/>
          <w:spacing w:val="10"/>
          <w:sz w:val="24"/>
        </w:rPr>
        <w:t>1年</w:t>
      </w:r>
      <w:r>
        <w:rPr>
          <w:rFonts w:hint="eastAsia" w:ascii="宋体" w:hAnsi="宋体" w:cs="宋体"/>
          <w:bCs/>
          <w:spacing w:val="10"/>
          <w:sz w:val="24"/>
        </w:rPr>
        <w:t>，自双方签署所有《维保完工验收单》之日起计算；</w:t>
      </w:r>
    </w:p>
    <w:p w14:paraId="7726189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成交供应商在规定时间内完成全部供货、现场维保、72小时连续试运行，提交全套验收资料并经采购人验收合格签署《维保完工验收单》后，经采购人验收合格后，成交供应商提供金额为合同总价100%的增值税专用发票，采购人自收到上述发票之日起30个工作日内，采购人向成交供应商支付合同总价的95%，合同总价5%作为质保金，待质保期满且无质量问题后无息付清</w:t>
      </w:r>
      <w:r>
        <w:rPr>
          <w:rFonts w:hint="eastAsia" w:ascii="宋体" w:hAnsi="宋体"/>
          <w:sz w:val="24"/>
          <w:szCs w:val="24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C89A4">
    <w:pPr>
      <w:tabs>
        <w:tab w:val="center" w:pos="4153"/>
        <w:tab w:val="right" w:pos="8306"/>
      </w:tabs>
      <w:jc w:val="center"/>
      <w:rPr>
        <w:color w:val="000000"/>
        <w:sz w:val="18"/>
        <w:szCs w:val="18"/>
      </w:rPr>
    </w:pPr>
    <w:r>
      <w:rPr>
        <w:rFonts w:ascii="Gungsuh" w:hAnsi="Gungsuh" w:eastAsia="Gungsuh" w:cs="Gungsuh"/>
        <w:color w:val="000000"/>
        <w:sz w:val="18"/>
        <w:szCs w:val="18"/>
      </w:rPr>
      <w:t>第</w:t>
    </w:r>
    <w:r>
      <w:rPr>
        <w:color w:val="000000"/>
        <w:sz w:val="18"/>
        <w:szCs w:val="18"/>
      </w:rPr>
      <w:fldChar w:fldCharType="begin"/>
    </w:r>
    <w:r>
      <w:rPr>
        <w:rFonts w:eastAsia="Times New Roman"/>
        <w:color w:val="000000"/>
        <w:sz w:val="18"/>
        <w:szCs w:val="18"/>
      </w:rPr>
      <w:instrText xml:space="preserve">PAGE</w:instrText>
    </w:r>
    <w:r>
      <w:rPr>
        <w:color w:val="000000"/>
        <w:sz w:val="18"/>
        <w:szCs w:val="18"/>
      </w:rPr>
      <w:fldChar w:fldCharType="separate"/>
    </w:r>
    <w:r>
      <w:rPr>
        <w:rFonts w:eastAsia="Times New Roman"/>
        <w:color w:val="000000"/>
        <w:sz w:val="18"/>
        <w:szCs w:val="18"/>
      </w:rPr>
      <w:t>4</w:t>
    </w:r>
    <w:r>
      <w:rPr>
        <w:color w:val="000000"/>
        <w:sz w:val="18"/>
        <w:szCs w:val="18"/>
      </w:rPr>
      <w:fldChar w:fldCharType="end"/>
    </w:r>
    <w:r>
      <w:rPr>
        <w:rFonts w:ascii="Gungsuh" w:hAnsi="Gungsuh" w:eastAsia="Gungsuh" w:cs="Gungsuh"/>
        <w:color w:val="000000"/>
        <w:sz w:val="18"/>
        <w:szCs w:val="18"/>
      </w:rPr>
      <w:t>页，共</w:t>
    </w:r>
    <w:r>
      <w:rPr>
        <w:color w:val="000000"/>
        <w:sz w:val="18"/>
        <w:szCs w:val="18"/>
      </w:rPr>
      <w:fldChar w:fldCharType="begin"/>
    </w:r>
    <w:r>
      <w:rPr>
        <w:rFonts w:eastAsia="Times New Roman"/>
        <w:color w:val="000000"/>
        <w:sz w:val="18"/>
        <w:szCs w:val="18"/>
      </w:rPr>
      <w:instrText xml:space="preserve">NUMPAGES</w:instrText>
    </w:r>
    <w:r>
      <w:rPr>
        <w:color w:val="000000"/>
        <w:sz w:val="18"/>
        <w:szCs w:val="18"/>
      </w:rPr>
      <w:fldChar w:fldCharType="separate"/>
    </w:r>
    <w:r>
      <w:rPr>
        <w:rFonts w:eastAsia="Times New Roman"/>
        <w:color w:val="000000"/>
        <w:sz w:val="18"/>
        <w:szCs w:val="18"/>
      </w:rPr>
      <w:t>12</w:t>
    </w:r>
    <w:r>
      <w:rPr>
        <w:color w:val="000000"/>
        <w:sz w:val="18"/>
        <w:szCs w:val="18"/>
      </w:rPr>
      <w:fldChar w:fldCharType="end"/>
    </w:r>
    <w:r>
      <w:rPr>
        <w:rFonts w:ascii="Gungsuh" w:hAnsi="Gungsuh" w:eastAsia="Gungsuh" w:cs="Gungsuh"/>
        <w:color w:val="000000"/>
        <w:sz w:val="18"/>
        <w:szCs w:val="18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392D"/>
    <w:rsid w:val="00000982"/>
    <w:rsid w:val="00004448"/>
    <w:rsid w:val="00017F05"/>
    <w:rsid w:val="00021E6C"/>
    <w:rsid w:val="00041D1B"/>
    <w:rsid w:val="00042DD5"/>
    <w:rsid w:val="00060D15"/>
    <w:rsid w:val="00071D13"/>
    <w:rsid w:val="00073B12"/>
    <w:rsid w:val="00082F6A"/>
    <w:rsid w:val="00087AB9"/>
    <w:rsid w:val="00090F2E"/>
    <w:rsid w:val="00093434"/>
    <w:rsid w:val="000B2A23"/>
    <w:rsid w:val="000B6CA8"/>
    <w:rsid w:val="000D3FC8"/>
    <w:rsid w:val="000D4128"/>
    <w:rsid w:val="000E1CF1"/>
    <w:rsid w:val="000F1A19"/>
    <w:rsid w:val="000F45ED"/>
    <w:rsid w:val="000F4816"/>
    <w:rsid w:val="00114229"/>
    <w:rsid w:val="0011684F"/>
    <w:rsid w:val="00120B6C"/>
    <w:rsid w:val="001231DE"/>
    <w:rsid w:val="00127A0A"/>
    <w:rsid w:val="001372B4"/>
    <w:rsid w:val="00137F28"/>
    <w:rsid w:val="00140244"/>
    <w:rsid w:val="0015555A"/>
    <w:rsid w:val="00157998"/>
    <w:rsid w:val="00170FE9"/>
    <w:rsid w:val="00173AC9"/>
    <w:rsid w:val="00176B54"/>
    <w:rsid w:val="00184C2E"/>
    <w:rsid w:val="00187000"/>
    <w:rsid w:val="0019452F"/>
    <w:rsid w:val="001D04B9"/>
    <w:rsid w:val="001E2BF3"/>
    <w:rsid w:val="002022CA"/>
    <w:rsid w:val="00207AA1"/>
    <w:rsid w:val="00212A0A"/>
    <w:rsid w:val="002177B6"/>
    <w:rsid w:val="0023709B"/>
    <w:rsid w:val="00237763"/>
    <w:rsid w:val="00246305"/>
    <w:rsid w:val="00263C40"/>
    <w:rsid w:val="00292481"/>
    <w:rsid w:val="002939E5"/>
    <w:rsid w:val="00293A2F"/>
    <w:rsid w:val="002A4D60"/>
    <w:rsid w:val="002C4426"/>
    <w:rsid w:val="002C4916"/>
    <w:rsid w:val="002D344C"/>
    <w:rsid w:val="002D7902"/>
    <w:rsid w:val="002E77CA"/>
    <w:rsid w:val="002F07C6"/>
    <w:rsid w:val="002F5098"/>
    <w:rsid w:val="00302DB3"/>
    <w:rsid w:val="00303568"/>
    <w:rsid w:val="00310AC0"/>
    <w:rsid w:val="00311C27"/>
    <w:rsid w:val="00312775"/>
    <w:rsid w:val="00317668"/>
    <w:rsid w:val="0032658E"/>
    <w:rsid w:val="00326E7D"/>
    <w:rsid w:val="00344DDE"/>
    <w:rsid w:val="003555E4"/>
    <w:rsid w:val="0035576D"/>
    <w:rsid w:val="00390D43"/>
    <w:rsid w:val="00396C73"/>
    <w:rsid w:val="003C319A"/>
    <w:rsid w:val="003D5997"/>
    <w:rsid w:val="003F0CA5"/>
    <w:rsid w:val="00406A9E"/>
    <w:rsid w:val="00410B37"/>
    <w:rsid w:val="004501CF"/>
    <w:rsid w:val="004507BF"/>
    <w:rsid w:val="004511E0"/>
    <w:rsid w:val="00454F19"/>
    <w:rsid w:val="004562AB"/>
    <w:rsid w:val="004601F4"/>
    <w:rsid w:val="00462676"/>
    <w:rsid w:val="00463BA4"/>
    <w:rsid w:val="00496B2F"/>
    <w:rsid w:val="004A308E"/>
    <w:rsid w:val="004A3A38"/>
    <w:rsid w:val="004B5EF7"/>
    <w:rsid w:val="004D7892"/>
    <w:rsid w:val="004E0CED"/>
    <w:rsid w:val="004E392D"/>
    <w:rsid w:val="004E4DCA"/>
    <w:rsid w:val="004E60D4"/>
    <w:rsid w:val="004F1F2E"/>
    <w:rsid w:val="0050580B"/>
    <w:rsid w:val="005066DE"/>
    <w:rsid w:val="005304EA"/>
    <w:rsid w:val="005733B2"/>
    <w:rsid w:val="005736E3"/>
    <w:rsid w:val="00573923"/>
    <w:rsid w:val="00573F3E"/>
    <w:rsid w:val="00575B1D"/>
    <w:rsid w:val="00587C5A"/>
    <w:rsid w:val="005A43EB"/>
    <w:rsid w:val="005B1F67"/>
    <w:rsid w:val="005C04BB"/>
    <w:rsid w:val="005C3CFD"/>
    <w:rsid w:val="005E63CC"/>
    <w:rsid w:val="00621B5D"/>
    <w:rsid w:val="006240F6"/>
    <w:rsid w:val="00651262"/>
    <w:rsid w:val="00663D56"/>
    <w:rsid w:val="0067746E"/>
    <w:rsid w:val="00677529"/>
    <w:rsid w:val="006802B0"/>
    <w:rsid w:val="00680FD7"/>
    <w:rsid w:val="00686D31"/>
    <w:rsid w:val="00693F7B"/>
    <w:rsid w:val="006B3AEF"/>
    <w:rsid w:val="006B51EA"/>
    <w:rsid w:val="006C0788"/>
    <w:rsid w:val="006C46CE"/>
    <w:rsid w:val="006E286C"/>
    <w:rsid w:val="006F32DC"/>
    <w:rsid w:val="007172C5"/>
    <w:rsid w:val="0073156F"/>
    <w:rsid w:val="00747F3D"/>
    <w:rsid w:val="00750761"/>
    <w:rsid w:val="007524BA"/>
    <w:rsid w:val="00761BE8"/>
    <w:rsid w:val="0076429C"/>
    <w:rsid w:val="007771B8"/>
    <w:rsid w:val="00784636"/>
    <w:rsid w:val="00787736"/>
    <w:rsid w:val="007928A5"/>
    <w:rsid w:val="007A0363"/>
    <w:rsid w:val="007A51B3"/>
    <w:rsid w:val="007B2309"/>
    <w:rsid w:val="007B419F"/>
    <w:rsid w:val="007C3B69"/>
    <w:rsid w:val="007E5C26"/>
    <w:rsid w:val="007E66CB"/>
    <w:rsid w:val="007F7101"/>
    <w:rsid w:val="00803106"/>
    <w:rsid w:val="00805DF5"/>
    <w:rsid w:val="008074D9"/>
    <w:rsid w:val="00822662"/>
    <w:rsid w:val="00827E5B"/>
    <w:rsid w:val="00840D91"/>
    <w:rsid w:val="00845D13"/>
    <w:rsid w:val="00847D85"/>
    <w:rsid w:val="008614E4"/>
    <w:rsid w:val="00874089"/>
    <w:rsid w:val="00874BF9"/>
    <w:rsid w:val="0087676C"/>
    <w:rsid w:val="008775C7"/>
    <w:rsid w:val="00886B09"/>
    <w:rsid w:val="008949FE"/>
    <w:rsid w:val="00895C26"/>
    <w:rsid w:val="0092690F"/>
    <w:rsid w:val="009479AD"/>
    <w:rsid w:val="0095020A"/>
    <w:rsid w:val="00981EB8"/>
    <w:rsid w:val="00985FE2"/>
    <w:rsid w:val="00996AD3"/>
    <w:rsid w:val="009A1818"/>
    <w:rsid w:val="009B524C"/>
    <w:rsid w:val="009C186B"/>
    <w:rsid w:val="009D014F"/>
    <w:rsid w:val="009D06F4"/>
    <w:rsid w:val="009D4DB6"/>
    <w:rsid w:val="009D580B"/>
    <w:rsid w:val="009D7F03"/>
    <w:rsid w:val="009E2ECD"/>
    <w:rsid w:val="009F6018"/>
    <w:rsid w:val="00A11CBC"/>
    <w:rsid w:val="00A20241"/>
    <w:rsid w:val="00A20830"/>
    <w:rsid w:val="00A2578A"/>
    <w:rsid w:val="00A25DC9"/>
    <w:rsid w:val="00A314CE"/>
    <w:rsid w:val="00A356F3"/>
    <w:rsid w:val="00A5371B"/>
    <w:rsid w:val="00A74816"/>
    <w:rsid w:val="00A96D08"/>
    <w:rsid w:val="00AB22D4"/>
    <w:rsid w:val="00AB3FEB"/>
    <w:rsid w:val="00AB72CE"/>
    <w:rsid w:val="00AC090E"/>
    <w:rsid w:val="00AC4C46"/>
    <w:rsid w:val="00AE1205"/>
    <w:rsid w:val="00AE45DA"/>
    <w:rsid w:val="00B06115"/>
    <w:rsid w:val="00B213A4"/>
    <w:rsid w:val="00B51E98"/>
    <w:rsid w:val="00B52E99"/>
    <w:rsid w:val="00B96987"/>
    <w:rsid w:val="00BA3F01"/>
    <w:rsid w:val="00BA6554"/>
    <w:rsid w:val="00BB2342"/>
    <w:rsid w:val="00BB7667"/>
    <w:rsid w:val="00BC2E4E"/>
    <w:rsid w:val="00BD5B4F"/>
    <w:rsid w:val="00BE3700"/>
    <w:rsid w:val="00BF2436"/>
    <w:rsid w:val="00BF3DDB"/>
    <w:rsid w:val="00C0033A"/>
    <w:rsid w:val="00C06B97"/>
    <w:rsid w:val="00C17C55"/>
    <w:rsid w:val="00C2483A"/>
    <w:rsid w:val="00C35548"/>
    <w:rsid w:val="00C432B0"/>
    <w:rsid w:val="00C554D4"/>
    <w:rsid w:val="00C6017B"/>
    <w:rsid w:val="00C66112"/>
    <w:rsid w:val="00C663D7"/>
    <w:rsid w:val="00C74B61"/>
    <w:rsid w:val="00C82F70"/>
    <w:rsid w:val="00C83896"/>
    <w:rsid w:val="00C87ED4"/>
    <w:rsid w:val="00C97BBC"/>
    <w:rsid w:val="00CA78C7"/>
    <w:rsid w:val="00CB4572"/>
    <w:rsid w:val="00CC0113"/>
    <w:rsid w:val="00CC5471"/>
    <w:rsid w:val="00CF02C4"/>
    <w:rsid w:val="00D06454"/>
    <w:rsid w:val="00D07445"/>
    <w:rsid w:val="00D2324E"/>
    <w:rsid w:val="00D33180"/>
    <w:rsid w:val="00D460A6"/>
    <w:rsid w:val="00D623AE"/>
    <w:rsid w:val="00D846D7"/>
    <w:rsid w:val="00D95672"/>
    <w:rsid w:val="00DA2A44"/>
    <w:rsid w:val="00DA48D1"/>
    <w:rsid w:val="00DA5394"/>
    <w:rsid w:val="00DC253B"/>
    <w:rsid w:val="00DD172D"/>
    <w:rsid w:val="00DD2B7A"/>
    <w:rsid w:val="00DE2AD7"/>
    <w:rsid w:val="00DE4A22"/>
    <w:rsid w:val="00DF37D3"/>
    <w:rsid w:val="00DF3892"/>
    <w:rsid w:val="00E05253"/>
    <w:rsid w:val="00E075FF"/>
    <w:rsid w:val="00E22339"/>
    <w:rsid w:val="00E32B3E"/>
    <w:rsid w:val="00E51A74"/>
    <w:rsid w:val="00E626E7"/>
    <w:rsid w:val="00E63336"/>
    <w:rsid w:val="00E65102"/>
    <w:rsid w:val="00E731E6"/>
    <w:rsid w:val="00E74864"/>
    <w:rsid w:val="00E74B56"/>
    <w:rsid w:val="00E76FD1"/>
    <w:rsid w:val="00E82C41"/>
    <w:rsid w:val="00E82D9E"/>
    <w:rsid w:val="00E9510F"/>
    <w:rsid w:val="00EA1C7E"/>
    <w:rsid w:val="00EB7D3A"/>
    <w:rsid w:val="00EC4DBC"/>
    <w:rsid w:val="00EC7959"/>
    <w:rsid w:val="00ED3A83"/>
    <w:rsid w:val="00EE4E6E"/>
    <w:rsid w:val="00F16DEF"/>
    <w:rsid w:val="00F2598F"/>
    <w:rsid w:val="00F31375"/>
    <w:rsid w:val="00F3402C"/>
    <w:rsid w:val="00F36345"/>
    <w:rsid w:val="00F5613D"/>
    <w:rsid w:val="00F63CC5"/>
    <w:rsid w:val="00F64EED"/>
    <w:rsid w:val="00F726AB"/>
    <w:rsid w:val="00F83D42"/>
    <w:rsid w:val="00FA12ED"/>
    <w:rsid w:val="00FA1425"/>
    <w:rsid w:val="00FB113A"/>
    <w:rsid w:val="00FD78E0"/>
    <w:rsid w:val="0AB74705"/>
    <w:rsid w:val="5DBB2142"/>
    <w:rsid w:val="68EC543F"/>
    <w:rsid w:val="7CF2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7"/>
    <w:unhideWhenUsed/>
    <w:qFormat/>
    <w:uiPriority w:val="99"/>
    <w:rPr>
      <w:rFonts w:ascii="宋体" w:hAnsi="Courier New"/>
      <w:szCs w:val="21"/>
    </w:rPr>
  </w:style>
  <w:style w:type="paragraph" w:styleId="3">
    <w:name w:val="Balloon Text"/>
    <w:basedOn w:val="1"/>
    <w:link w:val="11"/>
    <w:semiHidden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link w:val="5"/>
    <w:uiPriority w:val="99"/>
    <w:rPr>
      <w:sz w:val="18"/>
      <w:szCs w:val="18"/>
    </w:rPr>
  </w:style>
  <w:style w:type="character" w:customStyle="1" w:styleId="13">
    <w:name w:val="页脚 Char"/>
    <w:link w:val="4"/>
    <w:qFormat/>
    <w:uiPriority w:val="99"/>
    <w:rPr>
      <w:sz w:val="18"/>
      <w:szCs w:val="18"/>
    </w:rPr>
  </w:style>
  <w:style w:type="character" w:customStyle="1" w:styleId="14">
    <w:name w:val="标题 Char"/>
    <w:link w:val="7"/>
    <w:qFormat/>
    <w:locked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15">
    <w:name w:val="标题 Char1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6">
    <w:name w:val="Char Char Char Char"/>
    <w:basedOn w:val="1"/>
    <w:autoRedefine/>
    <w:qFormat/>
    <w:uiPriority w:val="0"/>
    <w:pPr>
      <w:tabs>
        <w:tab w:val="left" w:pos="360"/>
      </w:tabs>
    </w:pPr>
    <w:rPr>
      <w:rFonts w:ascii="Times New Roman" w:hAnsi="Times New Roman"/>
      <w:sz w:val="24"/>
      <w:szCs w:val="24"/>
    </w:rPr>
  </w:style>
  <w:style w:type="character" w:customStyle="1" w:styleId="17">
    <w:name w:val="纯文本 Char"/>
    <w:basedOn w:val="10"/>
    <w:link w:val="2"/>
    <w:qFormat/>
    <w:uiPriority w:val="99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2087</Words>
  <Characters>2410</Characters>
  <Lines>37</Lines>
  <Paragraphs>10</Paragraphs>
  <TotalTime>0</TotalTime>
  <ScaleCrop>false</ScaleCrop>
  <LinksUpToDate>false</LinksUpToDate>
  <CharactersWithSpaces>2412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2025-10-30T06:00:00Z</dcterms:created>
  <dc:creator>User</dc:creator>
  <cp:lastModifiedBy>zhu</cp:lastModifiedBy>
  <dcterms:modified xsi:type="dcterms:W3CDTF">2026-08-14T01:39:16Z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eyJoZGlkIjoiZmY5NmM4YTI2NmYyZTM5NzY0NjJiMmRiZGU4NjYxZDEiLCJ1c2VySWQiOiI4MjU2MzkzOTcifQ==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DDDFE1632FA54274850E432BFE9F2BF3_12</vt:lpwstr>
  </property>
</Properties>
</file>