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18D6A">
      <w:pPr>
        <w:pStyle w:val="8"/>
        <w:tabs>
          <w:tab w:val="left" w:pos="3882"/>
        </w:tabs>
        <w:spacing w:before="120" w:line="180" w:lineRule="auto"/>
        <w:outlineLvl w:val="9"/>
        <w:rPr>
          <w:rFonts w:ascii="宋体" w:hAnsi="宋体" w:cs="宋体"/>
        </w:rPr>
      </w:pPr>
      <w:r>
        <w:rPr>
          <w:rFonts w:hint="eastAsia" w:ascii="宋体" w:hAnsi="宋体" w:cs="宋体"/>
        </w:rPr>
        <w:t>附件</w:t>
      </w:r>
      <w:r>
        <w:rPr>
          <w:rFonts w:hint="eastAsia" w:ascii="宋体" w:hAnsi="宋体" w:cs="宋体"/>
          <w:lang w:val="en-US" w:eastAsia="zh-CN"/>
        </w:rPr>
        <w:t>1-</w:t>
      </w:r>
      <w:r>
        <w:rPr>
          <w:rFonts w:hint="eastAsia" w:ascii="宋体" w:hAnsi="宋体" w:cs="宋体"/>
        </w:rPr>
        <w:t>采购内容及要求</w:t>
      </w:r>
    </w:p>
    <w:p w14:paraId="70642F7B">
      <w:pPr>
        <w:rPr>
          <w:b/>
          <w:sz w:val="24"/>
        </w:rPr>
      </w:pPr>
    </w:p>
    <w:p w14:paraId="5FD02AC7">
      <w:pPr>
        <w:rPr>
          <w:b/>
          <w:sz w:val="24"/>
        </w:rPr>
      </w:pPr>
    </w:p>
    <w:p w14:paraId="7CA7FC90">
      <w:pPr>
        <w:spacing w:line="360" w:lineRule="auto"/>
        <w:rPr>
          <w:rFonts w:hint="eastAsia"/>
          <w:b/>
          <w:sz w:val="24"/>
        </w:rPr>
      </w:pPr>
      <w:r>
        <w:rPr>
          <w:rFonts w:hint="eastAsia"/>
          <w:b/>
          <w:sz w:val="24"/>
        </w:rPr>
        <w:t>一、项目概述</w:t>
      </w:r>
    </w:p>
    <w:p w14:paraId="7AE47E5F">
      <w:pPr>
        <w:pStyle w:val="8"/>
        <w:keepNext w:val="0"/>
        <w:keepLines w:val="0"/>
        <w:pageBreakBefore w:val="0"/>
        <w:widowControl w:val="0"/>
        <w:tabs>
          <w:tab w:val="left" w:pos="3882"/>
        </w:tabs>
        <w:kinsoku/>
        <w:wordWrap/>
        <w:overflowPunct/>
        <w:topLinePunct w:val="0"/>
        <w:autoSpaceDE/>
        <w:autoSpaceDN/>
        <w:bidi w:val="0"/>
        <w:adjustRightInd/>
        <w:snapToGrid/>
        <w:spacing w:before="0" w:after="0" w:line="360" w:lineRule="auto"/>
        <w:ind w:firstLine="480" w:firstLineChars="200"/>
        <w:jc w:val="left"/>
        <w:textAlignment w:val="auto"/>
        <w:outlineLvl w:val="9"/>
        <w:rPr>
          <w:rFonts w:ascii="宋体" w:hAnsi="宋体"/>
          <w:b w:val="0"/>
          <w:bCs w:val="0"/>
          <w:sz w:val="24"/>
          <w:szCs w:val="24"/>
        </w:rPr>
      </w:pPr>
      <w:r>
        <w:rPr>
          <w:rFonts w:hint="eastAsia" w:ascii="宋体" w:hAnsi="宋体"/>
          <w:b w:val="0"/>
          <w:bCs w:val="0"/>
          <w:sz w:val="24"/>
          <w:szCs w:val="24"/>
        </w:rPr>
        <w:t>本次采购的是常州市城市排水有限公司江边</w:t>
      </w:r>
      <w:r>
        <w:rPr>
          <w:rFonts w:hint="eastAsia" w:ascii="宋体" w:hAnsi="宋体"/>
          <w:b w:val="0"/>
          <w:bCs w:val="0"/>
          <w:sz w:val="24"/>
          <w:szCs w:val="24"/>
          <w:lang w:eastAsia="zh-CN"/>
        </w:rPr>
        <w:t>污水处理厂</w:t>
      </w:r>
      <w:r>
        <w:rPr>
          <w:rFonts w:hint="eastAsia" w:ascii="宋体" w:hAnsi="宋体"/>
          <w:b w:val="0"/>
          <w:bCs w:val="0"/>
          <w:sz w:val="24"/>
          <w:szCs w:val="24"/>
        </w:rPr>
        <w:t>三期水下搅拌器、推流器用机械密封共十套</w:t>
      </w:r>
      <w:r>
        <w:rPr>
          <w:rFonts w:ascii="宋体" w:hAnsi="宋体"/>
          <w:b w:val="0"/>
          <w:bCs w:val="0"/>
          <w:sz w:val="24"/>
          <w:szCs w:val="24"/>
        </w:rPr>
        <w:t>。</w:t>
      </w:r>
    </w:p>
    <w:p w14:paraId="6EA80E5D">
      <w:pPr>
        <w:spacing w:line="360" w:lineRule="auto"/>
        <w:rPr>
          <w:b/>
          <w:sz w:val="24"/>
        </w:rPr>
      </w:pPr>
    </w:p>
    <w:p w14:paraId="70996356">
      <w:pPr>
        <w:spacing w:line="360" w:lineRule="auto"/>
        <w:rPr>
          <w:sz w:val="24"/>
          <w:szCs w:val="24"/>
        </w:rPr>
      </w:pPr>
      <w:r>
        <w:rPr>
          <w:rFonts w:hint="eastAsia"/>
          <w:b/>
          <w:sz w:val="24"/>
        </w:rPr>
        <w:t>二、采购内容</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753"/>
        <w:gridCol w:w="3450"/>
        <w:gridCol w:w="1275"/>
        <w:gridCol w:w="1092"/>
      </w:tblGrid>
      <w:tr w14:paraId="7474B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959" w:type="dxa"/>
            <w:vAlign w:val="center"/>
          </w:tcPr>
          <w:p w14:paraId="18C5532F">
            <w:pPr>
              <w:jc w:val="center"/>
              <w:rPr>
                <w:rFonts w:hint="eastAsia" w:ascii="宋体" w:hAnsi="宋体" w:eastAsia="宋体" w:cs="宋体"/>
                <w:sz w:val="24"/>
              </w:rPr>
            </w:pPr>
            <w:r>
              <w:rPr>
                <w:rFonts w:hint="eastAsia" w:ascii="宋体" w:hAnsi="宋体" w:eastAsia="宋体" w:cs="宋体"/>
                <w:sz w:val="24"/>
              </w:rPr>
              <w:t>序号</w:t>
            </w:r>
          </w:p>
        </w:tc>
        <w:tc>
          <w:tcPr>
            <w:tcW w:w="1753" w:type="dxa"/>
            <w:vAlign w:val="center"/>
          </w:tcPr>
          <w:p w14:paraId="4D24EFB8">
            <w:pPr>
              <w:jc w:val="center"/>
              <w:rPr>
                <w:rFonts w:hint="eastAsia" w:ascii="宋体" w:hAnsi="宋体" w:eastAsia="宋体" w:cs="宋体"/>
                <w:sz w:val="24"/>
              </w:rPr>
            </w:pPr>
            <w:r>
              <w:rPr>
                <w:rFonts w:hint="eastAsia" w:ascii="宋体" w:hAnsi="宋体" w:eastAsia="宋体" w:cs="宋体"/>
                <w:sz w:val="24"/>
              </w:rPr>
              <w:t>名称</w:t>
            </w:r>
          </w:p>
        </w:tc>
        <w:tc>
          <w:tcPr>
            <w:tcW w:w="3450" w:type="dxa"/>
            <w:vAlign w:val="center"/>
          </w:tcPr>
          <w:p w14:paraId="59E5AB4A">
            <w:pPr>
              <w:jc w:val="center"/>
              <w:rPr>
                <w:rFonts w:hint="eastAsia" w:ascii="宋体" w:hAnsi="宋体" w:eastAsia="宋体" w:cs="宋体"/>
                <w:sz w:val="24"/>
              </w:rPr>
            </w:pPr>
            <w:r>
              <w:rPr>
                <w:rFonts w:hint="eastAsia" w:ascii="宋体" w:hAnsi="宋体" w:eastAsia="宋体" w:cs="宋体"/>
                <w:sz w:val="24"/>
              </w:rPr>
              <w:t>型号规格</w:t>
            </w:r>
          </w:p>
        </w:tc>
        <w:tc>
          <w:tcPr>
            <w:tcW w:w="1275" w:type="dxa"/>
            <w:vAlign w:val="center"/>
          </w:tcPr>
          <w:p w14:paraId="3F692A86">
            <w:pPr>
              <w:jc w:val="center"/>
              <w:rPr>
                <w:rFonts w:hint="eastAsia" w:ascii="宋体" w:hAnsi="宋体" w:eastAsia="宋体" w:cs="宋体"/>
                <w:sz w:val="24"/>
              </w:rPr>
            </w:pPr>
            <w:r>
              <w:rPr>
                <w:rFonts w:hint="eastAsia" w:ascii="宋体" w:hAnsi="宋体" w:eastAsia="宋体" w:cs="宋体"/>
                <w:sz w:val="24"/>
              </w:rPr>
              <w:t>数量</w:t>
            </w:r>
          </w:p>
        </w:tc>
        <w:tc>
          <w:tcPr>
            <w:tcW w:w="1092" w:type="dxa"/>
            <w:vAlign w:val="center"/>
          </w:tcPr>
          <w:p w14:paraId="3DDE67ED">
            <w:pPr>
              <w:jc w:val="center"/>
              <w:rPr>
                <w:rFonts w:hint="eastAsia" w:ascii="宋体" w:hAnsi="宋体" w:eastAsia="宋体" w:cs="宋体"/>
                <w:sz w:val="24"/>
              </w:rPr>
            </w:pPr>
            <w:r>
              <w:rPr>
                <w:rFonts w:hint="eastAsia" w:ascii="宋体" w:hAnsi="宋体" w:eastAsia="宋体" w:cs="宋体"/>
                <w:sz w:val="24"/>
              </w:rPr>
              <w:t>备注</w:t>
            </w:r>
          </w:p>
        </w:tc>
      </w:tr>
      <w:tr w14:paraId="5CEDB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959" w:type="dxa"/>
            <w:vAlign w:val="center"/>
          </w:tcPr>
          <w:p w14:paraId="4E27FDD2">
            <w:pPr>
              <w:jc w:val="center"/>
              <w:rPr>
                <w:rFonts w:hint="eastAsia" w:ascii="宋体" w:hAnsi="宋体" w:eastAsia="宋体" w:cs="宋体"/>
                <w:sz w:val="24"/>
              </w:rPr>
            </w:pPr>
            <w:r>
              <w:rPr>
                <w:rFonts w:hint="eastAsia" w:ascii="宋体" w:hAnsi="宋体" w:eastAsia="宋体" w:cs="宋体"/>
                <w:sz w:val="24"/>
              </w:rPr>
              <w:t>1</w:t>
            </w:r>
          </w:p>
        </w:tc>
        <w:tc>
          <w:tcPr>
            <w:tcW w:w="1753" w:type="dxa"/>
            <w:vAlign w:val="center"/>
          </w:tcPr>
          <w:p w14:paraId="22656DBC">
            <w:pPr>
              <w:jc w:val="center"/>
              <w:rPr>
                <w:rFonts w:hint="default" w:ascii="宋体" w:hAnsi="宋体" w:eastAsia="宋体" w:cs="宋体"/>
                <w:sz w:val="24"/>
                <w:lang w:val="en-US" w:eastAsia="zh-CN"/>
              </w:rPr>
            </w:pPr>
            <w:r>
              <w:rPr>
                <w:rFonts w:hint="eastAsia" w:ascii="宋体" w:hAnsi="宋体" w:eastAsia="宋体" w:cs="宋体"/>
                <w:b w:val="0"/>
                <w:bCs w:val="0"/>
                <w:sz w:val="24"/>
                <w:szCs w:val="24"/>
              </w:rPr>
              <w:t>江边污水处理厂三期水下飞力搅拌器</w:t>
            </w:r>
            <w:r>
              <w:rPr>
                <w:rFonts w:hint="eastAsia" w:ascii="宋体" w:hAnsi="宋体" w:cs="宋体"/>
                <w:b w:val="0"/>
                <w:bCs w:val="0"/>
                <w:sz w:val="24"/>
                <w:szCs w:val="24"/>
                <w:lang w:val="en-US" w:eastAsia="zh-CN"/>
              </w:rPr>
              <w:t>用机械密封</w:t>
            </w:r>
          </w:p>
        </w:tc>
        <w:tc>
          <w:tcPr>
            <w:tcW w:w="3450" w:type="dxa"/>
            <w:vAlign w:val="center"/>
          </w:tcPr>
          <w:p w14:paraId="1FD008C9">
            <w:pPr>
              <w:jc w:val="center"/>
              <w:rPr>
                <w:rFonts w:hint="eastAsia" w:ascii="宋体" w:hAnsi="宋体" w:eastAsia="宋体" w:cs="宋体"/>
                <w:sz w:val="24"/>
              </w:rPr>
            </w:pPr>
            <w:r>
              <w:rPr>
                <w:rFonts w:hint="eastAsia" w:ascii="宋体" w:hAnsi="宋体" w:eastAsia="宋体" w:cs="宋体"/>
                <w:b w:val="0"/>
                <w:bCs w:val="0"/>
                <w:sz w:val="24"/>
                <w:szCs w:val="24"/>
              </w:rPr>
              <w:t>型号：SR4650；功率5.5KW</w:t>
            </w:r>
          </w:p>
        </w:tc>
        <w:tc>
          <w:tcPr>
            <w:tcW w:w="1275" w:type="dxa"/>
            <w:vAlign w:val="center"/>
          </w:tcPr>
          <w:p w14:paraId="1666125D">
            <w:pPr>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8套</w:t>
            </w:r>
          </w:p>
        </w:tc>
        <w:tc>
          <w:tcPr>
            <w:tcW w:w="1092" w:type="dxa"/>
            <w:vAlign w:val="center"/>
          </w:tcPr>
          <w:p w14:paraId="3F8F906F">
            <w:pPr>
              <w:jc w:val="center"/>
              <w:rPr>
                <w:rFonts w:hint="eastAsia" w:ascii="宋体" w:hAnsi="宋体" w:eastAsia="宋体" w:cs="宋体"/>
                <w:sz w:val="24"/>
              </w:rPr>
            </w:pPr>
          </w:p>
        </w:tc>
      </w:tr>
      <w:tr w14:paraId="0F4D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6" w:hRule="atLeast"/>
        </w:trPr>
        <w:tc>
          <w:tcPr>
            <w:tcW w:w="959" w:type="dxa"/>
            <w:vAlign w:val="center"/>
          </w:tcPr>
          <w:p w14:paraId="7849CB39">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753" w:type="dxa"/>
            <w:vAlign w:val="center"/>
          </w:tcPr>
          <w:p w14:paraId="3F1AB748">
            <w:pPr>
              <w:jc w:val="center"/>
              <w:rPr>
                <w:rFonts w:hint="eastAsia" w:ascii="宋体" w:hAnsi="宋体" w:eastAsia="宋体" w:cs="宋体"/>
                <w:sz w:val="24"/>
              </w:rPr>
            </w:pPr>
            <w:r>
              <w:rPr>
                <w:rFonts w:hint="eastAsia" w:ascii="宋体" w:hAnsi="宋体" w:eastAsia="宋体" w:cs="宋体"/>
                <w:b w:val="0"/>
                <w:bCs w:val="0"/>
                <w:sz w:val="24"/>
                <w:szCs w:val="24"/>
              </w:rPr>
              <w:t>江边污水处理厂三期水下飞力推流器</w:t>
            </w:r>
            <w:r>
              <w:rPr>
                <w:rFonts w:hint="eastAsia" w:ascii="宋体" w:hAnsi="宋体" w:cs="宋体"/>
                <w:b w:val="0"/>
                <w:bCs w:val="0"/>
                <w:sz w:val="24"/>
                <w:szCs w:val="24"/>
                <w:lang w:val="en-US" w:eastAsia="zh-CN"/>
              </w:rPr>
              <w:t>用机械密封</w:t>
            </w:r>
          </w:p>
        </w:tc>
        <w:tc>
          <w:tcPr>
            <w:tcW w:w="3450" w:type="dxa"/>
            <w:vAlign w:val="center"/>
          </w:tcPr>
          <w:p w14:paraId="164B5E7C">
            <w:pPr>
              <w:jc w:val="center"/>
              <w:rPr>
                <w:rFonts w:hint="eastAsia" w:ascii="宋体" w:hAnsi="宋体" w:eastAsia="宋体" w:cs="宋体"/>
                <w:sz w:val="24"/>
              </w:rPr>
            </w:pPr>
            <w:r>
              <w:rPr>
                <w:rFonts w:hint="eastAsia" w:ascii="宋体" w:hAnsi="宋体" w:eastAsia="宋体" w:cs="宋体"/>
                <w:b w:val="0"/>
                <w:bCs w:val="0"/>
                <w:sz w:val="24"/>
                <w:szCs w:val="24"/>
              </w:rPr>
              <w:t>型号：SR4430；功率4.3KW</w:t>
            </w:r>
          </w:p>
        </w:tc>
        <w:tc>
          <w:tcPr>
            <w:tcW w:w="1275" w:type="dxa"/>
            <w:vAlign w:val="center"/>
          </w:tcPr>
          <w:p w14:paraId="2EFC8DBB">
            <w:pPr>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2套</w:t>
            </w:r>
          </w:p>
        </w:tc>
        <w:tc>
          <w:tcPr>
            <w:tcW w:w="1092" w:type="dxa"/>
            <w:vAlign w:val="center"/>
          </w:tcPr>
          <w:p w14:paraId="35522573">
            <w:pPr>
              <w:jc w:val="center"/>
              <w:rPr>
                <w:rFonts w:hint="eastAsia" w:ascii="宋体" w:hAnsi="宋体" w:eastAsia="宋体" w:cs="宋体"/>
                <w:sz w:val="24"/>
              </w:rPr>
            </w:pPr>
          </w:p>
        </w:tc>
      </w:tr>
    </w:tbl>
    <w:p w14:paraId="5AE04BFD">
      <w:pPr>
        <w:spacing w:line="360" w:lineRule="auto"/>
        <w:rPr>
          <w:rFonts w:hint="eastAsia"/>
          <w:b/>
          <w:sz w:val="24"/>
        </w:rPr>
      </w:pPr>
    </w:p>
    <w:p w14:paraId="77B60C4F">
      <w:pPr>
        <w:spacing w:line="360" w:lineRule="auto"/>
        <w:rPr>
          <w:b/>
          <w:sz w:val="24"/>
        </w:rPr>
      </w:pPr>
      <w:r>
        <w:rPr>
          <w:rFonts w:hint="eastAsia"/>
          <w:b/>
          <w:sz w:val="24"/>
        </w:rPr>
        <w:t>三、项目要求及工期</w:t>
      </w:r>
    </w:p>
    <w:p w14:paraId="0F872CD5">
      <w:pPr>
        <w:spacing w:line="360" w:lineRule="auto"/>
        <w:ind w:firstLine="520" w:firstLineChars="200"/>
        <w:rPr>
          <w:rFonts w:ascii="宋体" w:hAnsi="宋体" w:cs="宋体"/>
          <w:bCs/>
          <w:spacing w:val="10"/>
          <w:sz w:val="24"/>
        </w:rPr>
      </w:pPr>
      <w:bookmarkStart w:id="0" w:name="OLE_LINK1"/>
      <w:bookmarkStart w:id="1" w:name="OLE_LINK2"/>
      <w:r>
        <w:rPr>
          <w:rFonts w:hint="eastAsia" w:ascii="宋体" w:hAnsi="宋体" w:cs="宋体"/>
          <w:bCs/>
          <w:spacing w:val="10"/>
          <w:sz w:val="24"/>
          <w:lang w:val="en-US" w:eastAsia="zh-CN"/>
        </w:rPr>
        <w:t>1.</w:t>
      </w:r>
      <w:r>
        <w:rPr>
          <w:rFonts w:hint="eastAsia" w:ascii="宋体" w:hAnsi="宋体" w:cs="宋体"/>
          <w:bCs/>
          <w:spacing w:val="10"/>
          <w:sz w:val="24"/>
        </w:rPr>
        <w:t>成交供应商提供的</w:t>
      </w:r>
      <w:bookmarkEnd w:id="0"/>
      <w:bookmarkEnd w:id="1"/>
      <w:r>
        <w:rPr>
          <w:rFonts w:hint="eastAsia"/>
          <w:sz w:val="24"/>
        </w:rPr>
        <w:t>机械密封，不得低于原用机械密封的使用性能</w:t>
      </w:r>
      <w:r>
        <w:rPr>
          <w:rFonts w:hint="eastAsia" w:ascii="宋体" w:hAnsi="宋体" w:cs="宋体"/>
          <w:bCs/>
          <w:spacing w:val="10"/>
          <w:sz w:val="24"/>
        </w:rPr>
        <w:t>；</w:t>
      </w:r>
    </w:p>
    <w:p w14:paraId="3E245E95">
      <w:pPr>
        <w:spacing w:line="360" w:lineRule="auto"/>
        <w:ind w:firstLine="480" w:firstLineChars="200"/>
        <w:rPr>
          <w:rFonts w:ascii="宋体" w:hAnsi="宋体"/>
          <w:sz w:val="24"/>
          <w:szCs w:val="24"/>
        </w:rPr>
      </w:pPr>
      <w:r>
        <w:rPr>
          <w:rFonts w:hint="eastAsia" w:ascii="宋体" w:hAnsi="宋体"/>
          <w:sz w:val="24"/>
          <w:szCs w:val="24"/>
        </w:rPr>
        <w:t>2</w:t>
      </w:r>
      <w:r>
        <w:rPr>
          <w:rFonts w:hint="eastAsia" w:ascii="宋体" w:hAnsi="宋体" w:cs="宋体"/>
          <w:bCs/>
          <w:spacing w:val="10"/>
          <w:sz w:val="24"/>
          <w:lang w:val="en-US" w:eastAsia="zh-CN"/>
        </w:rPr>
        <w:t>.</w:t>
      </w:r>
      <w:r>
        <w:rPr>
          <w:rFonts w:hint="eastAsia" w:ascii="宋体" w:hAnsi="宋体"/>
          <w:sz w:val="24"/>
          <w:szCs w:val="24"/>
        </w:rPr>
        <w:t>项目工期：合同签订后30个</w:t>
      </w:r>
      <w:bookmarkStart w:id="6" w:name="_GoBack"/>
      <w:bookmarkEnd w:id="6"/>
      <w:r>
        <w:rPr>
          <w:rFonts w:hint="eastAsia" w:ascii="宋体" w:hAnsi="宋体"/>
          <w:sz w:val="24"/>
          <w:szCs w:val="24"/>
        </w:rPr>
        <w:t>自然日</w:t>
      </w:r>
      <w:r>
        <w:rPr>
          <w:rFonts w:ascii="宋体" w:hAnsi="宋体"/>
          <w:sz w:val="24"/>
          <w:szCs w:val="24"/>
        </w:rPr>
        <w:t>内</w:t>
      </w:r>
      <w:r>
        <w:rPr>
          <w:rFonts w:hint="eastAsia" w:ascii="宋体" w:hAnsi="宋体"/>
          <w:sz w:val="24"/>
          <w:szCs w:val="24"/>
        </w:rPr>
        <w:t xml:space="preserve">； </w:t>
      </w:r>
    </w:p>
    <w:p w14:paraId="2963EB0B">
      <w:pPr>
        <w:spacing w:line="360" w:lineRule="auto"/>
        <w:ind w:firstLine="480" w:firstLineChars="200"/>
        <w:rPr>
          <w:rFonts w:ascii="宋体" w:hAnsi="宋体"/>
          <w:sz w:val="24"/>
          <w:szCs w:val="24"/>
        </w:rPr>
      </w:pPr>
      <w:r>
        <w:rPr>
          <w:rFonts w:hint="eastAsia" w:ascii="宋体" w:hAnsi="宋体"/>
          <w:sz w:val="24"/>
          <w:szCs w:val="24"/>
        </w:rPr>
        <w:t>3</w:t>
      </w:r>
      <w:r>
        <w:rPr>
          <w:rFonts w:hint="eastAsia" w:ascii="宋体" w:hAnsi="宋体" w:cs="宋体"/>
          <w:bCs/>
          <w:spacing w:val="10"/>
          <w:sz w:val="24"/>
          <w:lang w:val="en-US" w:eastAsia="zh-CN"/>
        </w:rPr>
        <w:t>.</w:t>
      </w:r>
      <w:r>
        <w:rPr>
          <w:rFonts w:hint="eastAsia" w:ascii="宋体" w:hAnsi="宋体"/>
          <w:sz w:val="24"/>
          <w:szCs w:val="24"/>
        </w:rPr>
        <w:t>江边污水处理厂地址：江苏省常州市新北区长江北路1201号。</w:t>
      </w:r>
    </w:p>
    <w:p w14:paraId="56835AE9">
      <w:pPr>
        <w:spacing w:line="360" w:lineRule="auto"/>
        <w:ind w:firstLine="480" w:firstLineChars="200"/>
        <w:rPr>
          <w:rFonts w:ascii="宋体" w:hAnsi="宋体"/>
          <w:sz w:val="24"/>
          <w:szCs w:val="24"/>
        </w:rPr>
      </w:pPr>
    </w:p>
    <w:p w14:paraId="10CBB772">
      <w:pPr>
        <w:spacing w:line="360" w:lineRule="auto"/>
        <w:rPr>
          <w:b/>
          <w:sz w:val="24"/>
        </w:rPr>
      </w:pPr>
      <w:r>
        <w:rPr>
          <w:rFonts w:hint="eastAsia"/>
          <w:b/>
          <w:sz w:val="24"/>
          <w:lang w:val="en-US" w:eastAsia="zh-CN"/>
        </w:rPr>
        <w:t>四</w:t>
      </w:r>
      <w:r>
        <w:rPr>
          <w:rFonts w:hint="eastAsia"/>
          <w:b/>
          <w:sz w:val="24"/>
        </w:rPr>
        <w:t>、控制价、质保期</w:t>
      </w:r>
      <w:r>
        <w:rPr>
          <w:b/>
          <w:sz w:val="24"/>
        </w:rPr>
        <w:t>、</w:t>
      </w:r>
      <w:r>
        <w:rPr>
          <w:rFonts w:hint="eastAsia"/>
          <w:b/>
          <w:sz w:val="24"/>
        </w:rPr>
        <w:t>付款方式、发票要求</w:t>
      </w:r>
    </w:p>
    <w:p w14:paraId="48146646">
      <w:pPr>
        <w:spacing w:line="360" w:lineRule="auto"/>
        <w:ind w:firstLine="520" w:firstLineChars="200"/>
        <w:rPr>
          <w:rFonts w:ascii="宋体" w:hAnsi="宋体" w:cs="宋体"/>
          <w:bCs/>
          <w:spacing w:val="10"/>
          <w:sz w:val="24"/>
        </w:rPr>
      </w:pPr>
      <w:r>
        <w:rPr>
          <w:rFonts w:hint="eastAsia" w:ascii="宋体" w:hAnsi="宋体" w:cs="宋体"/>
          <w:bCs/>
          <w:spacing w:val="10"/>
          <w:sz w:val="24"/>
        </w:rPr>
        <w:t>1.本次采购最高限价为：人民币</w:t>
      </w:r>
      <w:r>
        <w:rPr>
          <w:rFonts w:hint="eastAsia" w:ascii="宋体" w:hAnsi="宋体" w:cs="宋体"/>
          <w:b/>
          <w:bCs/>
          <w:spacing w:val="10"/>
          <w:sz w:val="24"/>
        </w:rPr>
        <w:t>93000元整</w:t>
      </w:r>
      <w:r>
        <w:rPr>
          <w:rFonts w:hint="eastAsia" w:ascii="宋体" w:hAnsi="宋体" w:cs="宋体"/>
          <w:bCs/>
          <w:spacing w:val="10"/>
          <w:sz w:val="24"/>
        </w:rPr>
        <w:t>（高于最高限价的报价属于无效报价）；</w:t>
      </w:r>
    </w:p>
    <w:p w14:paraId="223B9A36">
      <w:pPr>
        <w:spacing w:line="360" w:lineRule="auto"/>
        <w:ind w:firstLine="520" w:firstLineChars="200"/>
        <w:rPr>
          <w:rFonts w:ascii="宋体" w:hAnsi="宋体" w:cs="宋体"/>
          <w:bCs/>
          <w:spacing w:val="10"/>
          <w:sz w:val="24"/>
        </w:rPr>
      </w:pPr>
      <w:r>
        <w:rPr>
          <w:rFonts w:ascii="宋体" w:hAnsi="宋体" w:cs="宋体"/>
          <w:bCs/>
          <w:spacing w:val="10"/>
          <w:sz w:val="24"/>
        </w:rPr>
        <w:t>2.</w:t>
      </w:r>
      <w:r>
        <w:rPr>
          <w:rFonts w:hint="eastAsia" w:ascii="宋体" w:hAnsi="宋体" w:cs="宋体"/>
          <w:bCs/>
          <w:spacing w:val="10"/>
          <w:sz w:val="24"/>
        </w:rPr>
        <w:t>质保期：质保</w:t>
      </w:r>
      <w:r>
        <w:rPr>
          <w:rFonts w:ascii="宋体" w:hAnsi="宋体" w:cs="宋体"/>
          <w:b/>
          <w:bCs/>
          <w:spacing w:val="10"/>
          <w:sz w:val="24"/>
        </w:rPr>
        <w:t>1年</w:t>
      </w:r>
      <w:r>
        <w:rPr>
          <w:rFonts w:hint="eastAsia" w:ascii="宋体" w:hAnsi="宋体" w:cs="宋体"/>
          <w:bCs/>
          <w:spacing w:val="10"/>
          <w:sz w:val="24"/>
        </w:rPr>
        <w:t>，</w:t>
      </w:r>
      <w:r>
        <w:rPr>
          <w:rFonts w:ascii="宋体" w:hAnsi="宋体" w:cs="宋体"/>
          <w:bCs/>
          <w:spacing w:val="10"/>
          <w:sz w:val="24"/>
        </w:rPr>
        <w:t>自验收合格之日</w:t>
      </w:r>
      <w:r>
        <w:rPr>
          <w:rFonts w:hint="eastAsia" w:ascii="宋体" w:hAnsi="宋体" w:cs="宋体"/>
          <w:bCs/>
          <w:spacing w:val="10"/>
          <w:sz w:val="24"/>
        </w:rPr>
        <w:t>起开始计</w:t>
      </w:r>
      <w:r>
        <w:rPr>
          <w:rFonts w:ascii="宋体" w:hAnsi="宋体" w:cs="宋体"/>
          <w:bCs/>
          <w:spacing w:val="10"/>
          <w:sz w:val="24"/>
        </w:rPr>
        <w:t>算</w:t>
      </w:r>
      <w:r>
        <w:rPr>
          <w:rFonts w:hint="eastAsia" w:ascii="宋体" w:hAnsi="宋体" w:cs="宋体"/>
          <w:bCs/>
          <w:spacing w:val="10"/>
          <w:sz w:val="24"/>
        </w:rPr>
        <w:t>；</w:t>
      </w:r>
    </w:p>
    <w:p w14:paraId="5DF957DE">
      <w:pPr>
        <w:widowControl/>
        <w:spacing w:line="360" w:lineRule="auto"/>
        <w:ind w:firstLine="480" w:firstLineChars="200"/>
        <w:jc w:val="left"/>
        <w:rPr>
          <w:rFonts w:ascii="宋体" w:hAnsi="宋体"/>
          <w:sz w:val="24"/>
          <w:szCs w:val="24"/>
        </w:rPr>
      </w:pPr>
      <w:r>
        <w:rPr>
          <w:rFonts w:hint="eastAsia" w:ascii="宋体" w:hAnsi="宋体"/>
          <w:sz w:val="24"/>
        </w:rPr>
        <w:t>3. 成交供应商项目完成、经采购人试运行验收合格后，</w:t>
      </w:r>
      <w:r>
        <w:rPr>
          <w:rFonts w:hint="eastAsia" w:ascii="宋体" w:hAnsi="宋体"/>
          <w:bCs/>
          <w:sz w:val="24"/>
          <w:szCs w:val="24"/>
        </w:rPr>
        <w:t>成交供应商提供金额为合同总价</w:t>
      </w:r>
      <w:r>
        <w:rPr>
          <w:rFonts w:ascii="宋体" w:hAnsi="宋体"/>
          <w:bCs/>
          <w:sz w:val="24"/>
          <w:szCs w:val="24"/>
        </w:rPr>
        <w:t>100%的增值税专用发票，经采购单位审核无误后，采购单位</w:t>
      </w:r>
      <w:r>
        <w:rPr>
          <w:rFonts w:hint="eastAsia" w:ascii="宋体" w:hAnsi="宋体"/>
          <w:bCs/>
          <w:sz w:val="24"/>
          <w:szCs w:val="24"/>
        </w:rPr>
        <w:t>支付</w:t>
      </w:r>
      <w:r>
        <w:rPr>
          <w:rFonts w:hint="eastAsia" w:ascii="宋体" w:hAnsi="宋体"/>
          <w:sz w:val="24"/>
          <w:szCs w:val="24"/>
        </w:rPr>
        <w:t>合同金额90%的款项，余下款项（10%质保金）质保期满验收合格后无息退还。</w:t>
      </w:r>
    </w:p>
    <w:p w14:paraId="57C6E631">
      <w:pPr>
        <w:spacing w:line="360" w:lineRule="exact"/>
        <w:jc w:val="center"/>
        <w:rPr>
          <w:rFonts w:hint="eastAsia"/>
          <w:b/>
          <w:sz w:val="30"/>
          <w:szCs w:val="30"/>
        </w:rPr>
        <w:sectPr>
          <w:pgSz w:w="11907" w:h="16839"/>
          <w:pgMar w:top="1440" w:right="1797" w:bottom="1440" w:left="1797" w:header="851" w:footer="992" w:gutter="0"/>
          <w:pgNumType w:start="1"/>
          <w:cols w:space="720" w:num="1"/>
        </w:sectPr>
      </w:pPr>
    </w:p>
    <w:p w14:paraId="588284F4">
      <w:pPr>
        <w:spacing w:line="360" w:lineRule="exact"/>
        <w:jc w:val="center"/>
        <w:rPr>
          <w:b/>
          <w:sz w:val="30"/>
          <w:szCs w:val="30"/>
        </w:rPr>
      </w:pPr>
      <w:r>
        <w:rPr>
          <w:rFonts w:hint="eastAsia"/>
          <w:b/>
          <w:sz w:val="30"/>
          <w:szCs w:val="30"/>
        </w:rPr>
        <w:t>江边厂三期搅拌器、推流器机封采购合同</w:t>
      </w:r>
    </w:p>
    <w:p w14:paraId="0A88582F">
      <w:pPr>
        <w:spacing w:line="360" w:lineRule="exact"/>
        <w:rPr>
          <w:b/>
          <w:sz w:val="30"/>
          <w:szCs w:val="30"/>
        </w:rPr>
      </w:pPr>
    </w:p>
    <w:p w14:paraId="72ADDFEC">
      <w:pPr>
        <w:spacing w:line="360" w:lineRule="exact"/>
        <w:rPr>
          <w:rFonts w:cs="宋体" w:asciiTheme="minorEastAsia" w:hAnsiTheme="minorEastAsia" w:eastAsiaTheme="minorEastAsia"/>
          <w:u w:val="single"/>
        </w:rPr>
      </w:pPr>
      <w:r>
        <w:rPr>
          <w:rFonts w:hint="eastAsia" w:asciiTheme="minorEastAsia" w:hAnsiTheme="minorEastAsia" w:eastAsiaTheme="minorEastAsia"/>
        </w:rPr>
        <w:t>甲方:</w:t>
      </w:r>
      <w:r>
        <w:rPr>
          <w:rFonts w:hint="eastAsia" w:asciiTheme="minorEastAsia" w:hAnsiTheme="minorEastAsia" w:eastAsiaTheme="minorEastAsia"/>
          <w:u w:val="single"/>
        </w:rPr>
        <w:t xml:space="preserve">常州市城市排水有限公司      </w:t>
      </w:r>
      <w:r>
        <w:rPr>
          <w:rFonts w:hint="eastAsia" w:asciiTheme="minorEastAsia" w:hAnsiTheme="minorEastAsia" w:eastAsiaTheme="minorEastAsia"/>
        </w:rPr>
        <w:t xml:space="preserve">          合同编号：</w:t>
      </w:r>
      <w:r>
        <w:rPr>
          <w:rFonts w:hint="eastAsia" w:cs="宋体" w:asciiTheme="minorEastAsia" w:hAnsiTheme="minorEastAsia" w:eastAsiaTheme="minorEastAsia"/>
          <w:u w:val="single"/>
        </w:rPr>
        <w:t>G-YGK-HW-</w:t>
      </w:r>
    </w:p>
    <w:p w14:paraId="4DE0970B">
      <w:pPr>
        <w:spacing w:line="360" w:lineRule="exact"/>
        <w:rPr>
          <w:rFonts w:asciiTheme="minorEastAsia" w:hAnsiTheme="minorEastAsia" w:eastAsiaTheme="minorEastAsia"/>
          <w:u w:val="single"/>
        </w:rPr>
      </w:pPr>
      <w:r>
        <w:rPr>
          <w:rFonts w:hint="eastAsia" w:asciiTheme="minorEastAsia" w:hAnsiTheme="minorEastAsia" w:eastAsiaTheme="minorEastAsia"/>
        </w:rPr>
        <w:t>乙方:</w:t>
      </w: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签订时间：</w:t>
      </w:r>
      <w:r>
        <w:rPr>
          <w:rFonts w:hint="eastAsia" w:asciiTheme="minorEastAsia" w:hAnsiTheme="minorEastAsia" w:eastAsiaTheme="minorEastAsia"/>
          <w:u w:val="single"/>
        </w:rPr>
        <w:t xml:space="preserve">         </w:t>
      </w:r>
    </w:p>
    <w:p w14:paraId="0DFB1434">
      <w:pPr>
        <w:snapToGrid w:val="0"/>
        <w:spacing w:line="360" w:lineRule="exact"/>
        <w:jc w:val="left"/>
        <w:rPr>
          <w:rFonts w:asciiTheme="minorEastAsia" w:hAnsiTheme="minorEastAsia" w:eastAsiaTheme="minorEastAsia"/>
        </w:rPr>
      </w:pPr>
    </w:p>
    <w:p w14:paraId="30A1E143">
      <w:pPr>
        <w:snapToGrid w:val="0"/>
        <w:spacing w:line="360" w:lineRule="exact"/>
        <w:ind w:firstLine="420" w:firstLineChars="200"/>
        <w:jc w:val="left"/>
        <w:rPr>
          <w:rFonts w:asciiTheme="minorEastAsia" w:hAnsiTheme="minorEastAsia" w:eastAsiaTheme="minorEastAsia"/>
        </w:rPr>
      </w:pPr>
      <w:r>
        <w:rPr>
          <w:rFonts w:hint="eastAsia" w:asciiTheme="minorEastAsia" w:hAnsiTheme="minorEastAsia" w:eastAsiaTheme="minorEastAsia"/>
        </w:rPr>
        <w:t>根据《中华人民共和国民法典》等法律法规的规定，经甲乙双方协商一致，自愿签订本合同。</w:t>
      </w:r>
    </w:p>
    <w:p w14:paraId="042C5751">
      <w:pPr>
        <w:spacing w:beforeLines="50" w:line="360" w:lineRule="exact"/>
        <w:ind w:firstLine="422" w:firstLineChars="200"/>
        <w:jc w:val="left"/>
        <w:rPr>
          <w:rFonts w:ascii="宋体" w:hAnsi="宋体"/>
          <w:b/>
        </w:rPr>
      </w:pPr>
      <w:r>
        <w:rPr>
          <w:rFonts w:hint="eastAsia" w:ascii="宋体" w:hAnsi="宋体"/>
          <w:b/>
        </w:rPr>
        <w:t>第一条 合同概况</w:t>
      </w:r>
    </w:p>
    <w:p w14:paraId="2ADC2E5C">
      <w:pPr>
        <w:spacing w:line="360" w:lineRule="exact"/>
        <w:ind w:firstLine="424" w:firstLineChars="202"/>
        <w:rPr>
          <w:rFonts w:ascii="宋体" w:hAnsi="宋体"/>
        </w:rPr>
      </w:pPr>
      <w:r>
        <w:rPr>
          <w:rFonts w:hint="eastAsia" w:ascii="宋体" w:hAnsi="宋体"/>
        </w:rPr>
        <w:t>1.采购清单：见附件1。</w:t>
      </w:r>
    </w:p>
    <w:p w14:paraId="0FC4590E">
      <w:pPr>
        <w:spacing w:line="360" w:lineRule="exact"/>
        <w:ind w:firstLine="424" w:firstLineChars="202"/>
        <w:rPr>
          <w:rFonts w:ascii="宋体" w:hAnsi="宋体"/>
        </w:rPr>
      </w:pPr>
      <w:r>
        <w:rPr>
          <w:rFonts w:hint="eastAsia" w:asciiTheme="minorEastAsia" w:hAnsiTheme="minorEastAsia" w:eastAsiaTheme="minorEastAsia"/>
        </w:rPr>
        <w:t>2.交货</w:t>
      </w:r>
      <w:r>
        <w:rPr>
          <w:rFonts w:hint="eastAsia" w:ascii="宋体" w:hAnsi="宋体"/>
        </w:rPr>
        <w:t>期：乙方应在</w:t>
      </w:r>
      <w:r>
        <w:rPr>
          <w:rFonts w:hint="eastAsia" w:asciiTheme="minorEastAsia" w:hAnsiTheme="minorEastAsia" w:eastAsiaTheme="minorEastAsia"/>
          <w:snapToGrid w:val="0"/>
        </w:rPr>
        <w:t>合同签订之日起</w:t>
      </w:r>
      <w:r>
        <w:rPr>
          <w:rFonts w:hint="eastAsia" w:asciiTheme="minorEastAsia" w:hAnsiTheme="minorEastAsia" w:eastAsiaTheme="minorEastAsia"/>
          <w:snapToGrid w:val="0"/>
          <w:u w:val="single"/>
        </w:rPr>
        <w:t>30个自然日</w:t>
      </w:r>
      <w:r>
        <w:rPr>
          <w:rFonts w:hint="eastAsia" w:asciiTheme="minorEastAsia" w:hAnsiTheme="minorEastAsia" w:eastAsiaTheme="minorEastAsia"/>
          <w:snapToGrid w:val="0"/>
        </w:rPr>
        <w:t>内将货物交付到指定地点。</w:t>
      </w:r>
    </w:p>
    <w:p w14:paraId="1C93A12D">
      <w:pPr>
        <w:adjustRightInd w:val="0"/>
        <w:snapToGrid w:val="0"/>
        <w:spacing w:line="360" w:lineRule="exact"/>
        <w:ind w:firstLine="525" w:firstLineChars="250"/>
        <w:rPr>
          <w:rFonts w:asciiTheme="minorEastAsia" w:hAnsiTheme="minorEastAsia" w:eastAsiaTheme="minorEastAsia"/>
          <w:snapToGrid w:val="0"/>
        </w:rPr>
      </w:pPr>
    </w:p>
    <w:p w14:paraId="0BF6AB52">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第二条 合同价格与支付</w:t>
      </w:r>
    </w:p>
    <w:p w14:paraId="305D4F1B">
      <w:pPr>
        <w:spacing w:line="360" w:lineRule="exact"/>
        <w:ind w:firstLine="422" w:firstLineChars="200"/>
        <w:rPr>
          <w:rFonts w:asciiTheme="minorEastAsia" w:hAnsiTheme="minorEastAsia" w:eastAsiaTheme="minorEastAsia"/>
          <w:b/>
          <w:snapToGrid w:val="0"/>
        </w:rPr>
      </w:pPr>
      <w:r>
        <w:rPr>
          <w:rFonts w:hint="eastAsia" w:asciiTheme="minorEastAsia" w:hAnsiTheme="minorEastAsia" w:eastAsiaTheme="minorEastAsia"/>
          <w:b/>
          <w:snapToGrid w:val="0"/>
        </w:rPr>
        <w:t>1.合同价格</w:t>
      </w:r>
    </w:p>
    <w:p w14:paraId="745EAA32">
      <w:pPr>
        <w:snapToGrid w:val="0"/>
        <w:spacing w:line="360" w:lineRule="exact"/>
        <w:ind w:firstLine="426"/>
        <w:jc w:val="left"/>
        <w:rPr>
          <w:rFonts w:ascii="宋体" w:hAnsi="宋体" w:cs="宋体"/>
        </w:rPr>
      </w:pPr>
      <w:r>
        <w:rPr>
          <w:rFonts w:hint="eastAsia" w:asciiTheme="minorEastAsia" w:hAnsiTheme="minorEastAsia" w:eastAsiaTheme="minorEastAsia"/>
          <w:snapToGrid w:val="0"/>
        </w:rPr>
        <w:t>1.1本合同为固定单价合同，具体单价详见附件1采购清单，</w:t>
      </w:r>
      <w:r>
        <w:rPr>
          <w:rFonts w:hint="eastAsia" w:ascii="宋体" w:hAnsi="宋体" w:cs="宋体"/>
        </w:rPr>
        <w:t>合同总价为</w:t>
      </w:r>
      <w:r>
        <w:rPr>
          <w:rFonts w:hint="eastAsia" w:ascii="宋体" w:hAnsi="宋体" w:cs="宋体"/>
          <w:u w:val="single"/>
        </w:rPr>
        <w:t xml:space="preserve">   元（人民币大写   圆整）</w:t>
      </w:r>
      <w:r>
        <w:rPr>
          <w:rFonts w:hint="eastAsia" w:ascii="宋体" w:hAnsi="宋体" w:cs="宋体"/>
        </w:rPr>
        <w:t>。</w:t>
      </w:r>
    </w:p>
    <w:p w14:paraId="0C96ABFE">
      <w:pPr>
        <w:spacing w:line="360" w:lineRule="exact"/>
        <w:ind w:firstLine="420" w:firstLineChars="200"/>
        <w:rPr>
          <w:rFonts w:asciiTheme="minorEastAsia" w:hAnsiTheme="minorEastAsia" w:eastAsiaTheme="minorEastAsia"/>
          <w:snapToGrid w:val="0"/>
        </w:rPr>
      </w:pPr>
      <w:r>
        <w:rPr>
          <w:rFonts w:hint="eastAsia" w:asciiTheme="minorEastAsia" w:hAnsiTheme="minorEastAsia" w:eastAsiaTheme="minorEastAsia"/>
          <w:snapToGrid w:val="0"/>
        </w:rPr>
        <w:t>1.2甲方有权对采购货物的数量在一定范围内进行调整，单价仍按本合同单价确定。</w:t>
      </w:r>
    </w:p>
    <w:p w14:paraId="46D66665">
      <w:pPr>
        <w:spacing w:line="360" w:lineRule="exact"/>
        <w:ind w:firstLine="420" w:firstLineChars="200"/>
        <w:rPr>
          <w:rFonts w:ascii="宋体" w:hAnsi="宋体"/>
          <w:snapToGrid w:val="0"/>
        </w:rPr>
      </w:pPr>
      <w:r>
        <w:rPr>
          <w:rFonts w:hint="eastAsia" w:ascii="宋体" w:hAnsi="宋体"/>
          <w:snapToGrid w:val="0"/>
        </w:rPr>
        <w:t>1.3以上合同价格包括</w:t>
      </w:r>
      <w:r>
        <w:rPr>
          <w:rFonts w:hint="eastAsia" w:asciiTheme="minorEastAsia" w:hAnsiTheme="minorEastAsia" w:eastAsiaTheme="minorEastAsia"/>
          <w:snapToGrid w:val="0"/>
        </w:rPr>
        <w:t>货物、</w:t>
      </w:r>
      <w:r>
        <w:rPr>
          <w:rFonts w:hint="eastAsia" w:ascii="宋体" w:hAnsi="宋体"/>
          <w:snapToGrid w:val="0"/>
        </w:rPr>
        <w:t>货物包装、保险、运输、装卸、技术服务费及乙方应交纳的各项税款（增值税及其它税费）等全部费用。</w:t>
      </w:r>
    </w:p>
    <w:p w14:paraId="534207FD">
      <w:pPr>
        <w:spacing w:line="360" w:lineRule="exact"/>
        <w:ind w:firstLine="420" w:firstLineChars="200"/>
        <w:rPr>
          <w:rFonts w:ascii="宋体" w:hAnsi="宋体" w:cs="宋体"/>
        </w:rPr>
      </w:pPr>
      <w:r>
        <w:rPr>
          <w:rFonts w:hint="eastAsia" w:ascii="宋体" w:hAnsi="宋体" w:cs="宋体"/>
        </w:rPr>
        <w:t>1.4如果在履行合同过程中适用的税收政策发生变化，都不再对合同价格进行调整。本合同涉及的发票均需按付款时的增值税税率开具，该税费已包含在合同价款中。</w:t>
      </w:r>
    </w:p>
    <w:p w14:paraId="424F5C9E">
      <w:pPr>
        <w:spacing w:line="360" w:lineRule="exact"/>
        <w:ind w:firstLine="422" w:firstLineChars="200"/>
        <w:rPr>
          <w:rFonts w:ascii="宋体" w:hAnsi="宋体" w:cs="宋体"/>
          <w:b/>
        </w:rPr>
      </w:pPr>
      <w:r>
        <w:rPr>
          <w:rFonts w:hint="eastAsia" w:ascii="宋体" w:hAnsi="宋体" w:cs="宋体"/>
          <w:b/>
        </w:rPr>
        <w:t>2.支付</w:t>
      </w:r>
    </w:p>
    <w:p w14:paraId="65EEF479">
      <w:pPr>
        <w:spacing w:line="360" w:lineRule="exact"/>
        <w:ind w:firstLine="424" w:firstLineChars="202"/>
        <w:rPr>
          <w:rFonts w:asciiTheme="minorEastAsia" w:hAnsiTheme="minorEastAsia" w:eastAsiaTheme="minorEastAsia"/>
        </w:rPr>
      </w:pPr>
      <w:r>
        <w:rPr>
          <w:rFonts w:hint="eastAsia" w:ascii="宋体" w:hAnsi="宋体" w:cs="宋体"/>
        </w:rPr>
        <w:t>2.1合同签订后，已方在规定时间内完成供货及安装，经甲方验收合格后，乙方提供金额为合同总价100%的增值税专用发票。30个工作日内，甲方向乙方支付合同总价的90%，余款（10%的质保金）质保期满验收合格后30个工作日内无息退还。</w:t>
      </w:r>
    </w:p>
    <w:p w14:paraId="6ABE241E">
      <w:pPr>
        <w:spacing w:line="360" w:lineRule="exact"/>
        <w:ind w:firstLine="420" w:firstLineChars="200"/>
        <w:rPr>
          <w:rFonts w:ascii="宋体" w:hAnsi="宋体"/>
          <w:snapToGrid w:val="0"/>
        </w:rPr>
      </w:pPr>
      <w:r>
        <w:rPr>
          <w:rFonts w:hint="eastAsia" w:ascii="宋体" w:hAnsi="宋体"/>
          <w:snapToGrid w:val="0"/>
        </w:rPr>
        <w:t>2.2甲方应将货款汇入以下乙方账户：</w:t>
      </w:r>
    </w:p>
    <w:p w14:paraId="61EB6F55">
      <w:pPr>
        <w:spacing w:line="360" w:lineRule="exact"/>
        <w:ind w:firstLine="420" w:firstLineChars="200"/>
        <w:rPr>
          <w:rFonts w:ascii="宋体" w:hAnsi="宋体"/>
          <w:snapToGrid w:val="0"/>
        </w:rPr>
      </w:pPr>
      <w:r>
        <w:rPr>
          <w:rFonts w:hint="eastAsia" w:ascii="宋体" w:hAnsi="宋体"/>
          <w:snapToGrid w:val="0"/>
        </w:rPr>
        <w:t>户名：</w:t>
      </w:r>
      <w:r>
        <w:rPr>
          <w:rFonts w:hint="eastAsia" w:ascii="宋体" w:hAnsi="宋体"/>
          <w:snapToGrid w:val="0"/>
          <w:u w:val="single"/>
        </w:rPr>
        <w:t xml:space="preserve">                       </w:t>
      </w:r>
      <w:r>
        <w:rPr>
          <w:rFonts w:hint="eastAsia" w:ascii="宋体" w:hAnsi="宋体"/>
          <w:snapToGrid w:val="0"/>
        </w:rPr>
        <w:t>；帐号：</w:t>
      </w:r>
      <w:r>
        <w:rPr>
          <w:rFonts w:hint="eastAsia" w:ascii="宋体" w:hAnsi="宋体"/>
          <w:snapToGrid w:val="0"/>
          <w:u w:val="single"/>
        </w:rPr>
        <w:t xml:space="preserve">                      </w:t>
      </w:r>
      <w:r>
        <w:rPr>
          <w:rFonts w:hint="eastAsia" w:ascii="宋体" w:hAnsi="宋体"/>
          <w:snapToGrid w:val="0"/>
        </w:rPr>
        <w:t>；开户行：</w:t>
      </w:r>
      <w:r>
        <w:rPr>
          <w:rFonts w:hint="eastAsia" w:ascii="宋体" w:hAnsi="宋体"/>
          <w:snapToGrid w:val="0"/>
          <w:u w:val="single"/>
        </w:rPr>
        <w:t xml:space="preserve">              </w:t>
      </w:r>
      <w:r>
        <w:rPr>
          <w:rFonts w:hint="eastAsia" w:ascii="宋体" w:hAnsi="宋体"/>
          <w:snapToGrid w:val="0"/>
        </w:rPr>
        <w:t>。</w:t>
      </w:r>
    </w:p>
    <w:p w14:paraId="348BBE35">
      <w:pPr>
        <w:spacing w:line="360" w:lineRule="exact"/>
        <w:ind w:firstLine="420" w:firstLineChars="200"/>
        <w:rPr>
          <w:rFonts w:ascii="宋体" w:hAnsi="宋体"/>
          <w:snapToGrid w:val="0"/>
        </w:rPr>
      </w:pPr>
      <w:r>
        <w:rPr>
          <w:rFonts w:hint="eastAsia" w:ascii="宋体" w:hAnsi="宋体"/>
          <w:snapToGrid w:val="0"/>
        </w:rPr>
        <w:t>如乙方的账户信息错误或发生变更，须书面通知甲方，否则一切后果由乙方承担。</w:t>
      </w:r>
    </w:p>
    <w:p w14:paraId="730DD821">
      <w:pPr>
        <w:spacing w:line="360" w:lineRule="exact"/>
        <w:ind w:firstLine="424" w:firstLineChars="202"/>
        <w:rPr>
          <w:rFonts w:ascii="宋体" w:hAnsi="宋体" w:cs="宋体"/>
        </w:rPr>
      </w:pPr>
    </w:p>
    <w:p w14:paraId="44C90423">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第三条 验收</w:t>
      </w:r>
    </w:p>
    <w:p w14:paraId="22375349">
      <w:pPr>
        <w:spacing w:line="360" w:lineRule="exact"/>
        <w:ind w:right="-618" w:firstLine="420"/>
        <w:rPr>
          <w:rFonts w:ascii="宋体" w:hAnsi="宋体"/>
        </w:rPr>
      </w:pPr>
      <w:r>
        <w:rPr>
          <w:rFonts w:hint="eastAsia"/>
        </w:rPr>
        <w:t>运行验收标准：安装完成后须进行调试运行</w:t>
      </w:r>
      <w:r>
        <w:rPr>
          <w:rFonts w:hint="eastAsia" w:ascii="宋体" w:hAnsi="宋体" w:cs="Gungsuh"/>
        </w:rPr>
        <w:t>，流量、扬程、自吸高度等性能参数须满足使用要求，运行平稳无异响。</w:t>
      </w:r>
      <w:r>
        <w:rPr>
          <w:rFonts w:hint="eastAsia"/>
        </w:rPr>
        <w:t>通过运行验收的双方应签署完工验收单（见附件3）。</w:t>
      </w:r>
    </w:p>
    <w:p w14:paraId="454C9149">
      <w:pPr>
        <w:snapToGrid w:val="0"/>
        <w:spacing w:line="360" w:lineRule="exact"/>
        <w:ind w:firstLine="422" w:firstLineChars="200"/>
        <w:jc w:val="left"/>
        <w:rPr>
          <w:rFonts w:cs="宋体" w:asciiTheme="minorEastAsia" w:hAnsiTheme="minorEastAsia" w:eastAsiaTheme="minorEastAsia"/>
          <w:b/>
          <w:bCs/>
        </w:rPr>
      </w:pPr>
    </w:p>
    <w:p w14:paraId="7841969F">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第四条 质量保证</w:t>
      </w:r>
    </w:p>
    <w:p w14:paraId="4CB778FF">
      <w:pPr>
        <w:snapToGrid w:val="0"/>
        <w:spacing w:line="360" w:lineRule="exact"/>
        <w:ind w:firstLine="420" w:firstLineChars="200"/>
        <w:jc w:val="left"/>
      </w:pPr>
      <w:r>
        <w:rPr>
          <w:rFonts w:hint="eastAsia" w:cs="宋体" w:asciiTheme="minorEastAsia" w:hAnsiTheme="minorEastAsia" w:eastAsiaTheme="minorEastAsia"/>
          <w:bCs/>
        </w:rPr>
        <w:t>1.质保期：</w:t>
      </w:r>
      <w:r>
        <w:rPr>
          <w:rFonts w:hint="eastAsia"/>
        </w:rPr>
        <w:t>质保期为</w:t>
      </w:r>
      <w:r>
        <w:rPr>
          <w:rFonts w:hint="eastAsia"/>
          <w:color w:val="000000" w:themeColor="text1"/>
          <w:u w:val="single"/>
        </w:rPr>
        <w:t>1</w:t>
      </w:r>
      <w:r>
        <w:rPr>
          <w:rFonts w:hint="eastAsia"/>
        </w:rPr>
        <w:t>年，自卸药泵运行</w:t>
      </w:r>
      <w:r>
        <w:t>验收合格之日起</w:t>
      </w:r>
      <w:r>
        <w:rPr>
          <w:rFonts w:hint="eastAsia"/>
        </w:rPr>
        <w:t>计算。在质保期内因乙方提供泵出现质量或安装问题导致故障，由乙方负责返修或更换，由此产生的所有费用由乙方承担，</w:t>
      </w:r>
      <w:r>
        <w:rPr>
          <w:rFonts w:hint="eastAsia"/>
          <w:b/>
          <w:bCs/>
        </w:rPr>
        <w:t>同时质保期自</w:t>
      </w:r>
      <w:r>
        <w:rPr>
          <w:b/>
          <w:bCs/>
        </w:rPr>
        <w:t>返修完毕之日起重新计算</w:t>
      </w:r>
      <w:r>
        <w:rPr>
          <w:rFonts w:hint="eastAsia"/>
        </w:rPr>
        <w:t>，经双方确认其他异常情况除外。</w:t>
      </w:r>
    </w:p>
    <w:p w14:paraId="72990C0C">
      <w:pPr>
        <w:snapToGrid w:val="0"/>
        <w:spacing w:line="360" w:lineRule="exact"/>
        <w:ind w:firstLine="420" w:firstLineChars="200"/>
        <w:jc w:val="left"/>
        <w:rPr>
          <w:rFonts w:cs="宋体" w:asciiTheme="minorEastAsia" w:hAnsiTheme="minorEastAsia" w:eastAsiaTheme="minorEastAsia"/>
          <w:bCs/>
        </w:rPr>
      </w:pPr>
      <w:r>
        <w:rPr>
          <w:rFonts w:hint="eastAsia" w:cs="宋体" w:asciiTheme="minorEastAsia" w:hAnsiTheme="minorEastAsia" w:eastAsiaTheme="minorEastAsia"/>
          <w:bCs/>
        </w:rPr>
        <w:t>2.质保要求：</w:t>
      </w:r>
      <w:r>
        <w:t>乙方应在接到甲方通知后</w:t>
      </w:r>
      <w:r>
        <w:rPr>
          <w:rFonts w:hint="eastAsia"/>
        </w:rPr>
        <w:t>2小时内响应，24</w:t>
      </w:r>
      <w:r>
        <w:t>小时内派人处理</w:t>
      </w:r>
      <w:r>
        <w:rPr>
          <w:rFonts w:hint="eastAsia"/>
        </w:rPr>
        <w:t>，维修工作应在甲方要求的时间内完成</w:t>
      </w:r>
      <w:r>
        <w:t>。</w:t>
      </w:r>
    </w:p>
    <w:p w14:paraId="26947CBE">
      <w:pPr>
        <w:snapToGrid w:val="0"/>
        <w:spacing w:line="360" w:lineRule="exact"/>
        <w:jc w:val="left"/>
        <w:rPr>
          <w:rFonts w:asciiTheme="minorEastAsia" w:hAnsiTheme="minorEastAsia" w:eastAsiaTheme="minorEastAsia"/>
          <w:snapToGrid w:val="0"/>
        </w:rPr>
      </w:pPr>
    </w:p>
    <w:p w14:paraId="75FEB210">
      <w:pPr>
        <w:spacing w:line="360" w:lineRule="exact"/>
        <w:ind w:firstLine="420"/>
        <w:rPr>
          <w:rFonts w:ascii="宋体" w:hAnsi="宋体" w:cs="宋体"/>
          <w:b/>
          <w:snapToGrid w:val="0"/>
          <w:color w:val="000000"/>
        </w:rPr>
      </w:pPr>
      <w:r>
        <w:rPr>
          <w:rFonts w:hint="eastAsia" w:ascii="宋体" w:hAnsi="宋体" w:cs="宋体"/>
          <w:b/>
          <w:snapToGrid w:val="0"/>
          <w:color w:val="000000"/>
        </w:rPr>
        <w:t>第五条 索赔</w:t>
      </w:r>
    </w:p>
    <w:p w14:paraId="05D87A73">
      <w:pPr>
        <w:tabs>
          <w:tab w:val="left" w:pos="426"/>
        </w:tabs>
        <w:adjustRightInd w:val="0"/>
        <w:snapToGrid w:val="0"/>
        <w:spacing w:line="360" w:lineRule="exact"/>
        <w:ind w:firstLine="420" w:firstLineChars="200"/>
        <w:jc w:val="left"/>
        <w:rPr>
          <w:rFonts w:asciiTheme="minorEastAsia" w:hAnsiTheme="minorEastAsia" w:eastAsiaTheme="minorEastAsia"/>
        </w:rPr>
      </w:pPr>
      <w:r>
        <w:rPr>
          <w:rFonts w:hint="eastAsia" w:asciiTheme="minorEastAsia" w:hAnsiTheme="minorEastAsia" w:eastAsiaTheme="minorEastAsia"/>
        </w:rPr>
        <w:t>如果乙方提供的货物在检验和</w:t>
      </w:r>
      <w:r>
        <w:rPr>
          <w:rFonts w:hint="eastAsia" w:asciiTheme="minorEastAsia" w:hAnsiTheme="minorEastAsia" w:eastAsiaTheme="minorEastAsia"/>
          <w:snapToGrid w:val="0"/>
        </w:rPr>
        <w:t>质量缺陷追溯时间</w:t>
      </w:r>
      <w:r>
        <w:rPr>
          <w:rFonts w:hint="eastAsia" w:asciiTheme="minorEastAsia" w:hAnsiTheme="minorEastAsia" w:eastAsiaTheme="minorEastAsia"/>
        </w:rPr>
        <w:t>内发现与合同规定不符，乙方应按甲方同意的下述方法之一解决索赔事宜：</w:t>
      </w:r>
    </w:p>
    <w:p w14:paraId="3FEA4E95">
      <w:pPr>
        <w:tabs>
          <w:tab w:val="left" w:pos="426"/>
        </w:tabs>
        <w:adjustRightInd w:val="0"/>
        <w:snapToGrid w:val="0"/>
        <w:spacing w:line="360" w:lineRule="exact"/>
        <w:ind w:firstLine="420" w:firstLineChars="200"/>
        <w:jc w:val="left"/>
        <w:rPr>
          <w:rFonts w:asciiTheme="minorEastAsia" w:hAnsiTheme="minorEastAsia" w:eastAsiaTheme="minorEastAsia"/>
        </w:rPr>
      </w:pPr>
      <w:r>
        <w:rPr>
          <w:rFonts w:hint="eastAsia" w:asciiTheme="minorEastAsia" w:hAnsiTheme="minorEastAsia" w:eastAsiaTheme="minorEastAsia"/>
        </w:rPr>
        <w:t>a</w:t>
      </w:r>
      <w:r>
        <w:rPr>
          <w:rFonts w:asciiTheme="minorEastAsia" w:hAnsiTheme="minorEastAsia" w:eastAsiaTheme="minorEastAsia"/>
        </w:rPr>
        <w:t>)</w:t>
      </w:r>
      <w:r>
        <w:rPr>
          <w:rFonts w:hint="eastAsia" w:asciiTheme="minorEastAsia" w:hAnsiTheme="minorEastAsia" w:eastAsiaTheme="minorEastAsia"/>
        </w:rPr>
        <w:t>维修、</w:t>
      </w:r>
      <w:r>
        <w:rPr>
          <w:rFonts w:asciiTheme="minorEastAsia" w:hAnsiTheme="minorEastAsia" w:eastAsiaTheme="minorEastAsia"/>
        </w:rPr>
        <w:t>更换</w:t>
      </w:r>
      <w:r>
        <w:rPr>
          <w:rFonts w:hint="eastAsia" w:asciiTheme="minorEastAsia" w:hAnsiTheme="minorEastAsia" w:eastAsiaTheme="minorEastAsia"/>
        </w:rPr>
        <w:t>：</w:t>
      </w:r>
      <w:r>
        <w:rPr>
          <w:rFonts w:asciiTheme="minorEastAsia" w:hAnsiTheme="minorEastAsia" w:eastAsiaTheme="minorEastAsia"/>
        </w:rPr>
        <w:t>用符合规格、质量和性能要求的新零件、部件或</w:t>
      </w:r>
      <w:r>
        <w:rPr>
          <w:rFonts w:hint="eastAsia" w:asciiTheme="minorEastAsia" w:hAnsiTheme="minorEastAsia" w:eastAsiaTheme="minorEastAsia"/>
        </w:rPr>
        <w:t>产品</w:t>
      </w:r>
      <w:r>
        <w:rPr>
          <w:rFonts w:asciiTheme="minorEastAsia" w:hAnsiTheme="minorEastAsia" w:eastAsiaTheme="minorEastAsia"/>
        </w:rPr>
        <w:t>更换</w:t>
      </w:r>
      <w:r>
        <w:rPr>
          <w:rFonts w:hint="eastAsia" w:asciiTheme="minorEastAsia" w:hAnsiTheme="minorEastAsia" w:eastAsiaTheme="minorEastAsia"/>
        </w:rPr>
        <w:t>或维修</w:t>
      </w:r>
      <w:r>
        <w:rPr>
          <w:rFonts w:asciiTheme="minorEastAsia" w:hAnsiTheme="minorEastAsia" w:eastAsiaTheme="minorEastAsia"/>
        </w:rPr>
        <w:t>有缺陷的部分，乙方应承担</w:t>
      </w:r>
      <w:r>
        <w:rPr>
          <w:rFonts w:hint="eastAsia" w:asciiTheme="minorEastAsia" w:hAnsiTheme="minorEastAsia" w:eastAsiaTheme="minorEastAsia"/>
        </w:rPr>
        <w:t>由此产生</w:t>
      </w:r>
      <w:r>
        <w:rPr>
          <w:rFonts w:asciiTheme="minorEastAsia" w:hAnsiTheme="minorEastAsia" w:eastAsiaTheme="minorEastAsia"/>
        </w:rPr>
        <w:t>的一切费用</w:t>
      </w:r>
      <w:r>
        <w:rPr>
          <w:rFonts w:hint="eastAsia" w:asciiTheme="minorEastAsia" w:hAnsiTheme="minorEastAsia" w:eastAsiaTheme="minorEastAsia"/>
        </w:rPr>
        <w:t>，并按第2.2条的规定</w:t>
      </w:r>
      <w:r>
        <w:rPr>
          <w:rFonts w:asciiTheme="minorEastAsia" w:hAnsiTheme="minorEastAsia" w:eastAsiaTheme="minorEastAsia"/>
        </w:rPr>
        <w:t>相应延长</w:t>
      </w:r>
      <w:r>
        <w:rPr>
          <w:rFonts w:hint="eastAsia" w:asciiTheme="minorEastAsia" w:hAnsiTheme="minorEastAsia" w:eastAsiaTheme="minorEastAsia"/>
        </w:rPr>
        <w:t>产品</w:t>
      </w:r>
      <w:r>
        <w:rPr>
          <w:rFonts w:asciiTheme="minorEastAsia" w:hAnsiTheme="minorEastAsia" w:eastAsiaTheme="minorEastAsia"/>
        </w:rPr>
        <w:t>或更换件的质保期。</w:t>
      </w:r>
    </w:p>
    <w:p w14:paraId="4827D7A2">
      <w:pPr>
        <w:tabs>
          <w:tab w:val="left" w:pos="426"/>
        </w:tabs>
        <w:adjustRightInd w:val="0"/>
        <w:snapToGrid w:val="0"/>
        <w:spacing w:line="360" w:lineRule="exact"/>
        <w:ind w:firstLine="420" w:firstLineChars="200"/>
        <w:jc w:val="left"/>
        <w:rPr>
          <w:rFonts w:asciiTheme="minorEastAsia" w:hAnsiTheme="minorEastAsia" w:eastAsiaTheme="minorEastAsia"/>
        </w:rPr>
      </w:pPr>
      <w:r>
        <w:rPr>
          <w:rFonts w:hint="eastAsia" w:asciiTheme="minorEastAsia" w:hAnsiTheme="minorEastAsia" w:eastAsiaTheme="minorEastAsia"/>
        </w:rPr>
        <w:t>b</w:t>
      </w:r>
      <w:r>
        <w:rPr>
          <w:rFonts w:asciiTheme="minorEastAsia" w:hAnsiTheme="minorEastAsia" w:eastAsiaTheme="minorEastAsia"/>
        </w:rPr>
        <w:t>)退货</w:t>
      </w:r>
      <w:r>
        <w:rPr>
          <w:rFonts w:hint="eastAsia" w:asciiTheme="minorEastAsia" w:hAnsiTheme="minorEastAsia" w:eastAsiaTheme="minorEastAsia"/>
        </w:rPr>
        <w:t>：连续两次到货验收不合格的或乙方拒不按要求在甲方通知的时间内维修或更换的，甲方有权退货，乙方应</w:t>
      </w:r>
      <w:r>
        <w:rPr>
          <w:rFonts w:asciiTheme="minorEastAsia" w:hAnsiTheme="minorEastAsia" w:eastAsiaTheme="minorEastAsia"/>
        </w:rPr>
        <w:t>按</w:t>
      </w:r>
      <w:r>
        <w:rPr>
          <w:rFonts w:hint="eastAsia" w:asciiTheme="minorEastAsia" w:hAnsiTheme="minorEastAsia" w:eastAsiaTheme="minorEastAsia"/>
        </w:rPr>
        <w:t>本合同</w:t>
      </w:r>
      <w:r>
        <w:rPr>
          <w:rFonts w:asciiTheme="minorEastAsia" w:hAnsiTheme="minorEastAsia" w:eastAsiaTheme="minorEastAsia"/>
        </w:rPr>
        <w:t>规定的同种货币将货款</w:t>
      </w:r>
      <w:r>
        <w:rPr>
          <w:rFonts w:hint="eastAsia" w:asciiTheme="minorEastAsia" w:hAnsiTheme="minorEastAsia" w:eastAsiaTheme="minorEastAsia"/>
        </w:rPr>
        <w:t>全额</w:t>
      </w:r>
      <w:r>
        <w:rPr>
          <w:rFonts w:asciiTheme="minorEastAsia" w:hAnsiTheme="minorEastAsia" w:eastAsiaTheme="minorEastAsia"/>
        </w:rPr>
        <w:t>退还给甲方，并承担由</w:t>
      </w:r>
      <w:r>
        <w:rPr>
          <w:rFonts w:hint="eastAsia" w:asciiTheme="minorEastAsia" w:hAnsiTheme="minorEastAsia" w:eastAsiaTheme="minorEastAsia"/>
        </w:rPr>
        <w:t>此产</w:t>
      </w:r>
      <w:r>
        <w:rPr>
          <w:rFonts w:asciiTheme="minorEastAsia" w:hAnsiTheme="minorEastAsia" w:eastAsiaTheme="minorEastAsia"/>
        </w:rPr>
        <w:t>生的一切损失和费用，包括检验费、仓储费、装卸费及其它必要费用。</w:t>
      </w:r>
      <w:r>
        <w:rPr>
          <w:rFonts w:hint="eastAsia" w:hAnsi="宋体" w:cs="宋体"/>
          <w:color w:val="000000"/>
        </w:rPr>
        <w:t>甲方选择退货的，应向乙方发出解除合同通知书解除全部或部分合同。</w:t>
      </w:r>
    </w:p>
    <w:p w14:paraId="48F4F87F">
      <w:pPr>
        <w:tabs>
          <w:tab w:val="left" w:pos="426"/>
        </w:tabs>
        <w:adjustRightInd w:val="0"/>
        <w:snapToGrid w:val="0"/>
        <w:spacing w:line="360" w:lineRule="exact"/>
        <w:ind w:firstLine="420" w:firstLineChars="200"/>
        <w:jc w:val="left"/>
        <w:rPr>
          <w:rFonts w:asciiTheme="minorEastAsia" w:hAnsiTheme="minorEastAsia" w:eastAsiaTheme="minorEastAsia"/>
        </w:rPr>
      </w:pPr>
      <w:r>
        <w:rPr>
          <w:rFonts w:hint="eastAsia" w:asciiTheme="minorEastAsia" w:hAnsiTheme="minorEastAsia" w:eastAsiaTheme="minorEastAsia"/>
        </w:rPr>
        <w:t>c</w:t>
      </w:r>
      <w:r>
        <w:rPr>
          <w:rFonts w:asciiTheme="minorEastAsia" w:hAnsiTheme="minorEastAsia" w:eastAsiaTheme="minorEastAsia"/>
        </w:rPr>
        <w:t>)</w:t>
      </w:r>
      <w:r>
        <w:rPr>
          <w:rFonts w:hint="eastAsia" w:asciiTheme="minorEastAsia" w:hAnsiTheme="minorEastAsia" w:eastAsiaTheme="minorEastAsia"/>
        </w:rPr>
        <w:t>降价：</w:t>
      </w:r>
      <w:r>
        <w:rPr>
          <w:rFonts w:asciiTheme="minorEastAsia" w:hAnsiTheme="minorEastAsia" w:eastAsiaTheme="minorEastAsia"/>
        </w:rPr>
        <w:t>根据</w:t>
      </w:r>
      <w:r>
        <w:rPr>
          <w:rFonts w:hint="eastAsia" w:asciiTheme="minorEastAsia" w:hAnsiTheme="minorEastAsia" w:eastAsiaTheme="minorEastAsia"/>
        </w:rPr>
        <w:t>产品</w:t>
      </w:r>
      <w:r>
        <w:rPr>
          <w:rFonts w:asciiTheme="minorEastAsia" w:hAnsiTheme="minorEastAsia" w:eastAsiaTheme="minorEastAsia"/>
        </w:rPr>
        <w:t>低劣程度、损坏程度及甲方所</w:t>
      </w:r>
      <w:r>
        <w:rPr>
          <w:rFonts w:hint="eastAsia" w:asciiTheme="minorEastAsia" w:hAnsiTheme="minorEastAsia" w:eastAsiaTheme="minorEastAsia"/>
        </w:rPr>
        <w:t>遭</w:t>
      </w:r>
      <w:r>
        <w:rPr>
          <w:rFonts w:asciiTheme="minorEastAsia" w:hAnsiTheme="minorEastAsia" w:eastAsiaTheme="minorEastAsia"/>
        </w:rPr>
        <w:t>受损失的数额，</w:t>
      </w:r>
      <w:r>
        <w:rPr>
          <w:rFonts w:hint="eastAsia" w:asciiTheme="minorEastAsia" w:hAnsiTheme="minorEastAsia" w:eastAsiaTheme="minorEastAsia"/>
        </w:rPr>
        <w:t>商定</w:t>
      </w:r>
      <w:r>
        <w:rPr>
          <w:rFonts w:asciiTheme="minorEastAsia" w:hAnsiTheme="minorEastAsia" w:eastAsiaTheme="minorEastAsia"/>
        </w:rPr>
        <w:t>降低</w:t>
      </w:r>
      <w:r>
        <w:rPr>
          <w:rFonts w:hint="eastAsia" w:asciiTheme="minorEastAsia" w:hAnsiTheme="minorEastAsia" w:eastAsiaTheme="minorEastAsia"/>
        </w:rPr>
        <w:t>产品</w:t>
      </w:r>
      <w:r>
        <w:rPr>
          <w:rFonts w:asciiTheme="minorEastAsia" w:hAnsiTheme="minorEastAsia" w:eastAsiaTheme="minorEastAsia"/>
        </w:rPr>
        <w:t>的价格。</w:t>
      </w:r>
    </w:p>
    <w:p w14:paraId="2579EB38">
      <w:pPr>
        <w:snapToGrid w:val="0"/>
        <w:spacing w:line="360" w:lineRule="exact"/>
        <w:ind w:firstLine="422" w:firstLineChars="201"/>
        <w:jc w:val="left"/>
        <w:rPr>
          <w:rFonts w:asciiTheme="minorEastAsia" w:hAnsiTheme="minorEastAsia" w:eastAsiaTheme="minorEastAsia"/>
          <w:snapToGrid w:val="0"/>
        </w:rPr>
      </w:pPr>
    </w:p>
    <w:p w14:paraId="59FAA900">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第六条 违约责任</w:t>
      </w:r>
    </w:p>
    <w:p w14:paraId="1C8FAC8E">
      <w:pPr>
        <w:pStyle w:val="3"/>
        <w:spacing w:line="360" w:lineRule="exact"/>
        <w:ind w:firstLine="447" w:firstLineChars="213"/>
        <w:rPr>
          <w:rFonts w:asciiTheme="minorEastAsia" w:hAnsiTheme="minorEastAsia" w:eastAsiaTheme="minorEastAsia"/>
          <w:kern w:val="2"/>
          <w:sz w:val="21"/>
          <w:szCs w:val="21"/>
        </w:rPr>
      </w:pPr>
      <w:r>
        <w:rPr>
          <w:rFonts w:hint="eastAsia" w:asciiTheme="minorEastAsia" w:hAnsiTheme="minorEastAsia" w:eastAsiaTheme="minorEastAsia"/>
          <w:sz w:val="21"/>
          <w:szCs w:val="21"/>
        </w:rPr>
        <w:t>1.乙方提供的产品经验收不符合本合同</w:t>
      </w:r>
      <w:r>
        <w:rPr>
          <w:rFonts w:hint="eastAsia" w:asciiTheme="minorEastAsia" w:hAnsiTheme="minorEastAsia" w:eastAsiaTheme="minorEastAsia"/>
          <w:kern w:val="2"/>
          <w:sz w:val="21"/>
          <w:szCs w:val="21"/>
        </w:rPr>
        <w:t>约定的技术要求的，必须按甲方要求在指定的时间内更换或维修，并承担由此发生的一切费用；若连续两次到货验收不合格的或乙方拒不按要求在甲方通知的时间内更换或维修的，乙方应向甲方支付合同总价10%的违约金，同时甲方有权解除合同，由此发生的一切费用由乙方承担。</w:t>
      </w:r>
    </w:p>
    <w:p w14:paraId="0A3FA75D">
      <w:pPr>
        <w:pStyle w:val="3"/>
        <w:spacing w:line="360" w:lineRule="exact"/>
        <w:ind w:firstLine="447" w:firstLineChars="213"/>
        <w:rPr>
          <w:rFonts w:hAnsi="宋体"/>
          <w:sz w:val="21"/>
          <w:szCs w:val="21"/>
        </w:rPr>
      </w:pPr>
      <w:r>
        <w:rPr>
          <w:rFonts w:hint="eastAsia" w:hAnsi="宋体"/>
          <w:sz w:val="21"/>
          <w:szCs w:val="21"/>
        </w:rPr>
        <w:t>2.</w:t>
      </w:r>
      <w:r>
        <w:rPr>
          <w:rFonts w:hAnsi="宋体"/>
          <w:sz w:val="21"/>
          <w:szCs w:val="21"/>
        </w:rPr>
        <w:t>乙方</w:t>
      </w:r>
      <w:r>
        <w:rPr>
          <w:rFonts w:hint="eastAsia" w:hAnsi="宋体"/>
          <w:sz w:val="21"/>
          <w:szCs w:val="21"/>
        </w:rPr>
        <w:t>如果</w:t>
      </w:r>
      <w:r>
        <w:rPr>
          <w:rFonts w:hAnsi="宋体"/>
          <w:sz w:val="21"/>
          <w:szCs w:val="21"/>
        </w:rPr>
        <w:t>在</w:t>
      </w:r>
      <w:r>
        <w:rPr>
          <w:rFonts w:hint="eastAsia" w:hAnsi="宋体"/>
          <w:sz w:val="21"/>
          <w:szCs w:val="21"/>
        </w:rPr>
        <w:t>合同</w:t>
      </w:r>
      <w:r>
        <w:rPr>
          <w:rFonts w:hAnsi="宋体"/>
          <w:sz w:val="21"/>
          <w:szCs w:val="21"/>
        </w:rPr>
        <w:t>规定的或甲方同意延长的限期内未能</w:t>
      </w:r>
      <w:r>
        <w:rPr>
          <w:rFonts w:hint="eastAsia" w:hAnsi="宋体"/>
          <w:sz w:val="21"/>
          <w:szCs w:val="21"/>
        </w:rPr>
        <w:t>按合同第1</w:t>
      </w:r>
      <w:r>
        <w:rPr>
          <w:rFonts w:hAnsi="宋体"/>
          <w:sz w:val="21"/>
          <w:szCs w:val="21"/>
        </w:rPr>
        <w:t>.2</w:t>
      </w:r>
      <w:r>
        <w:rPr>
          <w:rFonts w:hint="eastAsia" w:hAnsi="宋体"/>
          <w:sz w:val="21"/>
          <w:szCs w:val="21"/>
        </w:rPr>
        <w:t>条交付</w:t>
      </w:r>
      <w:r>
        <w:rPr>
          <w:rFonts w:hAnsi="宋体"/>
          <w:sz w:val="21"/>
          <w:szCs w:val="21"/>
        </w:rPr>
        <w:t>全部</w:t>
      </w:r>
      <w:r>
        <w:rPr>
          <w:rFonts w:hint="eastAsia" w:hAnsi="宋体"/>
          <w:sz w:val="21"/>
          <w:szCs w:val="21"/>
        </w:rPr>
        <w:t>的货物（包括因甲方验收不合格，乙方维修或者换货而造成逾期交付的），应按下列方式支付逾期违约金：</w:t>
      </w:r>
    </w:p>
    <w:p w14:paraId="489DACDF">
      <w:pPr>
        <w:pStyle w:val="3"/>
        <w:spacing w:line="360" w:lineRule="exact"/>
        <w:ind w:firstLine="447" w:firstLineChars="213"/>
        <w:rPr>
          <w:rFonts w:hAnsi="宋体"/>
          <w:sz w:val="21"/>
          <w:szCs w:val="21"/>
        </w:rPr>
      </w:pPr>
      <w:r>
        <w:rPr>
          <w:rFonts w:hint="eastAsia" w:hAnsi="宋体"/>
          <w:sz w:val="21"/>
          <w:szCs w:val="21"/>
        </w:rPr>
        <w:t>☑每逾期1日应向甲方支付逾期交货违约金</w:t>
      </w:r>
      <w:r>
        <w:rPr>
          <w:rFonts w:hint="eastAsia" w:hAnsi="宋体"/>
          <w:sz w:val="21"/>
          <w:szCs w:val="21"/>
          <w:u w:val="single"/>
        </w:rPr>
        <w:t xml:space="preserve">  100  </w:t>
      </w:r>
      <w:r>
        <w:rPr>
          <w:rFonts w:hint="eastAsia" w:hAnsi="宋体"/>
          <w:sz w:val="21"/>
          <w:szCs w:val="21"/>
        </w:rPr>
        <w:t>元/天。</w:t>
      </w:r>
    </w:p>
    <w:p w14:paraId="30D3CBF5">
      <w:pPr>
        <w:pStyle w:val="3"/>
        <w:spacing w:line="360" w:lineRule="exact"/>
        <w:ind w:firstLine="447" w:firstLineChars="213"/>
        <w:rPr>
          <w:rFonts w:hAnsi="宋体"/>
          <w:sz w:val="21"/>
          <w:szCs w:val="21"/>
        </w:rPr>
      </w:pPr>
      <w:r>
        <w:rPr>
          <w:rFonts w:hint="eastAsia" w:hAnsi="宋体"/>
          <w:sz w:val="21"/>
          <w:szCs w:val="21"/>
        </w:rPr>
        <w:t>此项违约金最高不超过迟交货物金额的20%。</w:t>
      </w:r>
    </w:p>
    <w:p w14:paraId="540A2165">
      <w:pPr>
        <w:pStyle w:val="3"/>
        <w:spacing w:line="360" w:lineRule="exact"/>
        <w:ind w:firstLine="447" w:firstLineChars="213"/>
        <w:rPr>
          <w:rFonts w:asciiTheme="minorEastAsia" w:hAnsiTheme="minorEastAsia" w:eastAsiaTheme="minorEastAsia"/>
          <w:sz w:val="21"/>
          <w:szCs w:val="21"/>
        </w:rPr>
      </w:pPr>
      <w:r>
        <w:rPr>
          <w:rFonts w:hint="eastAsia" w:asciiTheme="minorEastAsia" w:hAnsiTheme="minorEastAsia" w:eastAsiaTheme="minorEastAsia"/>
          <w:sz w:val="21"/>
          <w:szCs w:val="21"/>
        </w:rPr>
        <w:t>3.因乙方违约造成甲方损失的，乙方应赔偿甲方因此受到的直接和间接经济损失，包括但不限于甲方实际经济损失及预期的经济利益、律师等中介机构费用、仲裁费用、调查取证费用、交通费用等。</w:t>
      </w:r>
    </w:p>
    <w:p w14:paraId="7601585A">
      <w:pPr>
        <w:spacing w:line="360" w:lineRule="exact"/>
        <w:ind w:firstLine="424" w:firstLineChars="202"/>
        <w:rPr>
          <w:rFonts w:ascii="宋体" w:hAnsi="宋体" w:cs="宋体"/>
          <w:bCs/>
          <w:color w:val="000000"/>
        </w:rPr>
      </w:pPr>
      <w:r>
        <w:rPr>
          <w:rFonts w:ascii="宋体" w:hAnsi="宋体" w:cs="宋体"/>
          <w:bCs/>
          <w:color w:val="000000"/>
        </w:rPr>
        <w:t>4</w:t>
      </w:r>
      <w:r>
        <w:rPr>
          <w:rFonts w:hint="eastAsia" w:ascii="宋体" w:hAnsi="宋体" w:cs="宋体"/>
          <w:bCs/>
          <w:color w:val="000000"/>
        </w:rPr>
        <w:t>.本合</w:t>
      </w:r>
      <w:r>
        <w:rPr>
          <w:rFonts w:hint="eastAsia" w:ascii="宋体" w:hAnsi="宋体" w:cs="宋体"/>
          <w:color w:val="000000"/>
        </w:rPr>
        <w:t>同规定的违约金均为惩罚性违约金，其目的不仅</w:t>
      </w:r>
      <w:r>
        <w:rPr>
          <w:rFonts w:hint="eastAsia" w:ascii="宋体" w:hAnsi="宋体" w:cs="宋体"/>
          <w:bCs/>
          <w:color w:val="000000"/>
        </w:rPr>
        <w:t>包括事先确定违约后的赔偿金额，更是为了督促对方守约而约定的违约金。</w:t>
      </w:r>
    </w:p>
    <w:p w14:paraId="63BDB620">
      <w:pPr>
        <w:snapToGrid w:val="0"/>
        <w:spacing w:line="360" w:lineRule="exact"/>
        <w:ind w:firstLine="420" w:firstLineChars="200"/>
        <w:jc w:val="left"/>
        <w:rPr>
          <w:rFonts w:asciiTheme="minorEastAsia" w:hAnsiTheme="minorEastAsia" w:eastAsiaTheme="minorEastAsia"/>
        </w:rPr>
      </w:pPr>
    </w:p>
    <w:p w14:paraId="0F170722">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第七条 合同的变更和解除</w:t>
      </w:r>
    </w:p>
    <w:p w14:paraId="36B4DF4C">
      <w:pPr>
        <w:pStyle w:val="3"/>
        <w:spacing w:line="360" w:lineRule="exact"/>
        <w:ind w:firstLine="420" w:firstLineChars="200"/>
        <w:rPr>
          <w:rFonts w:hAnsi="宋体"/>
          <w:sz w:val="21"/>
          <w:szCs w:val="21"/>
        </w:rPr>
      </w:pPr>
      <w:r>
        <w:rPr>
          <w:rFonts w:hint="eastAsia" w:hAnsi="宋体"/>
          <w:sz w:val="21"/>
          <w:szCs w:val="21"/>
        </w:rPr>
        <w:t>1.合同条款如需进行变更的，需经双方同意后签订书面补充协议。</w:t>
      </w:r>
    </w:p>
    <w:p w14:paraId="7A8AEFEB">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2.合同的解除</w:t>
      </w:r>
    </w:p>
    <w:p w14:paraId="7F444D07">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2.1如甲方和乙方协商一致，可以解除合同。</w:t>
      </w:r>
    </w:p>
    <w:p w14:paraId="01BA9AEC">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2.2 乙方在履约过程中，有下列违约情形之一的，甲方有权在要求乙方支付违约金的同时，书面通知乙方解除本合同：</w:t>
      </w:r>
    </w:p>
    <w:p w14:paraId="1F263CF4">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（1）乙方提供的产品连续两次验收不合格的或乙方拒不按要求在指定的时间内更换或整改的；</w:t>
      </w:r>
    </w:p>
    <w:p w14:paraId="1097D0C6">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2</w:t>
      </w:r>
      <w:r>
        <w:rPr>
          <w:rFonts w:hint="eastAsia" w:asciiTheme="minorEastAsia" w:hAnsiTheme="minorEastAsia" w:eastAsiaTheme="minorEastAsia"/>
        </w:rPr>
        <w:t>）逾期交货</w:t>
      </w:r>
      <w:r>
        <w:rPr>
          <w:rFonts w:hint="eastAsia" w:asciiTheme="minorEastAsia" w:hAnsiTheme="minorEastAsia" w:eastAsiaTheme="minorEastAsia"/>
          <w:u w:val="single"/>
        </w:rPr>
        <w:t xml:space="preserve"> 30 </w:t>
      </w:r>
      <w:r>
        <w:rPr>
          <w:rFonts w:hint="eastAsia" w:asciiTheme="minorEastAsia" w:hAnsiTheme="minorEastAsia" w:eastAsiaTheme="minorEastAsia"/>
        </w:rPr>
        <w:t>天以上的；</w:t>
      </w:r>
    </w:p>
    <w:p w14:paraId="23983DB5">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3</w:t>
      </w:r>
      <w:r>
        <w:rPr>
          <w:rFonts w:hint="eastAsia" w:asciiTheme="minorEastAsia" w:hAnsiTheme="minorEastAsia" w:eastAsiaTheme="minorEastAsia"/>
        </w:rPr>
        <w:t>）项目合同进行转包的；</w:t>
      </w:r>
    </w:p>
    <w:p w14:paraId="0B18A891">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4</w:t>
      </w:r>
      <w:r>
        <w:rPr>
          <w:rFonts w:hint="eastAsia" w:asciiTheme="minorEastAsia" w:hAnsiTheme="minorEastAsia" w:eastAsiaTheme="minorEastAsia"/>
        </w:rPr>
        <w:t>）有欺诈行为的（以谎报事实或者隐瞒真相的方法来影响对方当事人在合同签订、履行过程中的行为）；</w:t>
      </w:r>
    </w:p>
    <w:p w14:paraId="1E77023A">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5</w:t>
      </w:r>
      <w:r>
        <w:rPr>
          <w:rFonts w:hint="eastAsia" w:asciiTheme="minorEastAsia" w:hAnsiTheme="minorEastAsia" w:eastAsiaTheme="minorEastAsia"/>
        </w:rPr>
        <w:t>）乙方未能履行本合同约定的其他主要义务，经催告后在合理期限内仍未履行的，或者有其他违约行为致使不能实现合同目的的。</w:t>
      </w:r>
    </w:p>
    <w:p w14:paraId="22303850">
      <w:pPr>
        <w:tabs>
          <w:tab w:val="left" w:pos="426"/>
        </w:tabs>
        <w:adjustRightInd w:val="0"/>
        <w:snapToGrid w:val="0"/>
        <w:spacing w:line="360" w:lineRule="exact"/>
        <w:ind w:firstLine="420" w:firstLineChars="200"/>
        <w:jc w:val="left"/>
        <w:rPr>
          <w:rFonts w:hAnsi="宋体" w:cs="宋体"/>
          <w:color w:val="000000"/>
        </w:rPr>
      </w:pPr>
      <w:r>
        <w:rPr>
          <w:rFonts w:hint="eastAsia" w:hAnsi="宋体" w:cs="宋体"/>
          <w:color w:val="000000"/>
        </w:rPr>
        <w:t>2.3甲方选择解除合同的，应向乙方发出解除合同通知书解除全部或部分合同，合同自通知到达对方时解除，甲方应在知道或应当知道解除事由之日起三年内行使合同解除权。乙方不同意解除合同的，应于</w:t>
      </w:r>
      <w:r>
        <w:rPr>
          <w:rFonts w:hint="eastAsia" w:hAnsi="宋体" w:cs="宋体"/>
          <w:color w:val="000000"/>
          <w:u w:val="single"/>
        </w:rPr>
        <w:t xml:space="preserve">  1  </w:t>
      </w:r>
      <w:r>
        <w:rPr>
          <w:rFonts w:hint="eastAsia" w:hAnsi="宋体" w:cs="宋体"/>
          <w:color w:val="000000"/>
        </w:rPr>
        <w:t>个月内向常州仲裁委员会申请仲裁。乙方应退还甲方已支付的该设备合同价款并负担由此发生的一切费用，包括运输费用以及甲方为保管和保护被退货货物所需要的其他必要费用。乙方应根据甲方运行需要在甲方购买替代货物后自付费用取回货物，乙方不在甲方解除合同通知书里规定的时间内取回货物的，货物损毁灭失的风险由乙方自行承担。</w:t>
      </w:r>
    </w:p>
    <w:p w14:paraId="4A0133B2">
      <w:pPr>
        <w:snapToGrid w:val="0"/>
        <w:spacing w:line="360" w:lineRule="exact"/>
        <w:jc w:val="left"/>
        <w:rPr>
          <w:rFonts w:asciiTheme="minorEastAsia" w:hAnsiTheme="minorEastAsia" w:eastAsiaTheme="minorEastAsia"/>
        </w:rPr>
      </w:pPr>
    </w:p>
    <w:p w14:paraId="0D6F3A20">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第八条 争议的解决</w:t>
      </w:r>
    </w:p>
    <w:p w14:paraId="5CBAE2C6">
      <w:pPr>
        <w:tabs>
          <w:tab w:val="left" w:pos="426"/>
        </w:tabs>
        <w:adjustRightInd w:val="0"/>
        <w:snapToGrid w:val="0"/>
        <w:spacing w:line="360" w:lineRule="exact"/>
        <w:ind w:firstLine="420" w:firstLineChars="200"/>
        <w:jc w:val="left"/>
        <w:rPr>
          <w:rFonts w:hAnsi="宋体" w:cs="宋体"/>
          <w:color w:val="000000"/>
        </w:rPr>
      </w:pPr>
      <w:r>
        <w:rPr>
          <w:rFonts w:hint="eastAsia" w:hAnsi="宋体" w:cs="宋体"/>
          <w:color w:val="000000"/>
        </w:rPr>
        <w:t>1. 与本合同有关的任何争议，双方应通过友好协商解决。如双方协商不能解决的，双方确认争议解决方式为向常州仲裁委员会申请仲裁。该裁决是终局的，对双方均具有约束力。</w:t>
      </w:r>
    </w:p>
    <w:p w14:paraId="6296B5E3">
      <w:pPr>
        <w:tabs>
          <w:tab w:val="left" w:pos="426"/>
        </w:tabs>
        <w:adjustRightInd w:val="0"/>
        <w:snapToGrid w:val="0"/>
        <w:spacing w:line="360" w:lineRule="exact"/>
        <w:ind w:firstLine="420" w:firstLineChars="200"/>
        <w:jc w:val="left"/>
        <w:rPr>
          <w:rFonts w:hAnsi="宋体" w:cs="宋体"/>
          <w:color w:val="000000"/>
        </w:rPr>
      </w:pPr>
      <w:r>
        <w:rPr>
          <w:rFonts w:hint="eastAsia" w:hAnsi="宋体" w:cs="宋体"/>
          <w:color w:val="000000"/>
        </w:rPr>
        <w:t>2.在争议及仲裁期间，乙方应继续履行本合同，不得以解决争议为由影响甲方的正常运行。</w:t>
      </w:r>
    </w:p>
    <w:p w14:paraId="5A3FA6EE">
      <w:pPr>
        <w:autoSpaceDE w:val="0"/>
        <w:autoSpaceDN w:val="0"/>
        <w:adjustRightInd w:val="0"/>
        <w:snapToGrid w:val="0"/>
        <w:spacing w:line="360" w:lineRule="exact"/>
        <w:jc w:val="left"/>
        <w:rPr>
          <w:rFonts w:cs="宋体" w:asciiTheme="minorEastAsia" w:hAnsiTheme="minorEastAsia" w:eastAsiaTheme="minorEastAsia"/>
        </w:rPr>
      </w:pPr>
    </w:p>
    <w:p w14:paraId="20B4D575">
      <w:pPr>
        <w:snapToGrid w:val="0"/>
        <w:spacing w:line="360" w:lineRule="exact"/>
        <w:ind w:firstLine="480"/>
        <w:jc w:val="left"/>
        <w:rPr>
          <w:rFonts w:cs="宋体" w:asciiTheme="minorEastAsia" w:hAnsiTheme="minorEastAsia" w:eastAsiaTheme="minorEastAsia"/>
          <w:b/>
          <w:bCs/>
        </w:rPr>
      </w:pPr>
      <w:r>
        <w:rPr>
          <w:rFonts w:hint="eastAsia" w:cs="宋体" w:asciiTheme="minorEastAsia" w:hAnsiTheme="minorEastAsia" w:eastAsiaTheme="minorEastAsia"/>
          <w:b/>
          <w:bCs/>
        </w:rPr>
        <w:t>第九条 通知和送达</w:t>
      </w:r>
    </w:p>
    <w:p w14:paraId="47256729">
      <w:pPr>
        <w:spacing w:line="360" w:lineRule="auto"/>
        <w:ind w:right="-617" w:firstLine="480"/>
        <w:jc w:val="left"/>
        <w:rPr>
          <w:rFonts w:ascii="宋体" w:hAnsi="宋体" w:cs="宋体"/>
        </w:rPr>
      </w:pPr>
      <w:r>
        <w:rPr>
          <w:rFonts w:ascii="宋体" w:hAnsi="宋体" w:cs="宋体"/>
        </w:rPr>
        <w:t>1.合同履行过程中的任何联络及相关文件的签署，均应通过双方指定的联系人和联系方式进行。</w:t>
      </w:r>
    </w:p>
    <w:p w14:paraId="4A554757">
      <w:pPr>
        <w:snapToGrid w:val="0"/>
        <w:spacing w:line="360" w:lineRule="auto"/>
        <w:ind w:firstLine="480"/>
        <w:jc w:val="left"/>
        <w:rPr>
          <w:rFonts w:ascii="宋体" w:hAnsi="宋体"/>
        </w:rPr>
      </w:pPr>
      <w:bookmarkStart w:id="2" w:name="_Toc23128"/>
      <w:bookmarkStart w:id="3" w:name="_Toc23294"/>
      <w:r>
        <w:rPr>
          <w:rFonts w:hint="eastAsia" w:ascii="宋体" w:hAnsi="宋体"/>
        </w:rPr>
        <w:t>甲方联系人：</w:t>
      </w:r>
      <w:r>
        <w:rPr>
          <w:rFonts w:hint="eastAsia" w:ascii="宋体" w:hAnsi="宋体"/>
          <w:u w:val="single"/>
        </w:rPr>
        <w:t>李世龙</w:t>
      </w:r>
      <w:r>
        <w:rPr>
          <w:rFonts w:hint="eastAsia" w:ascii="宋体" w:hAnsi="宋体"/>
        </w:rPr>
        <w:t>，电话：</w:t>
      </w:r>
      <w:r>
        <w:rPr>
          <w:rFonts w:hint="eastAsia" w:ascii="宋体" w:hAnsi="宋体"/>
          <w:u w:val="single"/>
        </w:rPr>
        <w:t>18861267911</w:t>
      </w:r>
      <w:r>
        <w:rPr>
          <w:rFonts w:hint="eastAsia" w:ascii="宋体" w:hAnsi="宋体"/>
        </w:rPr>
        <w:t>，</w:t>
      </w:r>
    </w:p>
    <w:p w14:paraId="758B3514">
      <w:pPr>
        <w:snapToGrid w:val="0"/>
        <w:spacing w:line="360" w:lineRule="auto"/>
        <w:ind w:firstLine="480"/>
        <w:jc w:val="left"/>
        <w:rPr>
          <w:rFonts w:ascii="宋体" w:hAnsi="宋体"/>
        </w:rPr>
      </w:pPr>
      <w:r>
        <w:rPr>
          <w:rFonts w:hint="eastAsia" w:ascii="宋体" w:hAnsi="宋体"/>
        </w:rPr>
        <w:t>地址:</w:t>
      </w:r>
      <w:r>
        <w:rPr>
          <w:rFonts w:hint="eastAsia" w:ascii="宋体" w:hAnsi="宋体"/>
          <w:u w:val="single"/>
        </w:rPr>
        <w:t>江苏省常州市新北区建东路8号</w:t>
      </w:r>
      <w:r>
        <w:rPr>
          <w:rFonts w:hint="eastAsia" w:ascii="宋体" w:hAnsi="宋体"/>
        </w:rPr>
        <w:t>。</w:t>
      </w:r>
    </w:p>
    <w:p w14:paraId="4E305005">
      <w:pPr>
        <w:snapToGrid w:val="0"/>
        <w:spacing w:line="360" w:lineRule="auto"/>
        <w:ind w:firstLine="480"/>
        <w:jc w:val="left"/>
        <w:rPr>
          <w:rFonts w:ascii="宋体" w:hAnsi="宋体"/>
        </w:rPr>
      </w:pPr>
      <w:r>
        <w:rPr>
          <w:rFonts w:hint="eastAsia" w:ascii="宋体" w:hAnsi="宋体"/>
        </w:rPr>
        <w:t>乙方联系人：</w:t>
      </w:r>
      <w:r>
        <w:rPr>
          <w:rFonts w:hint="eastAsia" w:ascii="宋体" w:hAnsi="宋体"/>
          <w:u w:val="single"/>
        </w:rPr>
        <w:t xml:space="preserve">      </w:t>
      </w:r>
      <w:r>
        <w:rPr>
          <w:rFonts w:hint="eastAsia" w:ascii="宋体" w:hAnsi="宋体"/>
        </w:rPr>
        <w:t>，电话：</w:t>
      </w:r>
      <w:r>
        <w:rPr>
          <w:rFonts w:hint="eastAsia" w:ascii="宋体" w:hAnsi="宋体"/>
          <w:u w:val="single"/>
        </w:rPr>
        <w:t xml:space="preserve">           </w:t>
      </w:r>
      <w:r>
        <w:rPr>
          <w:rFonts w:hint="eastAsia" w:ascii="宋体" w:hAnsi="宋体"/>
        </w:rPr>
        <w:t>，</w:t>
      </w:r>
    </w:p>
    <w:p w14:paraId="084D8131">
      <w:pPr>
        <w:snapToGrid w:val="0"/>
        <w:spacing w:line="360" w:lineRule="auto"/>
        <w:ind w:firstLine="480"/>
        <w:jc w:val="left"/>
        <w:rPr>
          <w:rFonts w:ascii="宋体" w:hAnsi="宋体"/>
        </w:rPr>
      </w:pPr>
      <w:r>
        <w:rPr>
          <w:rFonts w:hint="eastAsia" w:ascii="宋体" w:hAnsi="宋体"/>
        </w:rPr>
        <w:t>地址:</w:t>
      </w:r>
      <w:r>
        <w:rPr>
          <w:rFonts w:hint="eastAsia" w:ascii="宋体" w:hAnsi="宋体"/>
          <w:u w:val="single"/>
        </w:rPr>
        <w:t xml:space="preserve">                                </w:t>
      </w:r>
      <w:r>
        <w:rPr>
          <w:rFonts w:hint="eastAsia" w:ascii="宋体" w:hAnsi="宋体"/>
        </w:rPr>
        <w:t>。</w:t>
      </w:r>
    </w:p>
    <w:p w14:paraId="49FC7C15">
      <w:pPr>
        <w:spacing w:line="360" w:lineRule="exact"/>
        <w:ind w:firstLine="420" w:firstLineChars="200"/>
        <w:jc w:val="left"/>
        <w:rPr>
          <w:rFonts w:ascii="宋体" w:hAnsi="宋体" w:cs="宋体"/>
        </w:rPr>
      </w:pPr>
      <w:r>
        <w:rPr>
          <w:rFonts w:hint="eastAsia" w:ascii="宋体" w:hAnsi="宋体" w:cs="宋体"/>
        </w:rPr>
        <w:t>2.以当面交付方式送达的，交付之时视为送达；以电子邮件方式送达的，发出电子邮件之时视为送达；以传真方式送达的，发出传真之时视为送达；以邮寄方式送达的，</w:t>
      </w:r>
      <w:bookmarkEnd w:id="2"/>
      <w:bookmarkEnd w:id="3"/>
      <w:r>
        <w:rPr>
          <w:rFonts w:hint="eastAsia" w:ascii="宋体" w:hAnsi="宋体" w:cs="宋体"/>
        </w:rPr>
        <w:t>以快递签收日期为送达日期，被送达方拒收或无法送达的，自交邮后第3日视为已经送达。</w:t>
      </w:r>
    </w:p>
    <w:p w14:paraId="1AD953E7">
      <w:pPr>
        <w:spacing w:line="360" w:lineRule="exact"/>
        <w:ind w:firstLine="420" w:firstLineChars="200"/>
        <w:rPr>
          <w:rFonts w:ascii="宋体" w:hAnsi="宋体" w:cs="宋体"/>
        </w:rPr>
      </w:pPr>
      <w:r>
        <w:rPr>
          <w:rFonts w:hint="eastAsia" w:ascii="宋体" w:hAnsi="宋体" w:cs="宋体"/>
        </w:rPr>
        <w:t>3.合同履行中若产生争议而需要提交司法裁决时，上述地址及联系人均作为司法文书的接收地址和接收人。</w:t>
      </w:r>
    </w:p>
    <w:p w14:paraId="1D6D4B43">
      <w:pPr>
        <w:spacing w:line="360" w:lineRule="exact"/>
        <w:ind w:firstLine="420" w:firstLineChars="200"/>
        <w:rPr>
          <w:rFonts w:ascii="宋体" w:hAnsi="宋体" w:cs="宋体"/>
        </w:rPr>
      </w:pPr>
    </w:p>
    <w:p w14:paraId="7951AE38">
      <w:pPr>
        <w:spacing w:line="360" w:lineRule="exact"/>
        <w:ind w:firstLine="422" w:firstLineChars="200"/>
        <w:rPr>
          <w:rFonts w:ascii="宋体" w:hAnsi="宋体" w:cs="宋体"/>
          <w:b/>
          <w:bCs/>
          <w:color w:val="000000"/>
        </w:rPr>
      </w:pPr>
      <w:r>
        <w:rPr>
          <w:rFonts w:hint="eastAsia" w:ascii="宋体" w:hAnsi="宋体" w:cs="宋体"/>
          <w:b/>
          <w:bCs/>
          <w:color w:val="000000"/>
        </w:rPr>
        <w:t>第十条 不可抗力</w:t>
      </w:r>
    </w:p>
    <w:p w14:paraId="170D5B56">
      <w:pPr>
        <w:spacing w:line="360" w:lineRule="exact"/>
        <w:ind w:firstLine="420" w:firstLineChars="200"/>
        <w:rPr>
          <w:rFonts w:ascii="宋体" w:hAnsi="宋体" w:cs="宋体"/>
          <w:color w:val="000000"/>
        </w:rPr>
      </w:pPr>
      <w:r>
        <w:rPr>
          <w:rFonts w:hint="eastAsia" w:ascii="宋体" w:hAnsi="宋体" w:cs="宋体"/>
          <w:color w:val="000000"/>
        </w:rPr>
        <w:t>1.任何一方由于不可抗力事件而影响其履行合同义务时，可以</w:t>
      </w:r>
      <w:r>
        <w:rPr>
          <w:rFonts w:ascii="宋体" w:hAnsi="宋体" w:cs="宋体"/>
          <w:color w:val="000000"/>
        </w:rPr>
        <w:t>免除</w:t>
      </w:r>
      <w:r>
        <w:rPr>
          <w:rFonts w:hint="eastAsia" w:ascii="宋体" w:hAnsi="宋体" w:cs="宋体"/>
          <w:color w:val="000000"/>
        </w:rPr>
        <w:t>或部分免除</w:t>
      </w:r>
      <w:r>
        <w:rPr>
          <w:rFonts w:ascii="宋体" w:hAnsi="宋体" w:cs="宋体"/>
          <w:color w:val="000000"/>
        </w:rPr>
        <w:t>由此造成</w:t>
      </w:r>
      <w:r>
        <w:rPr>
          <w:rFonts w:hint="eastAsia" w:ascii="宋体" w:hAnsi="宋体" w:cs="宋体"/>
          <w:color w:val="000000"/>
        </w:rPr>
        <w:t>的逾期等违约</w:t>
      </w:r>
      <w:r>
        <w:rPr>
          <w:rFonts w:ascii="宋体" w:hAnsi="宋体" w:cs="宋体"/>
          <w:color w:val="000000"/>
        </w:rPr>
        <w:t>责任。</w:t>
      </w:r>
    </w:p>
    <w:p w14:paraId="5C26B640">
      <w:pPr>
        <w:spacing w:line="360" w:lineRule="exact"/>
        <w:ind w:firstLine="420" w:firstLineChars="200"/>
        <w:rPr>
          <w:rFonts w:ascii="宋体" w:hAnsi="宋体" w:cs="宋体"/>
          <w:color w:val="000000"/>
        </w:rPr>
      </w:pPr>
      <w:r>
        <w:rPr>
          <w:rFonts w:hint="eastAsia" w:ascii="宋体" w:hAnsi="宋体" w:cs="宋体"/>
          <w:color w:val="000000"/>
        </w:rPr>
        <w:t>2.受不可抗力影响的一方在不可抗力事件发生后，应及时将不可抗力事件的具体情况书面通知另一方，以减轻可能给对方造成的损失，并在不可抗力事件发生后10日内提供相关证明。</w:t>
      </w:r>
    </w:p>
    <w:p w14:paraId="512DC6F1">
      <w:pPr>
        <w:autoSpaceDE w:val="0"/>
        <w:autoSpaceDN w:val="0"/>
        <w:adjustRightInd w:val="0"/>
        <w:snapToGrid w:val="0"/>
        <w:spacing w:line="360" w:lineRule="exact"/>
        <w:jc w:val="left"/>
        <w:rPr>
          <w:rFonts w:cs="宋体" w:asciiTheme="minorEastAsia" w:hAnsiTheme="minorEastAsia" w:eastAsiaTheme="minorEastAsia"/>
        </w:rPr>
      </w:pPr>
    </w:p>
    <w:p w14:paraId="67F32579">
      <w:pPr>
        <w:snapToGrid w:val="0"/>
        <w:spacing w:line="360" w:lineRule="exact"/>
        <w:ind w:firstLine="422" w:firstLineChars="200"/>
        <w:jc w:val="left"/>
        <w:rPr>
          <w:rFonts w:cs="宋体" w:asciiTheme="minorEastAsia" w:hAnsiTheme="minorEastAsia" w:eastAsiaTheme="minorEastAsia"/>
          <w:b/>
          <w:bCs/>
        </w:rPr>
      </w:pPr>
      <w:r>
        <w:rPr>
          <w:rFonts w:hint="eastAsia" w:cs="宋体" w:asciiTheme="minorEastAsia" w:hAnsiTheme="minorEastAsia" w:eastAsiaTheme="minorEastAsia"/>
          <w:b/>
          <w:bCs/>
        </w:rPr>
        <w:t>第十一条 合同生效及其他</w:t>
      </w:r>
    </w:p>
    <w:p w14:paraId="196AC6A7">
      <w:pPr>
        <w:snapToGrid w:val="0"/>
        <w:spacing w:line="360" w:lineRule="exact"/>
        <w:ind w:firstLine="480"/>
        <w:jc w:val="left"/>
        <w:rPr>
          <w:rFonts w:cs="宋体" w:asciiTheme="minorEastAsia" w:hAnsiTheme="minorEastAsia" w:eastAsiaTheme="minorEastAsia"/>
        </w:rPr>
      </w:pPr>
      <w:r>
        <w:rPr>
          <w:rFonts w:hint="eastAsia" w:cs="宋体" w:asciiTheme="minorEastAsia" w:hAnsiTheme="minorEastAsia" w:eastAsiaTheme="minorEastAsia"/>
        </w:rPr>
        <w:t>1.本合同自双方盖章之日起生效。</w:t>
      </w:r>
    </w:p>
    <w:p w14:paraId="66389385">
      <w:pPr>
        <w:snapToGrid w:val="0"/>
        <w:spacing w:line="360" w:lineRule="exact"/>
        <w:ind w:firstLine="480"/>
        <w:jc w:val="left"/>
        <w:rPr>
          <w:rFonts w:asciiTheme="minorEastAsia" w:hAnsiTheme="minorEastAsia" w:eastAsiaTheme="minorEastAsia"/>
        </w:rPr>
      </w:pPr>
      <w:r>
        <w:rPr>
          <w:rFonts w:hint="eastAsia" w:cs="宋体" w:asciiTheme="minorEastAsia" w:hAnsiTheme="minorEastAsia" w:eastAsiaTheme="minorEastAsia"/>
        </w:rPr>
        <w:t>2.本合同一式陆份</w:t>
      </w:r>
      <w:r>
        <w:rPr>
          <w:rFonts w:hint="eastAsia" w:asciiTheme="minorEastAsia" w:hAnsiTheme="minorEastAsia" w:eastAsiaTheme="minorEastAsia"/>
        </w:rPr>
        <w:t>，甲方执肆份，乙方执贰份。</w:t>
      </w:r>
    </w:p>
    <w:p w14:paraId="5FC7EB3B">
      <w:pPr>
        <w:snapToGrid w:val="0"/>
        <w:spacing w:line="360" w:lineRule="exact"/>
        <w:ind w:firstLine="480"/>
        <w:jc w:val="left"/>
        <w:rPr>
          <w:rFonts w:asciiTheme="minorEastAsia" w:hAnsiTheme="minorEastAsia" w:eastAsiaTheme="minorEastAsia"/>
        </w:rPr>
      </w:pPr>
      <w:r>
        <w:rPr>
          <w:rFonts w:hint="eastAsia" w:asciiTheme="minorEastAsia" w:hAnsiTheme="minorEastAsia" w:eastAsiaTheme="minorEastAsia"/>
        </w:rPr>
        <w:t>3.特别说明:本合同系甲乙双方协商一致的真实意思表示。有关限制权利、加重或免除责任的条款已由甲乙双方向对方详细说明且为对方理解和接受,而非一方提供的格式条款。</w:t>
      </w:r>
    </w:p>
    <w:p w14:paraId="4B1E4875">
      <w:pPr>
        <w:snapToGrid w:val="0"/>
        <w:spacing w:line="360" w:lineRule="exact"/>
        <w:ind w:firstLine="480"/>
        <w:jc w:val="left"/>
        <w:rPr>
          <w:rFonts w:asciiTheme="minorEastAsia" w:hAnsiTheme="minorEastAsia" w:eastAsiaTheme="minorEastAsia"/>
        </w:rPr>
      </w:pPr>
    </w:p>
    <w:p w14:paraId="4EDBF9D7">
      <w:pPr>
        <w:adjustRightInd w:val="0"/>
        <w:snapToGrid w:val="0"/>
        <w:spacing w:line="360" w:lineRule="exact"/>
        <w:ind w:firstLine="480"/>
        <w:contextualSpacing/>
        <w:jc w:val="left"/>
        <w:rPr>
          <w:rFonts w:asciiTheme="minorEastAsia" w:hAnsiTheme="minorEastAsia" w:eastAsiaTheme="minorEastAsia"/>
          <w:b/>
        </w:rPr>
      </w:pPr>
      <w:r>
        <w:rPr>
          <w:rFonts w:hint="eastAsia" w:asciiTheme="minorEastAsia" w:hAnsiTheme="minorEastAsia" w:eastAsiaTheme="minorEastAsia"/>
          <w:b/>
        </w:rPr>
        <w:t>第十二条 合同附件</w:t>
      </w:r>
    </w:p>
    <w:p w14:paraId="7FBD4559">
      <w:pPr>
        <w:adjustRightInd w:val="0"/>
        <w:snapToGrid w:val="0"/>
        <w:spacing w:line="360" w:lineRule="exact"/>
        <w:ind w:firstLine="480"/>
        <w:contextualSpacing/>
        <w:jc w:val="left"/>
        <w:rPr>
          <w:rFonts w:asciiTheme="minorEastAsia" w:hAnsiTheme="minorEastAsia" w:eastAsiaTheme="minorEastAsia"/>
        </w:rPr>
      </w:pPr>
      <w:r>
        <w:rPr>
          <w:rFonts w:hint="eastAsia" w:asciiTheme="minorEastAsia" w:hAnsiTheme="minorEastAsia" w:eastAsiaTheme="minorEastAsia"/>
        </w:rPr>
        <w:t>1.本合同包括3个附件。</w:t>
      </w:r>
    </w:p>
    <w:p w14:paraId="157C640A">
      <w:pPr>
        <w:pStyle w:val="2"/>
        <w:adjustRightInd w:val="0"/>
        <w:snapToGrid w:val="0"/>
        <w:spacing w:line="360" w:lineRule="exact"/>
        <w:ind w:firstLine="525" w:firstLineChars="25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附件1：安全生产协议</w:t>
      </w:r>
    </w:p>
    <w:p w14:paraId="7DC960DF">
      <w:pPr>
        <w:pStyle w:val="2"/>
        <w:adjustRightInd w:val="0"/>
        <w:snapToGrid w:val="0"/>
        <w:spacing w:line="360" w:lineRule="exact"/>
        <w:ind w:firstLine="525" w:firstLineChars="250"/>
        <w:contextualSpacing/>
        <w:rPr>
          <w:rFonts w:asciiTheme="minorEastAsia" w:hAnsiTheme="minorEastAsia" w:eastAsiaTheme="minorEastAsia"/>
          <w:sz w:val="21"/>
          <w:szCs w:val="21"/>
        </w:rPr>
      </w:pPr>
      <w:bookmarkStart w:id="4" w:name="OLE_LINK8"/>
      <w:bookmarkStart w:id="5" w:name="OLE_LINK7"/>
      <w:r>
        <w:rPr>
          <w:rFonts w:hint="eastAsia" w:asciiTheme="minorEastAsia" w:hAnsiTheme="minorEastAsia" w:eastAsiaTheme="minorEastAsia"/>
          <w:sz w:val="21"/>
          <w:szCs w:val="21"/>
        </w:rPr>
        <w:t>附件2：采购清单</w:t>
      </w:r>
      <w:bookmarkEnd w:id="4"/>
      <w:bookmarkEnd w:id="5"/>
      <w:r>
        <w:rPr>
          <w:rFonts w:hint="eastAsia" w:asciiTheme="minorEastAsia" w:hAnsiTheme="minorEastAsia" w:eastAsiaTheme="minorEastAsia"/>
          <w:sz w:val="21"/>
          <w:szCs w:val="21"/>
        </w:rPr>
        <w:t xml:space="preserve"> </w:t>
      </w:r>
    </w:p>
    <w:p w14:paraId="27C13DD5">
      <w:pPr>
        <w:pStyle w:val="2"/>
        <w:adjustRightInd w:val="0"/>
        <w:snapToGrid w:val="0"/>
        <w:spacing w:line="360" w:lineRule="exact"/>
        <w:ind w:firstLine="525" w:firstLineChars="25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附件3：完工验收单</w:t>
      </w:r>
    </w:p>
    <w:p w14:paraId="293C5AEE">
      <w:pPr>
        <w:pStyle w:val="2"/>
        <w:adjustRightInd w:val="0"/>
        <w:snapToGrid w:val="0"/>
        <w:spacing w:line="360" w:lineRule="exact"/>
        <w:ind w:firstLine="525" w:firstLineChars="250"/>
        <w:contextualSpacing/>
        <w:rPr>
          <w:rFonts w:asciiTheme="minorEastAsia" w:hAnsiTheme="minorEastAsia" w:eastAsiaTheme="minorEastAsia"/>
          <w:sz w:val="21"/>
          <w:szCs w:val="21"/>
        </w:rPr>
      </w:pPr>
    </w:p>
    <w:p w14:paraId="06F1F5D7">
      <w:pPr>
        <w:pStyle w:val="2"/>
        <w:adjustRightInd w:val="0"/>
        <w:snapToGrid w:val="0"/>
        <w:spacing w:line="360" w:lineRule="exact"/>
        <w:ind w:firstLine="525" w:firstLineChars="25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2.上述附件是本合同的组成部分，与本合同具有同等法律效力。</w:t>
      </w:r>
    </w:p>
    <w:p w14:paraId="355DF62F">
      <w:pPr>
        <w:pStyle w:val="2"/>
        <w:adjustRightInd w:val="0"/>
        <w:snapToGrid w:val="0"/>
        <w:spacing w:line="360" w:lineRule="exact"/>
        <w:ind w:firstLine="525" w:firstLineChars="250"/>
        <w:contextualSpacing/>
        <w:rPr>
          <w:rFonts w:asciiTheme="minorEastAsia" w:hAnsiTheme="minorEastAsia" w:eastAsiaTheme="minorEastAsia"/>
          <w:sz w:val="21"/>
          <w:szCs w:val="21"/>
        </w:rPr>
      </w:pPr>
    </w:p>
    <w:p w14:paraId="46DFE43A">
      <w:pPr>
        <w:widowControl/>
        <w:jc w:val="left"/>
        <w:rPr>
          <w:rFonts w:asciiTheme="minorEastAsia" w:hAnsiTheme="minorEastAsia" w:eastAsiaTheme="minorEastAsia"/>
        </w:rPr>
      </w:pPr>
    </w:p>
    <w:p w14:paraId="5CCA17E1">
      <w:pPr>
        <w:widowControl/>
        <w:jc w:val="left"/>
        <w:rPr>
          <w:rFonts w:asciiTheme="minorEastAsia" w:hAnsiTheme="minorEastAsia" w:eastAsiaTheme="minorEastAsia"/>
        </w:rPr>
      </w:pPr>
    </w:p>
    <w:p w14:paraId="6EA9F5D4">
      <w:pPr>
        <w:widowControl/>
        <w:jc w:val="left"/>
        <w:rPr>
          <w:rFonts w:asciiTheme="minorEastAsia" w:hAnsiTheme="minorEastAsia" w:eastAsiaTheme="minorEastAsia"/>
        </w:rPr>
      </w:pPr>
    </w:p>
    <w:p w14:paraId="01EFB5A1">
      <w:pPr>
        <w:widowControl/>
        <w:jc w:val="left"/>
        <w:rPr>
          <w:rFonts w:asciiTheme="minorEastAsia" w:hAnsiTheme="minorEastAsia" w:eastAsiaTheme="minorEastAsia"/>
        </w:rPr>
      </w:pPr>
    </w:p>
    <w:p w14:paraId="1C72AC18">
      <w:pPr>
        <w:pStyle w:val="2"/>
        <w:spacing w:line="360" w:lineRule="exact"/>
        <w:ind w:firstLine="457" w:firstLineChars="218"/>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甲方</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公章</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 xml:space="preserve">                          乙方</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公章</w:t>
      </w:r>
      <w:r>
        <w:rPr>
          <w:rFonts w:cs="宋体" w:asciiTheme="minorEastAsia" w:hAnsiTheme="minorEastAsia" w:eastAsiaTheme="minorEastAsia"/>
          <w:sz w:val="21"/>
          <w:szCs w:val="21"/>
        </w:rPr>
        <w:t>):</w:t>
      </w:r>
    </w:p>
    <w:p w14:paraId="7F0CE4EE">
      <w:pPr>
        <w:pStyle w:val="2"/>
        <w:spacing w:line="360" w:lineRule="exact"/>
        <w:ind w:left="4658" w:leftChars="218" w:hanging="4200" w:hangingChars="20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住所地：住所地：</w:t>
      </w:r>
    </w:p>
    <w:p w14:paraId="590ABC9D">
      <w:pPr>
        <w:pStyle w:val="2"/>
        <w:spacing w:line="360" w:lineRule="exact"/>
        <w:ind w:firstLine="457" w:firstLineChars="218"/>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 xml:space="preserve">法定代表人：                           法定代表人：            </w:t>
      </w:r>
    </w:p>
    <w:p w14:paraId="4AD71F89">
      <w:pPr>
        <w:pStyle w:val="2"/>
        <w:spacing w:line="360" w:lineRule="exact"/>
        <w:ind w:firstLine="420"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联系电话：                             联系电话：</w:t>
      </w:r>
    </w:p>
    <w:p w14:paraId="5D04064B">
      <w:pPr>
        <w:pStyle w:val="2"/>
        <w:spacing w:line="360" w:lineRule="exact"/>
        <w:ind w:firstLine="457" w:firstLineChars="218"/>
        <w:rPr>
          <w:rFonts w:asciiTheme="minorEastAsia" w:hAnsiTheme="minorEastAsia" w:eastAsiaTheme="minorEastAsia"/>
          <w:sz w:val="21"/>
          <w:szCs w:val="21"/>
        </w:rPr>
      </w:pPr>
    </w:p>
    <w:p w14:paraId="3451AB50">
      <w:pPr>
        <w:pStyle w:val="2"/>
        <w:adjustRightInd w:val="0"/>
        <w:snapToGrid w:val="0"/>
        <w:spacing w:line="360" w:lineRule="exact"/>
        <w:ind w:firstLine="525" w:firstLineChars="25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本合同由甲乙双方于本合同正文首页载明的时间于</w:t>
      </w:r>
      <w:r>
        <w:rPr>
          <w:rFonts w:hint="eastAsia" w:asciiTheme="minorEastAsia" w:hAnsiTheme="minorEastAsia" w:eastAsiaTheme="minorEastAsia"/>
          <w:sz w:val="21"/>
          <w:szCs w:val="21"/>
          <w:u w:val="single"/>
        </w:rPr>
        <w:t xml:space="preserve">   常州市天宁区   </w:t>
      </w:r>
      <w:r>
        <w:rPr>
          <w:rFonts w:hint="eastAsia" w:asciiTheme="minorEastAsia" w:hAnsiTheme="minorEastAsia" w:eastAsiaTheme="minorEastAsia"/>
          <w:sz w:val="21"/>
          <w:szCs w:val="21"/>
        </w:rPr>
        <w:t>签订。</w:t>
      </w:r>
    </w:p>
    <w:p w14:paraId="64760472">
      <w:pPr>
        <w:widowControl/>
        <w:jc w:val="left"/>
        <w:rPr>
          <w:rFonts w:cs="宋体" w:asciiTheme="minorEastAsia" w:hAnsiTheme="minorEastAsia" w:eastAsiaTheme="minorEastAsia"/>
        </w:rPr>
      </w:pPr>
      <w:r>
        <w:rPr>
          <w:rFonts w:cs="宋体" w:asciiTheme="minorEastAsia" w:hAnsiTheme="minorEastAsia" w:eastAsiaTheme="minorEastAsia"/>
        </w:rPr>
        <w:br w:type="page"/>
      </w:r>
      <w:r>
        <w:rPr>
          <w:rFonts w:hint="eastAsia" w:ascii="宋体" w:hAnsi="宋体"/>
          <w:b/>
          <w:bCs/>
        </w:rPr>
        <w:t>附件1：</w:t>
      </w:r>
      <w:r>
        <w:rPr>
          <w:rFonts w:ascii="宋体" w:hAnsi="宋体"/>
          <w:b/>
          <w:bCs/>
        </w:rPr>
        <w:t xml:space="preserve"> </w:t>
      </w:r>
    </w:p>
    <w:p w14:paraId="17CA8E57">
      <w:pPr>
        <w:spacing w:line="360" w:lineRule="auto"/>
        <w:ind w:left="900" w:hanging="900"/>
        <w:jc w:val="center"/>
        <w:rPr>
          <w:rFonts w:ascii="宋体" w:hAnsi="宋体"/>
          <w:bCs/>
          <w:sz w:val="28"/>
          <w:szCs w:val="28"/>
        </w:rPr>
      </w:pPr>
    </w:p>
    <w:p w14:paraId="39F482EB">
      <w:pPr>
        <w:spacing w:line="360" w:lineRule="auto"/>
        <w:jc w:val="center"/>
        <w:outlineLvl w:val="1"/>
        <w:rPr>
          <w:rFonts w:ascii="宋体" w:hAnsi="宋体" w:cs="宋体"/>
          <w:b/>
          <w:kern w:val="0"/>
          <w:sz w:val="24"/>
        </w:rPr>
      </w:pPr>
      <w:r>
        <w:rPr>
          <w:rFonts w:hint="eastAsia" w:ascii="方正小标宋简体" w:hAnsi="方正小标宋简体" w:eastAsia="方正小标宋简体" w:cs="方正小标宋简体"/>
          <w:bCs/>
          <w:kern w:val="0"/>
          <w:sz w:val="44"/>
          <w:szCs w:val="44"/>
        </w:rPr>
        <w:t>安全生产协议</w:t>
      </w:r>
    </w:p>
    <w:p w14:paraId="654C66C0">
      <w:pPr>
        <w:spacing w:line="440" w:lineRule="exact"/>
        <w:rPr>
          <w:rFonts w:ascii="宋体" w:hAnsi="宋体"/>
          <w:sz w:val="24"/>
        </w:rPr>
      </w:pPr>
    </w:p>
    <w:p w14:paraId="509E99A7">
      <w:pPr>
        <w:spacing w:line="440" w:lineRule="exact"/>
        <w:rPr>
          <w:rFonts w:ascii="宋体" w:hAnsi="宋体"/>
          <w:sz w:val="24"/>
        </w:rPr>
      </w:pPr>
      <w:r>
        <w:rPr>
          <w:rFonts w:hint="eastAsia" w:ascii="宋体" w:hAnsi="宋体"/>
          <w:sz w:val="24"/>
        </w:rPr>
        <w:t>甲方：</w:t>
      </w:r>
      <w:r>
        <w:rPr>
          <w:rFonts w:hint="eastAsia" w:ascii="宋体" w:hAnsi="宋体"/>
          <w:sz w:val="24"/>
          <w:u w:val="single"/>
        </w:rPr>
        <w:t xml:space="preserve">  常州市城市排水有限公司   </w:t>
      </w:r>
    </w:p>
    <w:p w14:paraId="07B6358E">
      <w:pPr>
        <w:spacing w:line="440" w:lineRule="exact"/>
        <w:rPr>
          <w:rFonts w:ascii="宋体" w:hAnsi="宋体"/>
          <w:sz w:val="24"/>
        </w:rPr>
      </w:pPr>
      <w:r>
        <w:rPr>
          <w:rFonts w:hint="eastAsia" w:ascii="宋体" w:hAnsi="宋体"/>
          <w:sz w:val="24"/>
        </w:rPr>
        <w:t>乙方：</w:t>
      </w:r>
      <w:r>
        <w:rPr>
          <w:rFonts w:hint="eastAsia" w:ascii="宋体" w:hAnsi="宋体"/>
          <w:sz w:val="24"/>
          <w:u w:val="single"/>
        </w:rPr>
        <w:t xml:space="preserve">                           </w:t>
      </w:r>
    </w:p>
    <w:p w14:paraId="2A4D7ED5">
      <w:pPr>
        <w:spacing w:line="440" w:lineRule="exact"/>
        <w:rPr>
          <w:rFonts w:ascii="宋体" w:hAnsi="宋体"/>
          <w:sz w:val="24"/>
        </w:rPr>
      </w:pPr>
    </w:p>
    <w:p w14:paraId="3235C85F">
      <w:pPr>
        <w:spacing w:line="440" w:lineRule="exact"/>
        <w:ind w:firstLine="480" w:firstLineChars="200"/>
        <w:rPr>
          <w:rFonts w:ascii="宋体" w:hAnsi="宋体"/>
          <w:sz w:val="24"/>
        </w:rPr>
      </w:pPr>
      <w:r>
        <w:rPr>
          <w:rFonts w:hint="eastAsia" w:ascii="宋体" w:hAnsi="宋体"/>
          <w:sz w:val="24"/>
        </w:rPr>
        <w:t>为贯彻“安全第一、预防为主、综合治理”的方针，根据国家有关法律法规规定，明确双方的安全生产责任，确保操作安全，双方自愿签订本安全生产协议，以资共同遵守。</w:t>
      </w:r>
    </w:p>
    <w:p w14:paraId="23F6A2D7">
      <w:pPr>
        <w:spacing w:line="440" w:lineRule="exact"/>
        <w:rPr>
          <w:rFonts w:ascii="宋体" w:hAnsi="宋体"/>
          <w:sz w:val="24"/>
        </w:rPr>
      </w:pPr>
      <w:r>
        <w:rPr>
          <w:rFonts w:hint="eastAsia" w:ascii="宋体" w:hAnsi="宋体"/>
          <w:sz w:val="24"/>
        </w:rPr>
        <w:t>一、承包工程项目</w:t>
      </w:r>
    </w:p>
    <w:p w14:paraId="1564EDF4">
      <w:pPr>
        <w:spacing w:line="440" w:lineRule="exact"/>
        <w:ind w:firstLine="597" w:firstLineChars="249"/>
        <w:rPr>
          <w:rFonts w:ascii="宋体" w:hAnsi="宋体"/>
          <w:sz w:val="24"/>
          <w:u w:val="single"/>
        </w:rPr>
      </w:pPr>
      <w:r>
        <w:rPr>
          <w:rFonts w:hint="eastAsia" w:ascii="宋体" w:hAnsi="宋体"/>
          <w:sz w:val="24"/>
        </w:rPr>
        <w:t>1．项目名称：</w:t>
      </w:r>
      <w:r>
        <w:rPr>
          <w:rFonts w:hint="eastAsia" w:ascii="宋体" w:hAnsi="宋体"/>
          <w:sz w:val="24"/>
          <w:u w:val="single"/>
        </w:rPr>
        <w:t xml:space="preserve"> </w:t>
      </w:r>
      <w:r>
        <w:rPr>
          <w:rFonts w:hint="eastAsia" w:ascii="宋体" w:hAnsi="宋体"/>
          <w:bCs/>
          <w:sz w:val="24"/>
          <w:u w:val="single"/>
        </w:rPr>
        <w:t>江边厂三期搅拌器、推流器机封采购</w:t>
      </w:r>
      <w:r>
        <w:rPr>
          <w:rFonts w:hint="eastAsia" w:ascii="宋体" w:hAnsi="宋体"/>
          <w:sz w:val="24"/>
          <w:u w:val="single"/>
        </w:rPr>
        <w:t xml:space="preserve"> </w:t>
      </w:r>
    </w:p>
    <w:p w14:paraId="4F7166A3">
      <w:pPr>
        <w:spacing w:line="440" w:lineRule="exact"/>
        <w:ind w:firstLine="480" w:firstLineChars="200"/>
        <w:rPr>
          <w:rFonts w:ascii="宋体" w:hAnsi="宋体"/>
          <w:sz w:val="24"/>
        </w:rPr>
      </w:pPr>
      <w:r>
        <w:rPr>
          <w:rFonts w:hint="eastAsia" w:ascii="宋体" w:hAnsi="宋体"/>
          <w:sz w:val="24"/>
        </w:rPr>
        <w:t xml:space="preserve"> 2．作业内容：</w:t>
      </w:r>
      <w:r>
        <w:rPr>
          <w:rFonts w:hint="eastAsia" w:ascii="宋体" w:hAnsi="宋体"/>
          <w:sz w:val="24"/>
          <w:u w:val="single"/>
        </w:rPr>
        <w:t xml:space="preserve"> 见合同 </w:t>
      </w:r>
    </w:p>
    <w:p w14:paraId="7D53886F">
      <w:pPr>
        <w:spacing w:line="440" w:lineRule="exact"/>
        <w:ind w:firstLine="480" w:firstLineChars="200"/>
        <w:rPr>
          <w:rFonts w:ascii="宋体" w:hAnsi="宋体"/>
          <w:sz w:val="24"/>
          <w:u w:val="single"/>
        </w:rPr>
      </w:pPr>
      <w:r>
        <w:rPr>
          <w:rFonts w:hint="eastAsia" w:ascii="宋体" w:hAnsi="宋体"/>
          <w:sz w:val="24"/>
        </w:rPr>
        <w:t xml:space="preserve"> 3．项目期限：</w:t>
      </w:r>
      <w:r>
        <w:rPr>
          <w:rFonts w:hint="eastAsia" w:ascii="宋体" w:hAnsi="宋体"/>
          <w:sz w:val="24"/>
          <w:u w:val="single"/>
        </w:rPr>
        <w:t xml:space="preserve"> 见合同 </w:t>
      </w:r>
    </w:p>
    <w:p w14:paraId="25E819F7">
      <w:pPr>
        <w:spacing w:line="440" w:lineRule="exact"/>
        <w:rPr>
          <w:rFonts w:ascii="宋体" w:hAnsi="宋体"/>
          <w:sz w:val="24"/>
        </w:rPr>
      </w:pPr>
      <w:r>
        <w:rPr>
          <w:rFonts w:hint="eastAsia" w:ascii="宋体" w:hAnsi="宋体"/>
          <w:sz w:val="24"/>
        </w:rPr>
        <w:t>二、双方权利义务</w:t>
      </w:r>
    </w:p>
    <w:p w14:paraId="4D008894">
      <w:pPr>
        <w:spacing w:line="440" w:lineRule="exact"/>
        <w:rPr>
          <w:rFonts w:ascii="宋体" w:hAnsi="宋体"/>
          <w:sz w:val="24"/>
        </w:rPr>
      </w:pPr>
      <w:r>
        <w:rPr>
          <w:rFonts w:hint="eastAsia" w:ascii="宋体" w:hAnsi="宋体"/>
          <w:sz w:val="24"/>
        </w:rPr>
        <w:t xml:space="preserve">    1. 甲乙双方必须认真贯彻国家和上级劳动保护、安全生产主管部门颁发的有关安全生产、文明施工、消防工作的方针、政策，严格执行有关劳动保护法规、条例、规定。乙方必须服从属地行政部门和单位的管理，并使操作项目达到主合同约定的安全、文明、环保等方面的要求。</w:t>
      </w:r>
    </w:p>
    <w:p w14:paraId="16C9D2D0">
      <w:pPr>
        <w:spacing w:line="440" w:lineRule="exact"/>
        <w:ind w:firstLine="480" w:firstLineChars="200"/>
        <w:rPr>
          <w:rFonts w:ascii="宋体" w:hAnsi="宋体"/>
          <w:sz w:val="24"/>
        </w:rPr>
      </w:pPr>
      <w:r>
        <w:rPr>
          <w:rFonts w:hint="eastAsia" w:ascii="宋体" w:hAnsi="宋体"/>
          <w:sz w:val="24"/>
        </w:rPr>
        <w:t>2．乙方应建立健全安全管理制度，加强本单位员工安全生产责任制度，督促员工自觉遵守安全生产法律法规和规章制度。</w:t>
      </w:r>
    </w:p>
    <w:p w14:paraId="094B3A69">
      <w:pPr>
        <w:spacing w:line="440" w:lineRule="exact"/>
        <w:ind w:firstLine="480" w:firstLineChars="200"/>
        <w:rPr>
          <w:rFonts w:ascii="宋体" w:hAnsi="宋体"/>
          <w:sz w:val="24"/>
        </w:rPr>
      </w:pPr>
      <w:r>
        <w:rPr>
          <w:rFonts w:hint="eastAsia" w:ascii="宋体" w:hAnsi="宋体"/>
          <w:sz w:val="24"/>
        </w:rPr>
        <w:t>3．乙方委派的项目操作人员必须熟知和遵守本工种的各项安全技术操作规程，对于从事电气、起重、焊接、</w:t>
      </w:r>
      <w:r>
        <w:rPr>
          <w:rFonts w:ascii="宋体" w:hAnsi="宋体"/>
          <w:sz w:val="24"/>
        </w:rPr>
        <w:t>安装</w:t>
      </w:r>
      <w:r>
        <w:rPr>
          <w:rFonts w:hint="eastAsia" w:ascii="宋体" w:hAnsi="宋体"/>
          <w:sz w:val="24"/>
        </w:rPr>
        <w:t>等特殊工种的人员，需经过专业培训后持证上岗。</w:t>
      </w:r>
    </w:p>
    <w:p w14:paraId="6CC42981">
      <w:pPr>
        <w:spacing w:line="440" w:lineRule="exact"/>
        <w:ind w:firstLine="480" w:firstLineChars="200"/>
        <w:rPr>
          <w:rFonts w:ascii="宋体" w:hAnsi="宋体"/>
          <w:sz w:val="24"/>
        </w:rPr>
      </w:pPr>
      <w:r>
        <w:rPr>
          <w:rFonts w:hint="eastAsia" w:ascii="宋体" w:hAnsi="宋体"/>
          <w:sz w:val="24"/>
        </w:rPr>
        <w:t>4．乙方作业应确保</w:t>
      </w:r>
      <w:r>
        <w:rPr>
          <w:rFonts w:ascii="宋体" w:hAnsi="宋体"/>
          <w:sz w:val="24"/>
        </w:rPr>
        <w:t>安全</w:t>
      </w:r>
      <w:r>
        <w:rPr>
          <w:rFonts w:hint="eastAsia" w:ascii="宋体" w:hAnsi="宋体"/>
          <w:sz w:val="24"/>
        </w:rPr>
        <w:t>,并落实</w:t>
      </w:r>
      <w:r>
        <w:rPr>
          <w:rFonts w:ascii="宋体" w:hAnsi="宋体"/>
          <w:sz w:val="24"/>
        </w:rPr>
        <w:t>安全责任</w:t>
      </w:r>
      <w:r>
        <w:rPr>
          <w:rFonts w:hint="eastAsia" w:ascii="宋体" w:hAnsi="宋体"/>
          <w:sz w:val="24"/>
        </w:rPr>
        <w:t>，作业</w:t>
      </w:r>
      <w:r>
        <w:rPr>
          <w:rFonts w:ascii="宋体" w:hAnsi="宋体"/>
          <w:sz w:val="24"/>
        </w:rPr>
        <w:t>安全</w:t>
      </w:r>
      <w:r>
        <w:rPr>
          <w:rFonts w:hint="eastAsia" w:ascii="宋体" w:hAnsi="宋体"/>
          <w:sz w:val="24"/>
        </w:rPr>
        <w:t>包括</w:t>
      </w:r>
      <w:r>
        <w:rPr>
          <w:rFonts w:ascii="宋体" w:hAnsi="宋体"/>
          <w:sz w:val="24"/>
        </w:rPr>
        <w:t>但不限于</w:t>
      </w:r>
      <w:r>
        <w:rPr>
          <w:rFonts w:hint="eastAsia" w:ascii="宋体" w:hAnsi="宋体"/>
          <w:sz w:val="24"/>
        </w:rPr>
        <w:t>作业</w:t>
      </w:r>
      <w:r>
        <w:rPr>
          <w:rFonts w:ascii="宋体" w:hAnsi="宋体"/>
          <w:sz w:val="24"/>
        </w:rPr>
        <w:t>环境、作业设施设备、作业活动、作业</w:t>
      </w:r>
      <w:r>
        <w:rPr>
          <w:rFonts w:hint="eastAsia" w:ascii="宋体" w:hAnsi="宋体"/>
          <w:sz w:val="24"/>
        </w:rPr>
        <w:t>流程</w:t>
      </w:r>
      <w:r>
        <w:rPr>
          <w:rFonts w:ascii="宋体" w:hAnsi="宋体"/>
          <w:sz w:val="24"/>
        </w:rPr>
        <w:t>合规、人员行为</w:t>
      </w:r>
      <w:r>
        <w:rPr>
          <w:rFonts w:hint="eastAsia" w:ascii="宋体" w:hAnsi="宋体"/>
          <w:sz w:val="24"/>
        </w:rPr>
        <w:t>等因素；</w:t>
      </w:r>
      <w:r>
        <w:rPr>
          <w:rFonts w:ascii="宋体" w:hAnsi="宋体"/>
          <w:sz w:val="24"/>
        </w:rPr>
        <w:t>如</w:t>
      </w:r>
      <w:r>
        <w:rPr>
          <w:rFonts w:hint="eastAsia" w:ascii="宋体" w:hAnsi="宋体"/>
          <w:sz w:val="24"/>
        </w:rPr>
        <w:t>作业</w:t>
      </w:r>
      <w:r>
        <w:rPr>
          <w:rFonts w:ascii="宋体" w:hAnsi="宋体"/>
          <w:sz w:val="24"/>
        </w:rPr>
        <w:t>现场因甲方</w:t>
      </w:r>
      <w:r>
        <w:rPr>
          <w:rFonts w:hint="eastAsia" w:ascii="宋体" w:hAnsi="宋体"/>
          <w:sz w:val="24"/>
        </w:rPr>
        <w:t>的</w:t>
      </w:r>
      <w:r>
        <w:rPr>
          <w:rFonts w:ascii="宋体" w:hAnsi="宋体"/>
          <w:sz w:val="24"/>
        </w:rPr>
        <w:t>原因</w:t>
      </w:r>
      <w:r>
        <w:rPr>
          <w:rFonts w:hint="eastAsia" w:ascii="宋体" w:hAnsi="宋体"/>
          <w:sz w:val="24"/>
        </w:rPr>
        <w:t>有</w:t>
      </w:r>
      <w:r>
        <w:rPr>
          <w:rFonts w:ascii="宋体" w:hAnsi="宋体"/>
          <w:sz w:val="24"/>
        </w:rPr>
        <w:t>不符合作业安全的事项</w:t>
      </w:r>
      <w:r>
        <w:rPr>
          <w:rFonts w:hint="eastAsia" w:ascii="宋体" w:hAnsi="宋体"/>
          <w:sz w:val="24"/>
        </w:rPr>
        <w:t>时应</w:t>
      </w:r>
      <w:r>
        <w:rPr>
          <w:rFonts w:ascii="宋体" w:hAnsi="宋体"/>
          <w:sz w:val="24"/>
        </w:rPr>
        <w:t>及时</w:t>
      </w:r>
      <w:r>
        <w:rPr>
          <w:rFonts w:hint="eastAsia" w:ascii="宋体" w:hAnsi="宋体"/>
          <w:sz w:val="24"/>
        </w:rPr>
        <w:t>告</w:t>
      </w:r>
      <w:r>
        <w:rPr>
          <w:rFonts w:ascii="宋体" w:hAnsi="宋体"/>
          <w:sz w:val="24"/>
        </w:rPr>
        <w:t>知甲方</w:t>
      </w:r>
      <w:r>
        <w:rPr>
          <w:rFonts w:hint="eastAsia" w:ascii="宋体" w:hAnsi="宋体"/>
          <w:sz w:val="24"/>
        </w:rPr>
        <w:t>，</w:t>
      </w:r>
      <w:r>
        <w:rPr>
          <w:rFonts w:ascii="宋体" w:hAnsi="宋体"/>
          <w:sz w:val="24"/>
        </w:rPr>
        <w:t>解决</w:t>
      </w:r>
      <w:r>
        <w:rPr>
          <w:rFonts w:hint="eastAsia" w:ascii="宋体" w:hAnsi="宋体"/>
          <w:sz w:val="24"/>
        </w:rPr>
        <w:t>后</w:t>
      </w:r>
      <w:r>
        <w:rPr>
          <w:rFonts w:ascii="宋体" w:hAnsi="宋体"/>
          <w:sz w:val="24"/>
        </w:rPr>
        <w:t>方可</w:t>
      </w:r>
      <w:r>
        <w:rPr>
          <w:rFonts w:hint="eastAsia" w:ascii="宋体" w:hAnsi="宋体"/>
          <w:sz w:val="24"/>
        </w:rPr>
        <w:t>进行</w:t>
      </w:r>
      <w:r>
        <w:rPr>
          <w:rFonts w:ascii="宋体" w:hAnsi="宋体"/>
          <w:sz w:val="24"/>
        </w:rPr>
        <w:t>作业。</w:t>
      </w:r>
    </w:p>
    <w:p w14:paraId="5A6BAB1C">
      <w:pPr>
        <w:spacing w:line="440" w:lineRule="exact"/>
        <w:ind w:firstLine="480" w:firstLineChars="200"/>
        <w:rPr>
          <w:rFonts w:ascii="宋体" w:hAnsi="宋体"/>
          <w:sz w:val="24"/>
        </w:rPr>
      </w:pPr>
      <w:r>
        <w:rPr>
          <w:rFonts w:hint="eastAsia" w:ascii="宋体" w:hAnsi="宋体"/>
          <w:sz w:val="24"/>
        </w:rPr>
        <w:t>5.甲方或上级安全管理部门在检查中发现存在安全隐患或操作不符合相关要求时，甲方在要求乙方整改的同时，可视情节轻重，乙方向甲方支付1000---3000元/次的违约金；</w:t>
      </w:r>
      <w:r>
        <w:rPr>
          <w:rFonts w:hint="eastAsia" w:ascii="宋体" w:cs="宋体"/>
          <w:color w:val="000000"/>
          <w:kern w:val="0"/>
          <w:sz w:val="24"/>
          <w:lang w:val="zh-CN"/>
        </w:rPr>
        <w:t>发生一般安全生产责任事故但未造成人员伤亡的，或产生较大社会影响的事件，甲方有权要求乙方停工整改，乙方应向甲方支付5000元</w:t>
      </w:r>
      <w:r>
        <w:rPr>
          <w:rFonts w:ascii="宋体" w:cs="宋体"/>
          <w:color w:val="000000"/>
          <w:kern w:val="0"/>
          <w:sz w:val="24"/>
          <w:lang w:val="zh-CN"/>
        </w:rPr>
        <w:t>/</w:t>
      </w:r>
      <w:r>
        <w:rPr>
          <w:rFonts w:hint="eastAsia" w:ascii="宋体" w:cs="宋体"/>
          <w:color w:val="000000"/>
          <w:kern w:val="0"/>
          <w:sz w:val="24"/>
          <w:lang w:val="zh-CN"/>
        </w:rPr>
        <w:t>次的违约金。</w:t>
      </w:r>
    </w:p>
    <w:p w14:paraId="0670EF8B">
      <w:pPr>
        <w:spacing w:line="440" w:lineRule="exact"/>
        <w:ind w:firstLine="480" w:firstLineChars="200"/>
        <w:rPr>
          <w:rFonts w:ascii="宋体" w:hAnsi="宋体"/>
          <w:sz w:val="24"/>
        </w:rPr>
      </w:pPr>
      <w:r>
        <w:rPr>
          <w:rFonts w:hint="eastAsia" w:ascii="宋体" w:hAnsi="宋体"/>
          <w:sz w:val="24"/>
        </w:rPr>
        <w:t>三、责任划分</w:t>
      </w:r>
    </w:p>
    <w:p w14:paraId="554EF148">
      <w:pPr>
        <w:spacing w:line="440" w:lineRule="exact"/>
        <w:ind w:firstLine="480" w:firstLineChars="200"/>
        <w:rPr>
          <w:rFonts w:ascii="宋体" w:hAnsi="宋体"/>
          <w:sz w:val="24"/>
        </w:rPr>
      </w:pPr>
      <w:r>
        <w:rPr>
          <w:rFonts w:hint="eastAsia" w:ascii="宋体" w:hAnsi="宋体"/>
          <w:sz w:val="24"/>
        </w:rPr>
        <w:t>6.施工过程造成甲乙双方或第三者伤害或经济损失的，由乙方承担全部赔偿责任。如上级管理部门判定</w:t>
      </w:r>
      <w:r>
        <w:rPr>
          <w:rFonts w:ascii="宋体" w:hAnsi="宋体"/>
          <w:sz w:val="24"/>
        </w:rPr>
        <w:t>甲方</w:t>
      </w:r>
      <w:r>
        <w:rPr>
          <w:rFonts w:hint="eastAsia" w:ascii="宋体" w:hAnsi="宋体"/>
          <w:sz w:val="24"/>
        </w:rPr>
        <w:t>有管理责任，则按上级管理部门核定比例承担各自责任。</w:t>
      </w:r>
    </w:p>
    <w:p w14:paraId="446D42E3">
      <w:pPr>
        <w:spacing w:line="440" w:lineRule="exact"/>
        <w:ind w:firstLine="480" w:firstLineChars="200"/>
        <w:rPr>
          <w:rFonts w:ascii="宋体" w:hAnsi="宋体"/>
          <w:sz w:val="24"/>
        </w:rPr>
      </w:pPr>
      <w:r>
        <w:rPr>
          <w:rFonts w:hint="eastAsia" w:ascii="宋体" w:hAnsi="宋体"/>
          <w:sz w:val="24"/>
        </w:rPr>
        <w:t>7.施工过程如有因意外事件造成甲乙双方工作人员伤害，则各自承担本方人员医疗、赔偿等责任。</w:t>
      </w:r>
    </w:p>
    <w:p w14:paraId="47339BE7">
      <w:pPr>
        <w:spacing w:line="440" w:lineRule="exact"/>
        <w:ind w:firstLine="480" w:firstLineChars="200"/>
        <w:rPr>
          <w:rFonts w:ascii="宋体" w:hAnsi="宋体"/>
          <w:sz w:val="24"/>
        </w:rPr>
      </w:pPr>
      <w:r>
        <w:rPr>
          <w:rFonts w:hint="eastAsia" w:ascii="宋体" w:hAnsi="宋体"/>
          <w:sz w:val="24"/>
        </w:rPr>
        <w:t>四、争议解决</w:t>
      </w:r>
    </w:p>
    <w:p w14:paraId="209E59FA">
      <w:pPr>
        <w:spacing w:line="440" w:lineRule="exact"/>
        <w:ind w:firstLine="480" w:firstLineChars="200"/>
        <w:rPr>
          <w:rFonts w:ascii="宋体" w:hAnsi="宋体"/>
          <w:sz w:val="24"/>
        </w:rPr>
      </w:pPr>
      <w:r>
        <w:rPr>
          <w:rFonts w:hint="eastAsia" w:ascii="宋体" w:hAnsi="宋体"/>
          <w:sz w:val="24"/>
        </w:rPr>
        <w:t>8.因本协议引起或有关的任何争议，均应提交常州仲裁委员会按照其仲裁规则进行仲裁。仲裁裁决是终局的，对协议各方均有约束力。</w:t>
      </w:r>
    </w:p>
    <w:p w14:paraId="7B0EBE23">
      <w:pPr>
        <w:spacing w:line="440" w:lineRule="exact"/>
        <w:ind w:left="480"/>
        <w:rPr>
          <w:rFonts w:ascii="宋体" w:hAnsi="宋体"/>
          <w:sz w:val="24"/>
        </w:rPr>
      </w:pPr>
      <w:r>
        <w:rPr>
          <w:rFonts w:hint="eastAsia" w:ascii="宋体" w:hAnsi="宋体"/>
          <w:sz w:val="24"/>
        </w:rPr>
        <w:t>五</w:t>
      </w:r>
      <w:r>
        <w:rPr>
          <w:rFonts w:ascii="宋体" w:hAnsi="宋体"/>
          <w:sz w:val="24"/>
        </w:rPr>
        <w:t>、</w:t>
      </w:r>
      <w:r>
        <w:rPr>
          <w:rFonts w:hint="eastAsia" w:ascii="宋体" w:hAnsi="宋体"/>
          <w:sz w:val="24"/>
        </w:rPr>
        <w:t>其他</w:t>
      </w:r>
    </w:p>
    <w:p w14:paraId="3337608B">
      <w:pPr>
        <w:numPr>
          <w:ilvl w:val="255"/>
          <w:numId w:val="0"/>
        </w:numPr>
        <w:spacing w:line="440" w:lineRule="exact"/>
        <w:ind w:firstLine="480" w:firstLineChars="200"/>
        <w:rPr>
          <w:rFonts w:ascii="宋体" w:hAnsi="宋体"/>
          <w:sz w:val="24"/>
        </w:rPr>
      </w:pPr>
      <w:r>
        <w:rPr>
          <w:rFonts w:hint="eastAsia" w:ascii="宋体" w:hAnsi="宋体"/>
          <w:sz w:val="24"/>
        </w:rPr>
        <w:t>9.双方对上述条款有异议或有补充的可列于本款。</w:t>
      </w:r>
    </w:p>
    <w:p w14:paraId="189F161B">
      <w:pPr>
        <w:numPr>
          <w:ilvl w:val="255"/>
          <w:numId w:val="0"/>
        </w:numPr>
        <w:spacing w:line="440" w:lineRule="exact"/>
        <w:ind w:left="420" w:leftChars="200"/>
        <w:rPr>
          <w:rFonts w:ascii="宋体" w:hAnsi="宋体"/>
          <w:sz w:val="24"/>
        </w:rPr>
      </w:pPr>
      <w:r>
        <w:rPr>
          <w:rFonts w:hint="eastAsia" w:ascii="宋体" w:hAnsi="宋体"/>
          <w:sz w:val="24"/>
        </w:rPr>
        <w:t xml:space="preserve">                                                                10.本协议为从合同，与主合同同日生效，甲乙双方各执壹份。</w:t>
      </w:r>
    </w:p>
    <w:p w14:paraId="604DBD6F">
      <w:pPr>
        <w:spacing w:line="360" w:lineRule="auto"/>
        <w:ind w:firstLine="480" w:firstLineChars="200"/>
        <w:rPr>
          <w:rFonts w:ascii="宋体" w:hAnsi="宋体"/>
          <w:sz w:val="24"/>
        </w:rPr>
      </w:pPr>
    </w:p>
    <w:p w14:paraId="179302EB">
      <w:pPr>
        <w:spacing w:line="360" w:lineRule="auto"/>
        <w:ind w:firstLine="480" w:firstLineChars="200"/>
        <w:rPr>
          <w:rFonts w:ascii="宋体" w:hAnsi="宋体"/>
          <w:sz w:val="24"/>
        </w:rPr>
      </w:pPr>
      <w:r>
        <w:rPr>
          <w:rFonts w:hint="eastAsia" w:ascii="宋体" w:hAnsi="宋体"/>
          <w:sz w:val="24"/>
        </w:rPr>
        <w:t>甲方：                          乙方：</w:t>
      </w:r>
    </w:p>
    <w:p w14:paraId="3C5C0DF3">
      <w:pPr>
        <w:spacing w:line="360" w:lineRule="auto"/>
        <w:ind w:firstLine="480" w:firstLineChars="200"/>
        <w:rPr>
          <w:rFonts w:ascii="宋体" w:hAnsi="宋体"/>
          <w:sz w:val="24"/>
        </w:rPr>
      </w:pPr>
      <w:r>
        <w:rPr>
          <w:rFonts w:hint="eastAsia" w:ascii="宋体" w:hAnsi="宋体"/>
          <w:sz w:val="24"/>
        </w:rPr>
        <w:t>（印章）                        （印章）</w:t>
      </w:r>
    </w:p>
    <w:p w14:paraId="46CD766E">
      <w:pPr>
        <w:spacing w:line="360" w:lineRule="auto"/>
        <w:ind w:firstLine="480" w:firstLineChars="200"/>
        <w:rPr>
          <w:rFonts w:ascii="宋体" w:hAnsi="宋体"/>
          <w:sz w:val="24"/>
        </w:rPr>
      </w:pPr>
    </w:p>
    <w:p w14:paraId="7B4BD464">
      <w:pPr>
        <w:spacing w:line="360" w:lineRule="auto"/>
        <w:ind w:firstLine="480" w:firstLineChars="200"/>
        <w:rPr>
          <w:rFonts w:ascii="宋体" w:hAnsi="宋体"/>
          <w:sz w:val="24"/>
        </w:rPr>
      </w:pPr>
      <w:r>
        <w:rPr>
          <w:rFonts w:hint="eastAsia" w:ascii="宋体" w:hAnsi="宋体"/>
          <w:sz w:val="24"/>
        </w:rPr>
        <w:t xml:space="preserve">              </w:t>
      </w:r>
    </w:p>
    <w:p w14:paraId="013121E5">
      <w:pPr>
        <w:spacing w:line="360" w:lineRule="auto"/>
        <w:ind w:firstLine="480" w:firstLineChars="200"/>
        <w:rPr>
          <w:rFonts w:ascii="宋体" w:hAnsi="宋体"/>
          <w:sz w:val="24"/>
        </w:rPr>
      </w:pPr>
    </w:p>
    <w:p w14:paraId="3D9716C2">
      <w:pPr>
        <w:spacing w:line="360" w:lineRule="auto"/>
        <w:ind w:firstLine="480" w:firstLineChars="200"/>
        <w:rPr>
          <w:rFonts w:ascii="宋体" w:hAnsi="宋体"/>
          <w:sz w:val="24"/>
        </w:rPr>
      </w:pPr>
    </w:p>
    <w:p w14:paraId="1BC1A522">
      <w:pPr>
        <w:spacing w:line="360" w:lineRule="auto"/>
        <w:ind w:firstLine="480" w:firstLineChars="200"/>
        <w:rPr>
          <w:rFonts w:ascii="宋体" w:hAnsi="宋体"/>
          <w:sz w:val="24"/>
        </w:rPr>
      </w:pPr>
    </w:p>
    <w:p w14:paraId="5F7FB714">
      <w:pPr>
        <w:spacing w:line="360" w:lineRule="auto"/>
        <w:ind w:firstLine="480" w:firstLineChars="200"/>
        <w:rPr>
          <w:rFonts w:ascii="宋体" w:hAnsi="宋体"/>
          <w:sz w:val="24"/>
        </w:rPr>
      </w:pPr>
      <w:r>
        <w:rPr>
          <w:rFonts w:hint="eastAsia" w:ascii="宋体" w:hAnsi="宋体"/>
          <w:sz w:val="24"/>
        </w:rPr>
        <w:t>法人代表或委托代理人            法人代表或委托代理人</w:t>
      </w:r>
    </w:p>
    <w:p w14:paraId="3EEE13A0">
      <w:pPr>
        <w:spacing w:line="360" w:lineRule="auto"/>
        <w:ind w:firstLine="480" w:firstLineChars="200"/>
        <w:rPr>
          <w:rFonts w:ascii="宋体" w:hAnsi="宋体"/>
          <w:sz w:val="24"/>
        </w:rPr>
      </w:pPr>
      <w:r>
        <w:rPr>
          <w:rFonts w:hint="eastAsia" w:ascii="宋体" w:hAnsi="宋体"/>
          <w:sz w:val="24"/>
        </w:rPr>
        <w:t>（签名或盖章）                  （签名或盖章）</w:t>
      </w:r>
    </w:p>
    <w:p w14:paraId="143EC26D">
      <w:pPr>
        <w:spacing w:line="360" w:lineRule="auto"/>
        <w:ind w:firstLine="480" w:firstLineChars="200"/>
        <w:rPr>
          <w:rFonts w:ascii="宋体" w:hAnsi="宋体"/>
          <w:sz w:val="24"/>
        </w:rPr>
      </w:pPr>
      <w:r>
        <w:rPr>
          <w:rFonts w:hint="eastAsia" w:ascii="宋体" w:hAnsi="宋体"/>
          <w:sz w:val="24"/>
        </w:rPr>
        <w:t xml:space="preserve">           </w:t>
      </w:r>
    </w:p>
    <w:p w14:paraId="79884F19">
      <w:pPr>
        <w:spacing w:line="360" w:lineRule="auto"/>
        <w:ind w:firstLine="480" w:firstLineChars="200"/>
        <w:rPr>
          <w:rFonts w:ascii="宋体" w:hAnsi="宋体"/>
          <w:sz w:val="24"/>
        </w:rPr>
      </w:pPr>
      <w:r>
        <w:rPr>
          <w:rFonts w:hint="eastAsia" w:ascii="宋体" w:hAnsi="宋体"/>
          <w:sz w:val="24"/>
        </w:rPr>
        <w:t xml:space="preserve">                              </w:t>
      </w:r>
    </w:p>
    <w:p w14:paraId="0113EA03">
      <w:pPr>
        <w:pStyle w:val="3"/>
        <w:spacing w:line="400" w:lineRule="exact"/>
        <w:rPr>
          <w:rFonts w:hAnsi="宋体" w:cs="宋体"/>
          <w:b/>
          <w:color w:val="000000"/>
        </w:rPr>
      </w:pPr>
      <w:r>
        <w:rPr>
          <w:rFonts w:hint="eastAsia" w:hAnsi="宋体"/>
          <w:sz w:val="24"/>
        </w:rPr>
        <w:t xml:space="preserve"> 签订日期：202</w:t>
      </w:r>
      <w:r>
        <w:rPr>
          <w:rFonts w:hint="eastAsia" w:hAnsi="宋体"/>
          <w:sz w:val="24"/>
          <w:lang w:val="en-US" w:eastAsia="zh-CN"/>
        </w:rPr>
        <w:t>6</w:t>
      </w:r>
      <w:r>
        <w:rPr>
          <w:rFonts w:hint="eastAsia" w:hAnsi="宋体"/>
          <w:sz w:val="24"/>
        </w:rPr>
        <w:t>年   月   日</w:t>
      </w:r>
    </w:p>
    <w:p w14:paraId="34147AC2">
      <w:pPr>
        <w:pStyle w:val="3"/>
        <w:spacing w:line="400" w:lineRule="exact"/>
        <w:rPr>
          <w:rFonts w:hAnsi="宋体" w:cs="宋体"/>
          <w:b/>
          <w:color w:val="000000"/>
        </w:rPr>
      </w:pPr>
    </w:p>
    <w:p w14:paraId="7CC05259">
      <w:pPr>
        <w:pStyle w:val="3"/>
        <w:spacing w:line="400" w:lineRule="exact"/>
        <w:rPr>
          <w:rFonts w:hAnsi="宋体" w:cs="宋体"/>
          <w:b/>
          <w:color w:val="000000"/>
        </w:rPr>
      </w:pPr>
    </w:p>
    <w:p w14:paraId="6C58BA34">
      <w:pPr>
        <w:pStyle w:val="3"/>
        <w:spacing w:line="400" w:lineRule="exact"/>
        <w:rPr>
          <w:rFonts w:hAnsi="宋体" w:cs="宋体"/>
          <w:b/>
          <w:color w:val="000000"/>
        </w:rPr>
      </w:pPr>
    </w:p>
    <w:p w14:paraId="4C0EC090">
      <w:pPr>
        <w:pStyle w:val="3"/>
        <w:spacing w:line="400" w:lineRule="exact"/>
        <w:rPr>
          <w:rFonts w:hAnsi="宋体" w:cs="宋体"/>
          <w:b/>
          <w:color w:val="000000"/>
        </w:rPr>
      </w:pPr>
      <w:r>
        <w:rPr>
          <w:rFonts w:hAnsi="宋体" w:cs="宋体"/>
          <w:b/>
          <w:color w:val="000000"/>
        </w:rPr>
        <w:t>附件</w:t>
      </w:r>
      <w:r>
        <w:rPr>
          <w:rFonts w:hint="eastAsia" w:hAnsi="宋体" w:cs="宋体"/>
          <w:b/>
          <w:color w:val="000000"/>
        </w:rPr>
        <w:t>2：采购清单</w:t>
      </w:r>
    </w:p>
    <w:p w14:paraId="6F6A6A2B">
      <w:pPr>
        <w:pStyle w:val="3"/>
        <w:spacing w:line="400" w:lineRule="exact"/>
        <w:jc w:val="center"/>
        <w:rPr>
          <w:rFonts w:hAnsi="宋体" w:cs="宋体"/>
          <w:b/>
          <w:color w:val="000000"/>
          <w:sz w:val="28"/>
          <w:szCs w:val="28"/>
        </w:rPr>
      </w:pPr>
      <w:r>
        <w:rPr>
          <w:rFonts w:hint="eastAsia" w:hAnsi="宋体" w:cs="宋体"/>
          <w:b/>
          <w:color w:val="000000"/>
          <w:sz w:val="28"/>
          <w:szCs w:val="28"/>
        </w:rPr>
        <w:t>采购清单</w:t>
      </w:r>
    </w:p>
    <w:p w14:paraId="2AE169D1">
      <w:pPr>
        <w:widowControl/>
        <w:jc w:val="left"/>
        <w:rPr>
          <w:rFonts w:cs="宋体" w:asciiTheme="minorEastAsia" w:hAnsiTheme="minorEastAsia" w:eastAsiaTheme="minorEastAsia"/>
        </w:rPr>
      </w:pPr>
    </w:p>
    <w:p w14:paraId="31757620">
      <w:pPr>
        <w:rPr>
          <w:rFonts w:cs="宋体" w:asciiTheme="minorEastAsia" w:hAnsiTheme="minorEastAsia" w:eastAsiaTheme="minorEastAsia"/>
          <w:b/>
        </w:rPr>
      </w:pPr>
    </w:p>
    <w:p w14:paraId="0517452C">
      <w:pPr>
        <w:rPr>
          <w:rFonts w:cs="宋体" w:asciiTheme="minorEastAsia" w:hAnsiTheme="minorEastAsia" w:eastAsiaTheme="minorEastAsia"/>
          <w:b/>
        </w:rPr>
      </w:pPr>
    </w:p>
    <w:tbl>
      <w:tblPr>
        <w:tblStyle w:val="9"/>
        <w:tblW w:w="5000" w:type="pct"/>
        <w:jc w:val="center"/>
        <w:tblLayout w:type="fixed"/>
        <w:tblCellMar>
          <w:top w:w="0" w:type="dxa"/>
          <w:left w:w="108" w:type="dxa"/>
          <w:bottom w:w="0" w:type="dxa"/>
          <w:right w:w="108" w:type="dxa"/>
        </w:tblCellMar>
      </w:tblPr>
      <w:tblGrid>
        <w:gridCol w:w="724"/>
        <w:gridCol w:w="1604"/>
        <w:gridCol w:w="1603"/>
        <w:gridCol w:w="1165"/>
        <w:gridCol w:w="1018"/>
        <w:gridCol w:w="1165"/>
        <w:gridCol w:w="1250"/>
      </w:tblGrid>
      <w:tr w14:paraId="263A348F">
        <w:tblPrEx>
          <w:tblCellMar>
            <w:top w:w="0" w:type="dxa"/>
            <w:left w:w="108" w:type="dxa"/>
            <w:bottom w:w="0" w:type="dxa"/>
            <w:right w:w="108" w:type="dxa"/>
          </w:tblCellMar>
        </w:tblPrEx>
        <w:trPr>
          <w:trHeight w:val="525" w:hRule="atLeast"/>
          <w:tblHeader/>
          <w:jc w:val="center"/>
        </w:trPr>
        <w:tc>
          <w:tcPr>
            <w:tcW w:w="424" w:type="pct"/>
            <w:tcBorders>
              <w:top w:val="single" w:color="000000" w:sz="4" w:space="0"/>
              <w:left w:val="single" w:color="000000" w:sz="4" w:space="0"/>
              <w:bottom w:val="single" w:color="000000" w:sz="4" w:space="0"/>
              <w:right w:val="single" w:color="000000" w:sz="4" w:space="0"/>
            </w:tcBorders>
            <w:noWrap/>
            <w:vAlign w:val="center"/>
          </w:tcPr>
          <w:p w14:paraId="5B711257">
            <w:pPr>
              <w:widowControl/>
              <w:jc w:val="center"/>
              <w:textAlignment w:val="center"/>
              <w:rPr>
                <w:rFonts w:ascii="宋体" w:hAnsi="宋体" w:cs="宋体"/>
                <w:bCs/>
                <w:color w:val="000000"/>
                <w:sz w:val="22"/>
              </w:rPr>
            </w:pPr>
            <w:r>
              <w:rPr>
                <w:rFonts w:hint="eastAsia" w:ascii="宋体" w:hAnsi="宋体" w:cs="宋体"/>
                <w:bCs/>
                <w:color w:val="000000"/>
                <w:kern w:val="0"/>
                <w:sz w:val="22"/>
              </w:rPr>
              <w:t>序号</w:t>
            </w:r>
          </w:p>
        </w:tc>
        <w:tc>
          <w:tcPr>
            <w:tcW w:w="940" w:type="pct"/>
            <w:tcBorders>
              <w:top w:val="single" w:color="000000" w:sz="4" w:space="0"/>
              <w:left w:val="single" w:color="000000" w:sz="4" w:space="0"/>
              <w:bottom w:val="single" w:color="000000" w:sz="4" w:space="0"/>
              <w:right w:val="single" w:color="000000" w:sz="4" w:space="0"/>
            </w:tcBorders>
            <w:vAlign w:val="center"/>
          </w:tcPr>
          <w:p w14:paraId="644E283F">
            <w:pPr>
              <w:widowControl/>
              <w:jc w:val="center"/>
              <w:textAlignment w:val="center"/>
              <w:rPr>
                <w:rFonts w:ascii="宋体" w:hAnsi="宋体" w:cs="宋体"/>
                <w:bCs/>
                <w:color w:val="000000"/>
                <w:kern w:val="0"/>
                <w:sz w:val="22"/>
              </w:rPr>
            </w:pPr>
            <w:r>
              <w:rPr>
                <w:rFonts w:hint="eastAsia" w:ascii="宋体" w:hAnsi="宋体" w:cs="宋体"/>
                <w:bCs/>
                <w:color w:val="000000"/>
                <w:kern w:val="0"/>
                <w:sz w:val="22"/>
              </w:rPr>
              <w:t>名称</w:t>
            </w:r>
          </w:p>
        </w:tc>
        <w:tc>
          <w:tcPr>
            <w:tcW w:w="940" w:type="pct"/>
            <w:tcBorders>
              <w:top w:val="single" w:color="000000" w:sz="4" w:space="0"/>
              <w:left w:val="single" w:color="000000" w:sz="4" w:space="0"/>
              <w:bottom w:val="single" w:color="000000" w:sz="4" w:space="0"/>
              <w:right w:val="single" w:color="000000" w:sz="4" w:space="0"/>
            </w:tcBorders>
            <w:vAlign w:val="center"/>
          </w:tcPr>
          <w:p w14:paraId="6140C619">
            <w:pPr>
              <w:widowControl/>
              <w:jc w:val="center"/>
              <w:textAlignment w:val="center"/>
              <w:rPr>
                <w:rFonts w:ascii="宋体" w:hAnsi="宋体" w:cs="宋体"/>
                <w:bCs/>
                <w:color w:val="000000"/>
                <w:kern w:val="0"/>
                <w:sz w:val="22"/>
              </w:rPr>
            </w:pPr>
            <w:r>
              <w:rPr>
                <w:rFonts w:hint="eastAsia" w:ascii="宋体" w:hAnsi="宋体" w:cs="宋体"/>
                <w:bCs/>
                <w:color w:val="000000"/>
                <w:kern w:val="0"/>
                <w:sz w:val="22"/>
              </w:rPr>
              <w:t>型号规格</w:t>
            </w:r>
          </w:p>
        </w:tc>
        <w:tc>
          <w:tcPr>
            <w:tcW w:w="683" w:type="pct"/>
            <w:tcBorders>
              <w:top w:val="single" w:color="000000" w:sz="4" w:space="0"/>
              <w:left w:val="single" w:color="000000" w:sz="4" w:space="0"/>
              <w:bottom w:val="single" w:color="000000" w:sz="4" w:space="0"/>
              <w:right w:val="single" w:color="000000" w:sz="4" w:space="0"/>
            </w:tcBorders>
            <w:vAlign w:val="center"/>
          </w:tcPr>
          <w:p w14:paraId="7E14B900">
            <w:pPr>
              <w:widowControl/>
              <w:jc w:val="center"/>
              <w:textAlignment w:val="center"/>
              <w:rPr>
                <w:rFonts w:ascii="宋体" w:hAnsi="宋体" w:cs="宋体"/>
                <w:bCs/>
                <w:color w:val="000000"/>
                <w:sz w:val="22"/>
              </w:rPr>
            </w:pPr>
            <w:r>
              <w:rPr>
                <w:rFonts w:hint="eastAsia" w:ascii="宋体" w:hAnsi="宋体" w:cs="宋体"/>
                <w:bCs/>
                <w:color w:val="000000"/>
                <w:sz w:val="22"/>
              </w:rPr>
              <w:t>单位</w:t>
            </w:r>
          </w:p>
        </w:tc>
        <w:tc>
          <w:tcPr>
            <w:tcW w:w="597" w:type="pct"/>
            <w:tcBorders>
              <w:top w:val="single" w:color="000000" w:sz="4" w:space="0"/>
              <w:left w:val="single" w:color="000000" w:sz="4" w:space="0"/>
              <w:bottom w:val="single" w:color="000000" w:sz="4" w:space="0"/>
              <w:right w:val="single" w:color="000000" w:sz="4" w:space="0"/>
            </w:tcBorders>
            <w:noWrap/>
            <w:vAlign w:val="center"/>
          </w:tcPr>
          <w:p w14:paraId="7DD19C97">
            <w:pPr>
              <w:jc w:val="center"/>
              <w:textAlignment w:val="center"/>
              <w:rPr>
                <w:rFonts w:ascii="宋体" w:hAnsi="宋体" w:cs="宋体"/>
                <w:bCs/>
                <w:color w:val="000000"/>
                <w:sz w:val="22"/>
              </w:rPr>
            </w:pPr>
            <w:r>
              <w:rPr>
                <w:rFonts w:hint="eastAsia" w:ascii="宋体" w:hAnsi="宋体" w:cs="宋体"/>
                <w:bCs/>
                <w:color w:val="000000"/>
                <w:sz w:val="22"/>
              </w:rPr>
              <w:t>数量</w:t>
            </w:r>
          </w:p>
        </w:tc>
        <w:tc>
          <w:tcPr>
            <w:tcW w:w="683" w:type="pct"/>
            <w:tcBorders>
              <w:top w:val="single" w:color="000000" w:sz="4" w:space="0"/>
              <w:left w:val="single" w:color="000000" w:sz="4" w:space="0"/>
              <w:bottom w:val="single" w:color="000000" w:sz="4" w:space="0"/>
              <w:right w:val="single" w:color="000000" w:sz="4" w:space="0"/>
            </w:tcBorders>
            <w:vAlign w:val="center"/>
          </w:tcPr>
          <w:p w14:paraId="72095628">
            <w:pPr>
              <w:jc w:val="center"/>
              <w:textAlignment w:val="center"/>
              <w:rPr>
                <w:rFonts w:ascii="宋体" w:hAnsi="宋体" w:cs="宋体"/>
                <w:bCs/>
                <w:color w:val="000000"/>
                <w:sz w:val="22"/>
              </w:rPr>
            </w:pPr>
            <w:r>
              <w:rPr>
                <w:rFonts w:hint="eastAsia" w:ascii="宋体" w:hAnsi="宋体" w:cs="宋体"/>
                <w:bCs/>
                <w:color w:val="000000"/>
                <w:sz w:val="22"/>
              </w:rPr>
              <w:t>单价（元）</w:t>
            </w:r>
          </w:p>
        </w:tc>
        <w:tc>
          <w:tcPr>
            <w:tcW w:w="733" w:type="pct"/>
            <w:tcBorders>
              <w:top w:val="single" w:color="000000" w:sz="4" w:space="0"/>
              <w:left w:val="single" w:color="000000" w:sz="4" w:space="0"/>
              <w:bottom w:val="single" w:color="000000" w:sz="4" w:space="0"/>
              <w:right w:val="single" w:color="000000" w:sz="4" w:space="0"/>
            </w:tcBorders>
            <w:vAlign w:val="center"/>
          </w:tcPr>
          <w:p w14:paraId="0FD0BC4E">
            <w:pPr>
              <w:widowControl/>
              <w:jc w:val="center"/>
              <w:textAlignment w:val="center"/>
              <w:rPr>
                <w:rFonts w:ascii="宋体" w:hAnsi="宋体" w:cs="宋体"/>
                <w:bCs/>
                <w:color w:val="000000"/>
                <w:sz w:val="22"/>
              </w:rPr>
            </w:pPr>
            <w:r>
              <w:rPr>
                <w:rFonts w:hint="eastAsia" w:ascii="宋体" w:hAnsi="宋体" w:cs="宋体"/>
                <w:bCs/>
                <w:color w:val="000000"/>
                <w:sz w:val="22"/>
              </w:rPr>
              <w:t>总价（元）</w:t>
            </w:r>
          </w:p>
        </w:tc>
      </w:tr>
      <w:tr w14:paraId="1687348E">
        <w:tblPrEx>
          <w:tblCellMar>
            <w:top w:w="0" w:type="dxa"/>
            <w:left w:w="108" w:type="dxa"/>
            <w:bottom w:w="0" w:type="dxa"/>
            <w:right w:w="108" w:type="dxa"/>
          </w:tblCellMar>
        </w:tblPrEx>
        <w:trPr>
          <w:trHeight w:val="487" w:hRule="atLeast"/>
          <w:jc w:val="center"/>
        </w:trPr>
        <w:tc>
          <w:tcPr>
            <w:tcW w:w="424" w:type="pct"/>
            <w:tcBorders>
              <w:top w:val="single" w:color="000000" w:sz="4" w:space="0"/>
              <w:left w:val="single" w:color="000000" w:sz="4" w:space="0"/>
              <w:bottom w:val="single" w:color="000000" w:sz="4" w:space="0"/>
              <w:right w:val="single" w:color="000000" w:sz="4" w:space="0"/>
            </w:tcBorders>
            <w:vAlign w:val="center"/>
          </w:tcPr>
          <w:p w14:paraId="4E1575AC">
            <w:pPr>
              <w:widowControl/>
              <w:jc w:val="center"/>
              <w:textAlignment w:val="center"/>
              <w:rPr>
                <w:rFonts w:ascii="宋体" w:hAnsi="宋体" w:cs="宋体"/>
                <w:color w:val="000000"/>
                <w:sz w:val="24"/>
                <w:szCs w:val="24"/>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4CA5AD7">
            <w:pPr>
              <w:jc w:val="center"/>
              <w:rPr>
                <w:sz w:val="22"/>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28FE218">
            <w:pPr>
              <w:jc w:val="center"/>
              <w:rPr>
                <w:sz w:val="22"/>
              </w:rPr>
            </w:pPr>
          </w:p>
        </w:tc>
        <w:tc>
          <w:tcPr>
            <w:tcW w:w="683" w:type="pct"/>
            <w:tcBorders>
              <w:top w:val="single" w:color="000000" w:sz="4" w:space="0"/>
              <w:left w:val="single" w:color="000000" w:sz="4" w:space="0"/>
              <w:bottom w:val="single" w:color="000000" w:sz="4" w:space="0"/>
              <w:right w:val="single" w:color="000000" w:sz="4" w:space="0"/>
            </w:tcBorders>
            <w:vAlign w:val="center"/>
          </w:tcPr>
          <w:p w14:paraId="0B9DB170">
            <w:pPr>
              <w:jc w:val="center"/>
              <w:rPr>
                <w:sz w:val="22"/>
              </w:rPr>
            </w:pPr>
          </w:p>
        </w:tc>
        <w:tc>
          <w:tcPr>
            <w:tcW w:w="597" w:type="pct"/>
            <w:tcBorders>
              <w:top w:val="single" w:color="000000" w:sz="4" w:space="0"/>
              <w:left w:val="single" w:color="000000" w:sz="4" w:space="0"/>
              <w:bottom w:val="single" w:color="000000" w:sz="4" w:space="0"/>
              <w:right w:val="single" w:color="000000" w:sz="4" w:space="0"/>
            </w:tcBorders>
            <w:vAlign w:val="center"/>
          </w:tcPr>
          <w:p w14:paraId="5C494D9E">
            <w:pPr>
              <w:jc w:val="center"/>
              <w:rPr>
                <w:sz w:val="22"/>
              </w:rPr>
            </w:pPr>
          </w:p>
        </w:tc>
        <w:tc>
          <w:tcPr>
            <w:tcW w:w="683" w:type="pct"/>
            <w:tcBorders>
              <w:top w:val="single" w:color="000000" w:sz="4" w:space="0"/>
              <w:left w:val="single" w:color="000000" w:sz="4" w:space="0"/>
              <w:bottom w:val="single" w:color="000000" w:sz="4" w:space="0"/>
              <w:right w:val="single" w:color="000000" w:sz="4" w:space="0"/>
            </w:tcBorders>
            <w:vAlign w:val="center"/>
          </w:tcPr>
          <w:p w14:paraId="6A52519D">
            <w:pPr>
              <w:widowControl/>
              <w:jc w:val="center"/>
              <w:rPr>
                <w:kern w:val="0"/>
                <w:sz w:val="22"/>
              </w:rPr>
            </w:pPr>
          </w:p>
        </w:tc>
        <w:tc>
          <w:tcPr>
            <w:tcW w:w="733" w:type="pct"/>
            <w:tcBorders>
              <w:top w:val="single" w:color="000000" w:sz="4" w:space="0"/>
              <w:left w:val="single" w:color="000000" w:sz="4" w:space="0"/>
              <w:bottom w:val="single" w:color="000000" w:sz="4" w:space="0"/>
              <w:right w:val="single" w:color="000000" w:sz="4" w:space="0"/>
            </w:tcBorders>
            <w:vAlign w:val="center"/>
          </w:tcPr>
          <w:p w14:paraId="2312ED26">
            <w:pPr>
              <w:widowControl/>
              <w:jc w:val="center"/>
              <w:rPr>
                <w:kern w:val="0"/>
                <w:sz w:val="22"/>
              </w:rPr>
            </w:pPr>
          </w:p>
        </w:tc>
      </w:tr>
      <w:tr w14:paraId="75FC64CC">
        <w:tblPrEx>
          <w:tblCellMar>
            <w:top w:w="0" w:type="dxa"/>
            <w:left w:w="108" w:type="dxa"/>
            <w:bottom w:w="0" w:type="dxa"/>
            <w:right w:w="108" w:type="dxa"/>
          </w:tblCellMar>
        </w:tblPrEx>
        <w:trPr>
          <w:trHeight w:val="487" w:hRule="atLeast"/>
          <w:jc w:val="center"/>
        </w:trPr>
        <w:tc>
          <w:tcPr>
            <w:tcW w:w="424" w:type="pct"/>
            <w:tcBorders>
              <w:top w:val="single" w:color="000000" w:sz="4" w:space="0"/>
              <w:left w:val="single" w:color="000000" w:sz="4" w:space="0"/>
              <w:bottom w:val="single" w:color="000000" w:sz="4" w:space="0"/>
              <w:right w:val="single" w:color="000000" w:sz="4" w:space="0"/>
            </w:tcBorders>
            <w:vAlign w:val="center"/>
          </w:tcPr>
          <w:p w14:paraId="189DF406">
            <w:pPr>
              <w:widowControl/>
              <w:jc w:val="center"/>
              <w:textAlignment w:val="center"/>
              <w:rPr>
                <w:rFonts w:ascii="宋体" w:hAnsi="宋体" w:cs="宋体"/>
                <w:color w:val="000000"/>
                <w:kern w:val="0"/>
                <w:sz w:val="24"/>
                <w:szCs w:val="24"/>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4E64D56">
            <w:pPr>
              <w:jc w:val="center"/>
              <w:rPr>
                <w:sz w:val="22"/>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29884A8D">
            <w:pPr>
              <w:jc w:val="center"/>
              <w:rPr>
                <w:sz w:val="22"/>
              </w:rPr>
            </w:pPr>
          </w:p>
        </w:tc>
        <w:tc>
          <w:tcPr>
            <w:tcW w:w="683" w:type="pct"/>
            <w:tcBorders>
              <w:top w:val="single" w:color="000000" w:sz="4" w:space="0"/>
              <w:left w:val="single" w:color="000000" w:sz="4" w:space="0"/>
              <w:bottom w:val="single" w:color="000000" w:sz="4" w:space="0"/>
              <w:right w:val="single" w:color="000000" w:sz="4" w:space="0"/>
            </w:tcBorders>
            <w:vAlign w:val="center"/>
          </w:tcPr>
          <w:p w14:paraId="35B9DCE6">
            <w:pPr>
              <w:jc w:val="center"/>
              <w:rPr>
                <w:sz w:val="22"/>
              </w:rPr>
            </w:pPr>
          </w:p>
        </w:tc>
        <w:tc>
          <w:tcPr>
            <w:tcW w:w="597" w:type="pct"/>
            <w:tcBorders>
              <w:top w:val="single" w:color="000000" w:sz="4" w:space="0"/>
              <w:left w:val="single" w:color="000000" w:sz="4" w:space="0"/>
              <w:bottom w:val="single" w:color="000000" w:sz="4" w:space="0"/>
              <w:right w:val="single" w:color="000000" w:sz="4" w:space="0"/>
            </w:tcBorders>
            <w:vAlign w:val="center"/>
          </w:tcPr>
          <w:p w14:paraId="72C71072">
            <w:pPr>
              <w:jc w:val="center"/>
              <w:rPr>
                <w:sz w:val="22"/>
              </w:rPr>
            </w:pPr>
          </w:p>
        </w:tc>
        <w:tc>
          <w:tcPr>
            <w:tcW w:w="683" w:type="pct"/>
            <w:tcBorders>
              <w:top w:val="single" w:color="000000" w:sz="4" w:space="0"/>
              <w:left w:val="single" w:color="000000" w:sz="4" w:space="0"/>
              <w:bottom w:val="single" w:color="000000" w:sz="4" w:space="0"/>
              <w:right w:val="single" w:color="000000" w:sz="4" w:space="0"/>
            </w:tcBorders>
            <w:vAlign w:val="center"/>
          </w:tcPr>
          <w:p w14:paraId="055E81EE">
            <w:pPr>
              <w:widowControl/>
              <w:jc w:val="center"/>
              <w:rPr>
                <w:kern w:val="0"/>
                <w:sz w:val="22"/>
              </w:rPr>
            </w:pPr>
          </w:p>
        </w:tc>
        <w:tc>
          <w:tcPr>
            <w:tcW w:w="733" w:type="pct"/>
            <w:tcBorders>
              <w:top w:val="single" w:color="000000" w:sz="4" w:space="0"/>
              <w:left w:val="single" w:color="000000" w:sz="4" w:space="0"/>
              <w:bottom w:val="single" w:color="000000" w:sz="4" w:space="0"/>
              <w:right w:val="single" w:color="000000" w:sz="4" w:space="0"/>
            </w:tcBorders>
            <w:vAlign w:val="center"/>
          </w:tcPr>
          <w:p w14:paraId="190F32CD">
            <w:pPr>
              <w:widowControl/>
              <w:jc w:val="center"/>
              <w:rPr>
                <w:kern w:val="0"/>
                <w:sz w:val="22"/>
              </w:rPr>
            </w:pPr>
          </w:p>
        </w:tc>
      </w:tr>
      <w:tr w14:paraId="511BFF7C">
        <w:tblPrEx>
          <w:tblCellMar>
            <w:top w:w="0" w:type="dxa"/>
            <w:left w:w="108" w:type="dxa"/>
            <w:bottom w:w="0" w:type="dxa"/>
            <w:right w:w="108" w:type="dxa"/>
          </w:tblCellMar>
        </w:tblPrEx>
        <w:trPr>
          <w:trHeight w:val="434"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7E728D68">
            <w:pPr>
              <w:widowControl/>
              <w:jc w:val="center"/>
              <w:rPr>
                <w:kern w:val="0"/>
                <w:sz w:val="22"/>
              </w:rPr>
            </w:pPr>
            <w:r>
              <w:rPr>
                <w:rFonts w:hint="eastAsia"/>
                <w:kern w:val="0"/>
                <w:sz w:val="22"/>
              </w:rPr>
              <w:t>总价：</w:t>
            </w:r>
            <w:r>
              <w:rPr>
                <w:rFonts w:hint="eastAsia"/>
                <w:kern w:val="0"/>
                <w:sz w:val="22"/>
                <w:u w:val="single"/>
              </w:rPr>
              <w:t xml:space="preserve">        </w:t>
            </w:r>
            <w:r>
              <w:rPr>
                <w:rFonts w:hint="eastAsia"/>
                <w:kern w:val="0"/>
                <w:sz w:val="22"/>
              </w:rPr>
              <w:t>元</w:t>
            </w:r>
            <w:r>
              <w:rPr>
                <w:kern w:val="0"/>
                <w:sz w:val="22"/>
              </w:rPr>
              <w:t>（</w:t>
            </w:r>
            <w:r>
              <w:rPr>
                <w:rFonts w:hint="eastAsia"/>
                <w:b/>
                <w:kern w:val="0"/>
                <w:sz w:val="22"/>
              </w:rPr>
              <w:t>人民币</w:t>
            </w:r>
            <w:r>
              <w:rPr>
                <w:b/>
                <w:kern w:val="0"/>
                <w:sz w:val="22"/>
              </w:rPr>
              <w:t>大写</w:t>
            </w:r>
            <w:r>
              <w:rPr>
                <w:rFonts w:hint="eastAsia"/>
                <w:b/>
                <w:kern w:val="0"/>
                <w:sz w:val="22"/>
              </w:rPr>
              <w:t xml:space="preserve">   圆整</w:t>
            </w:r>
            <w:r>
              <w:rPr>
                <w:kern w:val="0"/>
                <w:sz w:val="22"/>
              </w:rPr>
              <w:t>）</w:t>
            </w:r>
          </w:p>
        </w:tc>
      </w:tr>
    </w:tbl>
    <w:p w14:paraId="4F39ABC6">
      <w:pPr>
        <w:rPr>
          <w:rFonts w:cs="宋体" w:asciiTheme="minorEastAsia" w:hAnsiTheme="minorEastAsia" w:eastAsiaTheme="minorEastAsia"/>
          <w:b/>
        </w:rPr>
      </w:pPr>
    </w:p>
    <w:p w14:paraId="5E2E112D">
      <w:pPr>
        <w:rPr>
          <w:rFonts w:cs="宋体" w:asciiTheme="minorEastAsia" w:hAnsiTheme="minorEastAsia" w:eastAsiaTheme="minorEastAsia"/>
          <w:b/>
        </w:rPr>
      </w:pPr>
    </w:p>
    <w:p w14:paraId="2855F483">
      <w:pPr>
        <w:widowControl/>
        <w:jc w:val="left"/>
        <w:rPr>
          <w:rFonts w:cs="宋体" w:asciiTheme="minorEastAsia" w:hAnsiTheme="minorEastAsia" w:eastAsiaTheme="minorEastAsia"/>
          <w:b/>
        </w:rPr>
      </w:pPr>
      <w:r>
        <w:rPr>
          <w:rFonts w:cs="宋体" w:asciiTheme="minorEastAsia" w:hAnsiTheme="minorEastAsia" w:eastAsiaTheme="minorEastAsia"/>
          <w:b/>
        </w:rPr>
        <w:br w:type="page"/>
      </w:r>
      <w:r>
        <w:rPr>
          <w:rFonts w:hint="eastAsia" w:cs="宋体" w:asciiTheme="minorEastAsia" w:hAnsiTheme="minorEastAsia" w:eastAsiaTheme="minorEastAsia"/>
          <w:b/>
        </w:rPr>
        <w:t>附件3：完工验收单</w:t>
      </w:r>
    </w:p>
    <w:p w14:paraId="47B59A67">
      <w:pPr>
        <w:spacing w:line="360" w:lineRule="exact"/>
        <w:rPr>
          <w:rFonts w:ascii="宋体" w:hAnsi="宋体" w:cs="宋体"/>
          <w:b/>
        </w:rPr>
      </w:pPr>
    </w:p>
    <w:p w14:paraId="796BEB0A">
      <w:pPr>
        <w:spacing w:afterLines="100"/>
        <w:jc w:val="center"/>
        <w:rPr>
          <w:b/>
          <w:sz w:val="36"/>
          <w:szCs w:val="36"/>
        </w:rPr>
      </w:pPr>
      <w:r>
        <w:rPr>
          <w:rFonts w:hint="eastAsia"/>
          <w:b/>
          <w:sz w:val="36"/>
          <w:szCs w:val="36"/>
        </w:rPr>
        <w:t>完工验收单</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670"/>
        <w:gridCol w:w="1445"/>
        <w:gridCol w:w="505"/>
        <w:gridCol w:w="1240"/>
        <w:gridCol w:w="239"/>
        <w:gridCol w:w="1683"/>
      </w:tblGrid>
      <w:tr w14:paraId="49A9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440" w:type="dxa"/>
            <w:noWrap/>
            <w:vAlign w:val="center"/>
          </w:tcPr>
          <w:p w14:paraId="2A22E2D4">
            <w:pPr>
              <w:jc w:val="center"/>
              <w:rPr>
                <w:rFonts w:ascii="宋体" w:hAnsi="宋体"/>
                <w:sz w:val="24"/>
                <w:szCs w:val="24"/>
              </w:rPr>
            </w:pPr>
            <w:r>
              <w:rPr>
                <w:rFonts w:hint="eastAsia" w:ascii="宋体" w:hAnsi="宋体"/>
                <w:sz w:val="24"/>
                <w:szCs w:val="24"/>
              </w:rPr>
              <w:t>项目名称</w:t>
            </w:r>
          </w:p>
        </w:tc>
        <w:tc>
          <w:tcPr>
            <w:tcW w:w="3115" w:type="dxa"/>
            <w:gridSpan w:val="2"/>
            <w:noWrap/>
            <w:vAlign w:val="center"/>
          </w:tcPr>
          <w:p w14:paraId="52BF3998">
            <w:pPr>
              <w:jc w:val="center"/>
              <w:rPr>
                <w:rFonts w:ascii="宋体" w:hAnsi="宋体"/>
                <w:b/>
                <w:sz w:val="24"/>
                <w:szCs w:val="24"/>
              </w:rPr>
            </w:pPr>
          </w:p>
        </w:tc>
        <w:tc>
          <w:tcPr>
            <w:tcW w:w="1745" w:type="dxa"/>
            <w:gridSpan w:val="2"/>
            <w:noWrap/>
            <w:vAlign w:val="center"/>
          </w:tcPr>
          <w:p w14:paraId="0715B73C">
            <w:pPr>
              <w:jc w:val="center"/>
              <w:rPr>
                <w:rFonts w:ascii="宋体" w:hAnsi="宋体"/>
                <w:sz w:val="24"/>
                <w:szCs w:val="24"/>
              </w:rPr>
            </w:pPr>
            <w:r>
              <w:rPr>
                <w:rFonts w:hint="eastAsia" w:ascii="宋体" w:hAnsi="宋体"/>
                <w:sz w:val="24"/>
                <w:szCs w:val="24"/>
              </w:rPr>
              <w:t>安装位置</w:t>
            </w:r>
          </w:p>
        </w:tc>
        <w:tc>
          <w:tcPr>
            <w:tcW w:w="1922" w:type="dxa"/>
            <w:gridSpan w:val="2"/>
            <w:noWrap/>
            <w:vAlign w:val="center"/>
          </w:tcPr>
          <w:p w14:paraId="625DC8FE">
            <w:pPr>
              <w:rPr>
                <w:rFonts w:ascii="宋体" w:hAnsi="宋体"/>
                <w:sz w:val="24"/>
                <w:szCs w:val="24"/>
              </w:rPr>
            </w:pPr>
          </w:p>
        </w:tc>
      </w:tr>
      <w:tr w14:paraId="16E0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440" w:type="dxa"/>
            <w:noWrap/>
            <w:vAlign w:val="center"/>
          </w:tcPr>
          <w:p w14:paraId="4963480A">
            <w:pPr>
              <w:jc w:val="center"/>
              <w:rPr>
                <w:rFonts w:ascii="宋体" w:hAnsi="宋体"/>
                <w:sz w:val="24"/>
                <w:szCs w:val="24"/>
              </w:rPr>
            </w:pPr>
            <w:r>
              <w:rPr>
                <w:rFonts w:hint="eastAsia" w:ascii="宋体" w:hAnsi="宋体"/>
                <w:sz w:val="24"/>
                <w:szCs w:val="24"/>
              </w:rPr>
              <w:t>设备名称</w:t>
            </w:r>
          </w:p>
        </w:tc>
        <w:tc>
          <w:tcPr>
            <w:tcW w:w="3115" w:type="dxa"/>
            <w:gridSpan w:val="2"/>
            <w:noWrap/>
            <w:vAlign w:val="center"/>
          </w:tcPr>
          <w:p w14:paraId="3B925517">
            <w:pPr>
              <w:jc w:val="center"/>
              <w:rPr>
                <w:rFonts w:ascii="宋体" w:hAnsi="宋体"/>
                <w:sz w:val="24"/>
                <w:szCs w:val="24"/>
              </w:rPr>
            </w:pPr>
          </w:p>
        </w:tc>
        <w:tc>
          <w:tcPr>
            <w:tcW w:w="1745" w:type="dxa"/>
            <w:gridSpan w:val="2"/>
            <w:noWrap/>
            <w:vAlign w:val="center"/>
          </w:tcPr>
          <w:p w14:paraId="1601E79D">
            <w:pPr>
              <w:jc w:val="center"/>
              <w:rPr>
                <w:rFonts w:ascii="宋体" w:hAnsi="宋体"/>
                <w:sz w:val="24"/>
                <w:szCs w:val="24"/>
              </w:rPr>
            </w:pPr>
            <w:r>
              <w:rPr>
                <w:rFonts w:hint="eastAsia" w:ascii="宋体" w:hAnsi="宋体"/>
                <w:sz w:val="24"/>
                <w:szCs w:val="24"/>
              </w:rPr>
              <w:t>数量</w:t>
            </w:r>
          </w:p>
        </w:tc>
        <w:tc>
          <w:tcPr>
            <w:tcW w:w="1922" w:type="dxa"/>
            <w:gridSpan w:val="2"/>
            <w:noWrap/>
            <w:vAlign w:val="center"/>
          </w:tcPr>
          <w:p w14:paraId="10695F3D">
            <w:pPr>
              <w:jc w:val="center"/>
              <w:rPr>
                <w:rFonts w:ascii="宋体" w:hAnsi="宋体"/>
                <w:sz w:val="24"/>
                <w:szCs w:val="24"/>
              </w:rPr>
            </w:pPr>
          </w:p>
        </w:tc>
      </w:tr>
      <w:tr w14:paraId="0734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1440" w:type="dxa"/>
            <w:noWrap/>
            <w:vAlign w:val="center"/>
          </w:tcPr>
          <w:p w14:paraId="3193195F">
            <w:pPr>
              <w:jc w:val="center"/>
              <w:rPr>
                <w:rFonts w:ascii="宋体" w:hAnsi="宋体"/>
                <w:sz w:val="24"/>
                <w:szCs w:val="24"/>
              </w:rPr>
            </w:pPr>
            <w:r>
              <w:rPr>
                <w:rFonts w:hint="eastAsia" w:ascii="宋体" w:hAnsi="宋体"/>
                <w:sz w:val="24"/>
                <w:szCs w:val="24"/>
              </w:rPr>
              <w:t>供应商</w:t>
            </w:r>
          </w:p>
        </w:tc>
        <w:tc>
          <w:tcPr>
            <w:tcW w:w="3115" w:type="dxa"/>
            <w:gridSpan w:val="2"/>
            <w:noWrap/>
            <w:vAlign w:val="center"/>
          </w:tcPr>
          <w:p w14:paraId="68170BFD">
            <w:pPr>
              <w:spacing w:line="400" w:lineRule="exact"/>
              <w:jc w:val="center"/>
              <w:rPr>
                <w:rFonts w:ascii="宋体" w:hAnsi="宋体"/>
                <w:sz w:val="24"/>
                <w:szCs w:val="24"/>
              </w:rPr>
            </w:pPr>
          </w:p>
        </w:tc>
        <w:tc>
          <w:tcPr>
            <w:tcW w:w="1745" w:type="dxa"/>
            <w:gridSpan w:val="2"/>
            <w:noWrap/>
            <w:vAlign w:val="center"/>
          </w:tcPr>
          <w:p w14:paraId="5B7031F7">
            <w:pPr>
              <w:jc w:val="center"/>
              <w:rPr>
                <w:rFonts w:ascii="宋体" w:hAnsi="宋体"/>
                <w:sz w:val="24"/>
                <w:szCs w:val="24"/>
              </w:rPr>
            </w:pPr>
            <w:r>
              <w:rPr>
                <w:rFonts w:hint="eastAsia" w:ascii="宋体" w:hAnsi="宋体"/>
                <w:sz w:val="24"/>
                <w:szCs w:val="24"/>
              </w:rPr>
              <w:t>验收日期</w:t>
            </w:r>
          </w:p>
        </w:tc>
        <w:tc>
          <w:tcPr>
            <w:tcW w:w="1922" w:type="dxa"/>
            <w:gridSpan w:val="2"/>
            <w:noWrap/>
            <w:vAlign w:val="center"/>
          </w:tcPr>
          <w:p w14:paraId="3677B2AA">
            <w:pPr>
              <w:jc w:val="center"/>
              <w:rPr>
                <w:rFonts w:ascii="宋体" w:hAnsi="宋体"/>
                <w:sz w:val="24"/>
                <w:szCs w:val="24"/>
              </w:rPr>
            </w:pPr>
          </w:p>
        </w:tc>
      </w:tr>
      <w:tr w14:paraId="54DD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trPr>
        <w:tc>
          <w:tcPr>
            <w:tcW w:w="1440" w:type="dxa"/>
            <w:noWrap/>
            <w:vAlign w:val="center"/>
          </w:tcPr>
          <w:p w14:paraId="7816A029">
            <w:pPr>
              <w:jc w:val="center"/>
              <w:rPr>
                <w:rFonts w:ascii="宋体" w:hAnsi="宋体"/>
                <w:sz w:val="24"/>
                <w:szCs w:val="24"/>
              </w:rPr>
            </w:pPr>
            <w:r>
              <w:rPr>
                <w:rFonts w:hint="eastAsia" w:ascii="宋体" w:hAnsi="宋体"/>
                <w:sz w:val="24"/>
                <w:szCs w:val="24"/>
              </w:rPr>
              <w:t>安装</w:t>
            </w:r>
          </w:p>
          <w:p w14:paraId="48B9B5E4">
            <w:pPr>
              <w:jc w:val="center"/>
              <w:rPr>
                <w:rFonts w:ascii="宋体" w:hAnsi="宋体"/>
                <w:sz w:val="24"/>
                <w:szCs w:val="24"/>
              </w:rPr>
            </w:pPr>
            <w:r>
              <w:rPr>
                <w:rFonts w:hint="eastAsia" w:ascii="宋体" w:hAnsi="宋体"/>
                <w:sz w:val="24"/>
                <w:szCs w:val="24"/>
              </w:rPr>
              <w:t>验收情况</w:t>
            </w:r>
          </w:p>
        </w:tc>
        <w:tc>
          <w:tcPr>
            <w:tcW w:w="6782" w:type="dxa"/>
            <w:gridSpan w:val="6"/>
            <w:noWrap/>
            <w:vAlign w:val="center"/>
          </w:tcPr>
          <w:p w14:paraId="54656FFD">
            <w:pPr>
              <w:jc w:val="left"/>
              <w:rPr>
                <w:rFonts w:ascii="宋体" w:hAnsi="宋体"/>
                <w:color w:val="FF0000"/>
                <w:sz w:val="24"/>
                <w:szCs w:val="24"/>
              </w:rPr>
            </w:pPr>
          </w:p>
          <w:p w14:paraId="372C553A">
            <w:pPr>
              <w:spacing w:line="360" w:lineRule="auto"/>
              <w:jc w:val="left"/>
              <w:rPr>
                <w:rFonts w:ascii="宋体" w:hAnsi="宋体"/>
                <w:sz w:val="24"/>
                <w:szCs w:val="24"/>
              </w:rPr>
            </w:pPr>
          </w:p>
        </w:tc>
      </w:tr>
      <w:tr w14:paraId="74C0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atLeast"/>
        </w:trPr>
        <w:tc>
          <w:tcPr>
            <w:tcW w:w="1440" w:type="dxa"/>
            <w:noWrap/>
            <w:vAlign w:val="center"/>
          </w:tcPr>
          <w:p w14:paraId="05B588E4">
            <w:pPr>
              <w:jc w:val="center"/>
              <w:rPr>
                <w:rFonts w:ascii="宋体" w:hAnsi="宋体"/>
                <w:sz w:val="24"/>
                <w:szCs w:val="24"/>
              </w:rPr>
            </w:pPr>
            <w:r>
              <w:rPr>
                <w:rFonts w:hint="eastAsia" w:ascii="宋体" w:hAnsi="宋体"/>
                <w:sz w:val="24"/>
                <w:szCs w:val="24"/>
              </w:rPr>
              <w:t>试运行</w:t>
            </w:r>
          </w:p>
          <w:p w14:paraId="3C22DE97">
            <w:pPr>
              <w:jc w:val="center"/>
              <w:rPr>
                <w:rFonts w:ascii="宋体" w:hAnsi="宋体"/>
                <w:sz w:val="24"/>
                <w:szCs w:val="24"/>
              </w:rPr>
            </w:pPr>
            <w:r>
              <w:rPr>
                <w:rFonts w:hint="eastAsia" w:ascii="宋体" w:hAnsi="宋体"/>
                <w:sz w:val="24"/>
                <w:szCs w:val="24"/>
              </w:rPr>
              <w:t>验收情况</w:t>
            </w:r>
          </w:p>
        </w:tc>
        <w:tc>
          <w:tcPr>
            <w:tcW w:w="6782" w:type="dxa"/>
            <w:gridSpan w:val="6"/>
            <w:noWrap/>
            <w:vAlign w:val="center"/>
          </w:tcPr>
          <w:p w14:paraId="7AE33C04">
            <w:pPr>
              <w:spacing w:line="360" w:lineRule="auto"/>
              <w:rPr>
                <w:rFonts w:ascii="宋体" w:hAnsi="宋体"/>
                <w:color w:val="FF0000"/>
                <w:sz w:val="24"/>
                <w:szCs w:val="24"/>
              </w:rPr>
            </w:pPr>
          </w:p>
          <w:p w14:paraId="682C5674">
            <w:pPr>
              <w:spacing w:line="360" w:lineRule="auto"/>
              <w:rPr>
                <w:rFonts w:ascii="宋体" w:hAnsi="宋体"/>
                <w:color w:val="FF0000"/>
                <w:sz w:val="24"/>
                <w:szCs w:val="24"/>
              </w:rPr>
            </w:pPr>
          </w:p>
        </w:tc>
      </w:tr>
      <w:tr w14:paraId="62A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1440" w:type="dxa"/>
            <w:vMerge w:val="restart"/>
            <w:noWrap/>
            <w:vAlign w:val="center"/>
          </w:tcPr>
          <w:p w14:paraId="61AB593D">
            <w:pPr>
              <w:jc w:val="center"/>
              <w:rPr>
                <w:rFonts w:ascii="宋体" w:hAnsi="宋体"/>
                <w:sz w:val="24"/>
                <w:szCs w:val="24"/>
              </w:rPr>
            </w:pPr>
            <w:r>
              <w:rPr>
                <w:rFonts w:hint="eastAsia" w:ascii="宋体" w:hAnsi="宋体"/>
                <w:sz w:val="24"/>
                <w:szCs w:val="24"/>
              </w:rPr>
              <w:t>验收人员</w:t>
            </w:r>
          </w:p>
          <w:p w14:paraId="256BAA0B">
            <w:pPr>
              <w:jc w:val="center"/>
              <w:rPr>
                <w:rFonts w:ascii="宋体" w:hAnsi="宋体"/>
                <w:sz w:val="24"/>
                <w:szCs w:val="24"/>
              </w:rPr>
            </w:pPr>
            <w:r>
              <w:rPr>
                <w:rFonts w:hint="eastAsia" w:ascii="宋体" w:hAnsi="宋体"/>
                <w:sz w:val="24"/>
                <w:szCs w:val="24"/>
              </w:rPr>
              <w:t>签字</w:t>
            </w:r>
          </w:p>
        </w:tc>
        <w:tc>
          <w:tcPr>
            <w:tcW w:w="1670" w:type="dxa"/>
            <w:noWrap/>
            <w:vAlign w:val="center"/>
          </w:tcPr>
          <w:p w14:paraId="50256D27">
            <w:pPr>
              <w:jc w:val="center"/>
              <w:rPr>
                <w:rFonts w:ascii="宋体" w:hAnsi="宋体"/>
                <w:sz w:val="24"/>
                <w:szCs w:val="24"/>
              </w:rPr>
            </w:pPr>
            <w:r>
              <w:rPr>
                <w:rFonts w:hint="eastAsia" w:ascii="宋体" w:hAnsi="宋体"/>
                <w:sz w:val="24"/>
                <w:szCs w:val="24"/>
              </w:rPr>
              <w:t>供货单位</w:t>
            </w:r>
          </w:p>
        </w:tc>
        <w:tc>
          <w:tcPr>
            <w:tcW w:w="1950" w:type="dxa"/>
            <w:gridSpan w:val="2"/>
            <w:noWrap/>
            <w:vAlign w:val="center"/>
          </w:tcPr>
          <w:p w14:paraId="197BA5FB">
            <w:pPr>
              <w:jc w:val="center"/>
              <w:rPr>
                <w:rFonts w:ascii="宋体" w:hAnsi="宋体"/>
                <w:sz w:val="24"/>
                <w:szCs w:val="24"/>
              </w:rPr>
            </w:pPr>
          </w:p>
        </w:tc>
        <w:tc>
          <w:tcPr>
            <w:tcW w:w="1479" w:type="dxa"/>
            <w:gridSpan w:val="2"/>
            <w:noWrap/>
            <w:vAlign w:val="center"/>
          </w:tcPr>
          <w:p w14:paraId="17407A43">
            <w:pPr>
              <w:jc w:val="center"/>
              <w:rPr>
                <w:rFonts w:ascii="宋体" w:hAnsi="宋体"/>
                <w:sz w:val="24"/>
                <w:szCs w:val="24"/>
              </w:rPr>
            </w:pPr>
            <w:r>
              <w:rPr>
                <w:rFonts w:hint="eastAsia" w:ascii="宋体" w:hAnsi="宋体"/>
                <w:sz w:val="24"/>
                <w:szCs w:val="24"/>
              </w:rPr>
              <w:t>验收人签字</w:t>
            </w:r>
          </w:p>
        </w:tc>
        <w:tc>
          <w:tcPr>
            <w:tcW w:w="1683" w:type="dxa"/>
            <w:noWrap/>
            <w:vAlign w:val="center"/>
          </w:tcPr>
          <w:p w14:paraId="332722FC">
            <w:pPr>
              <w:jc w:val="center"/>
              <w:rPr>
                <w:rFonts w:ascii="宋体" w:hAnsi="宋体"/>
                <w:sz w:val="24"/>
                <w:szCs w:val="24"/>
              </w:rPr>
            </w:pPr>
          </w:p>
        </w:tc>
      </w:tr>
      <w:tr w14:paraId="4ADE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1440" w:type="dxa"/>
            <w:vMerge w:val="continue"/>
            <w:noWrap/>
            <w:vAlign w:val="center"/>
          </w:tcPr>
          <w:p w14:paraId="1F4318B1">
            <w:pPr>
              <w:jc w:val="center"/>
              <w:rPr>
                <w:rFonts w:ascii="宋体" w:hAnsi="宋体"/>
                <w:sz w:val="24"/>
                <w:szCs w:val="24"/>
              </w:rPr>
            </w:pPr>
          </w:p>
        </w:tc>
        <w:tc>
          <w:tcPr>
            <w:tcW w:w="1670" w:type="dxa"/>
            <w:noWrap/>
            <w:vAlign w:val="center"/>
          </w:tcPr>
          <w:p w14:paraId="5072649A">
            <w:pPr>
              <w:jc w:val="center"/>
              <w:rPr>
                <w:rFonts w:ascii="宋体" w:hAnsi="宋体"/>
                <w:sz w:val="24"/>
                <w:szCs w:val="24"/>
              </w:rPr>
            </w:pPr>
            <w:r>
              <w:rPr>
                <w:rFonts w:hint="eastAsia" w:ascii="宋体" w:hAnsi="宋体"/>
                <w:sz w:val="24"/>
                <w:szCs w:val="24"/>
              </w:rPr>
              <w:t>设备使用部门</w:t>
            </w:r>
          </w:p>
        </w:tc>
        <w:tc>
          <w:tcPr>
            <w:tcW w:w="1950" w:type="dxa"/>
            <w:gridSpan w:val="2"/>
            <w:noWrap/>
            <w:vAlign w:val="center"/>
          </w:tcPr>
          <w:p w14:paraId="265B1B11">
            <w:pPr>
              <w:jc w:val="center"/>
              <w:rPr>
                <w:rFonts w:ascii="宋体" w:hAnsi="宋体"/>
                <w:sz w:val="24"/>
                <w:szCs w:val="24"/>
              </w:rPr>
            </w:pPr>
          </w:p>
        </w:tc>
        <w:tc>
          <w:tcPr>
            <w:tcW w:w="1479" w:type="dxa"/>
            <w:gridSpan w:val="2"/>
            <w:noWrap/>
            <w:vAlign w:val="center"/>
          </w:tcPr>
          <w:p w14:paraId="500886D4">
            <w:pPr>
              <w:jc w:val="center"/>
              <w:rPr>
                <w:rFonts w:ascii="宋体" w:hAnsi="宋体"/>
                <w:sz w:val="24"/>
                <w:szCs w:val="24"/>
              </w:rPr>
            </w:pPr>
            <w:r>
              <w:rPr>
                <w:rFonts w:hint="eastAsia" w:ascii="宋体" w:hAnsi="宋体"/>
                <w:sz w:val="24"/>
                <w:szCs w:val="24"/>
              </w:rPr>
              <w:t>验收人签字</w:t>
            </w:r>
          </w:p>
        </w:tc>
        <w:tc>
          <w:tcPr>
            <w:tcW w:w="1683" w:type="dxa"/>
            <w:noWrap/>
            <w:vAlign w:val="center"/>
          </w:tcPr>
          <w:p w14:paraId="04DFC018">
            <w:pPr>
              <w:jc w:val="center"/>
              <w:rPr>
                <w:rFonts w:ascii="宋体" w:hAnsi="宋体"/>
                <w:sz w:val="24"/>
                <w:szCs w:val="24"/>
              </w:rPr>
            </w:pPr>
          </w:p>
        </w:tc>
      </w:tr>
      <w:tr w14:paraId="4DE0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1440" w:type="dxa"/>
            <w:vMerge w:val="continue"/>
            <w:noWrap/>
            <w:vAlign w:val="center"/>
          </w:tcPr>
          <w:p w14:paraId="2EA085D6">
            <w:pPr>
              <w:jc w:val="center"/>
              <w:rPr>
                <w:rFonts w:ascii="宋体" w:hAnsi="宋体"/>
                <w:sz w:val="24"/>
                <w:szCs w:val="24"/>
              </w:rPr>
            </w:pPr>
          </w:p>
        </w:tc>
        <w:tc>
          <w:tcPr>
            <w:tcW w:w="1670" w:type="dxa"/>
            <w:noWrap/>
            <w:vAlign w:val="center"/>
          </w:tcPr>
          <w:p w14:paraId="43C31D9C">
            <w:pPr>
              <w:jc w:val="center"/>
              <w:rPr>
                <w:rFonts w:ascii="宋体" w:hAnsi="宋体"/>
                <w:sz w:val="24"/>
                <w:szCs w:val="24"/>
              </w:rPr>
            </w:pPr>
            <w:r>
              <w:rPr>
                <w:rFonts w:hint="eastAsia" w:ascii="宋体" w:hAnsi="宋体"/>
                <w:sz w:val="24"/>
                <w:szCs w:val="24"/>
              </w:rPr>
              <w:t>设备采购部门</w:t>
            </w:r>
          </w:p>
        </w:tc>
        <w:tc>
          <w:tcPr>
            <w:tcW w:w="1950" w:type="dxa"/>
            <w:gridSpan w:val="2"/>
            <w:noWrap/>
            <w:vAlign w:val="center"/>
          </w:tcPr>
          <w:p w14:paraId="009A2359">
            <w:pPr>
              <w:jc w:val="center"/>
              <w:rPr>
                <w:rFonts w:ascii="宋体" w:hAnsi="宋体"/>
                <w:sz w:val="24"/>
                <w:szCs w:val="24"/>
              </w:rPr>
            </w:pPr>
          </w:p>
        </w:tc>
        <w:tc>
          <w:tcPr>
            <w:tcW w:w="1479" w:type="dxa"/>
            <w:gridSpan w:val="2"/>
            <w:noWrap/>
            <w:vAlign w:val="center"/>
          </w:tcPr>
          <w:p w14:paraId="2CCE22BE">
            <w:pPr>
              <w:jc w:val="center"/>
              <w:rPr>
                <w:rFonts w:ascii="宋体" w:hAnsi="宋体"/>
                <w:sz w:val="24"/>
                <w:szCs w:val="24"/>
              </w:rPr>
            </w:pPr>
            <w:r>
              <w:rPr>
                <w:rFonts w:hint="eastAsia" w:ascii="宋体" w:hAnsi="宋体"/>
                <w:sz w:val="24"/>
                <w:szCs w:val="24"/>
              </w:rPr>
              <w:t>验收人签字</w:t>
            </w:r>
          </w:p>
        </w:tc>
        <w:tc>
          <w:tcPr>
            <w:tcW w:w="1683" w:type="dxa"/>
            <w:noWrap/>
            <w:vAlign w:val="center"/>
          </w:tcPr>
          <w:p w14:paraId="4391C270">
            <w:pPr>
              <w:jc w:val="center"/>
              <w:rPr>
                <w:rFonts w:ascii="宋体" w:hAnsi="宋体"/>
                <w:sz w:val="24"/>
                <w:szCs w:val="24"/>
              </w:rPr>
            </w:pPr>
          </w:p>
        </w:tc>
      </w:tr>
      <w:tr w14:paraId="15D4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9" w:hRule="atLeast"/>
        </w:trPr>
        <w:tc>
          <w:tcPr>
            <w:tcW w:w="1440" w:type="dxa"/>
            <w:noWrap/>
            <w:vAlign w:val="center"/>
          </w:tcPr>
          <w:p w14:paraId="590A1C5C">
            <w:pPr>
              <w:jc w:val="center"/>
              <w:rPr>
                <w:rFonts w:ascii="宋体" w:hAnsi="宋体"/>
                <w:sz w:val="24"/>
                <w:szCs w:val="24"/>
              </w:rPr>
            </w:pPr>
            <w:r>
              <w:rPr>
                <w:rFonts w:hint="eastAsia" w:ascii="宋体" w:hAnsi="宋体"/>
                <w:sz w:val="24"/>
                <w:szCs w:val="24"/>
              </w:rPr>
              <w:t>备注</w:t>
            </w:r>
          </w:p>
        </w:tc>
        <w:tc>
          <w:tcPr>
            <w:tcW w:w="6782" w:type="dxa"/>
            <w:gridSpan w:val="6"/>
            <w:noWrap/>
            <w:vAlign w:val="center"/>
          </w:tcPr>
          <w:p w14:paraId="488686A6">
            <w:pPr>
              <w:jc w:val="center"/>
              <w:rPr>
                <w:rFonts w:ascii="宋体" w:hAnsi="宋体"/>
                <w:sz w:val="24"/>
                <w:szCs w:val="24"/>
              </w:rPr>
            </w:pPr>
          </w:p>
        </w:tc>
      </w:tr>
    </w:tbl>
    <w:p w14:paraId="6AE774C3">
      <w:pPr>
        <w:widowControl/>
        <w:spacing w:line="360" w:lineRule="auto"/>
        <w:jc w:val="left"/>
        <w:rPr>
          <w:rFonts w:ascii="宋体" w:hAnsi="宋体"/>
          <w:sz w:val="24"/>
          <w:szCs w:val="24"/>
        </w:rPr>
      </w:pPr>
    </w:p>
    <w:sectPr>
      <w:pgSz w:w="11907" w:h="16839"/>
      <w:pgMar w:top="1440" w:right="1797" w:bottom="1440" w:left="1797"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Gungsuh">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392D"/>
    <w:rsid w:val="00000982"/>
    <w:rsid w:val="00004448"/>
    <w:rsid w:val="00017F05"/>
    <w:rsid w:val="00021E6C"/>
    <w:rsid w:val="00036AEC"/>
    <w:rsid w:val="00041D1B"/>
    <w:rsid w:val="00060D15"/>
    <w:rsid w:val="00071D13"/>
    <w:rsid w:val="00073B12"/>
    <w:rsid w:val="00082F6A"/>
    <w:rsid w:val="00087AB9"/>
    <w:rsid w:val="00090F2E"/>
    <w:rsid w:val="000919D9"/>
    <w:rsid w:val="00093434"/>
    <w:rsid w:val="000B2A23"/>
    <w:rsid w:val="000B6CA8"/>
    <w:rsid w:val="000C4D95"/>
    <w:rsid w:val="000D3FC8"/>
    <w:rsid w:val="000D4128"/>
    <w:rsid w:val="000E1CF1"/>
    <w:rsid w:val="000E7043"/>
    <w:rsid w:val="000F1A19"/>
    <w:rsid w:val="000F45ED"/>
    <w:rsid w:val="000F4816"/>
    <w:rsid w:val="00103BD9"/>
    <w:rsid w:val="00114229"/>
    <w:rsid w:val="0011684F"/>
    <w:rsid w:val="00120B6C"/>
    <w:rsid w:val="00127A0A"/>
    <w:rsid w:val="00136A6F"/>
    <w:rsid w:val="001372B4"/>
    <w:rsid w:val="00137F28"/>
    <w:rsid w:val="00140244"/>
    <w:rsid w:val="00153584"/>
    <w:rsid w:val="0015555A"/>
    <w:rsid w:val="00157998"/>
    <w:rsid w:val="00170FE9"/>
    <w:rsid w:val="00173AC9"/>
    <w:rsid w:val="00176B54"/>
    <w:rsid w:val="0019452F"/>
    <w:rsid w:val="001A794B"/>
    <w:rsid w:val="001D04B9"/>
    <w:rsid w:val="001E2BF3"/>
    <w:rsid w:val="002022CA"/>
    <w:rsid w:val="00207AA1"/>
    <w:rsid w:val="00212A0A"/>
    <w:rsid w:val="002177B6"/>
    <w:rsid w:val="002367F7"/>
    <w:rsid w:val="00237763"/>
    <w:rsid w:val="00246305"/>
    <w:rsid w:val="00263C40"/>
    <w:rsid w:val="00292481"/>
    <w:rsid w:val="002939E5"/>
    <w:rsid w:val="00293A2F"/>
    <w:rsid w:val="002A4D60"/>
    <w:rsid w:val="002C4426"/>
    <w:rsid w:val="002C4916"/>
    <w:rsid w:val="002C4C4E"/>
    <w:rsid w:val="002D03DD"/>
    <w:rsid w:val="002D344C"/>
    <w:rsid w:val="002E77CA"/>
    <w:rsid w:val="002F07C6"/>
    <w:rsid w:val="002F4A3B"/>
    <w:rsid w:val="002F5098"/>
    <w:rsid w:val="00303568"/>
    <w:rsid w:val="00310AC0"/>
    <w:rsid w:val="00312775"/>
    <w:rsid w:val="00317668"/>
    <w:rsid w:val="0032658E"/>
    <w:rsid w:val="00326E7D"/>
    <w:rsid w:val="00344DDE"/>
    <w:rsid w:val="003555E4"/>
    <w:rsid w:val="0035576D"/>
    <w:rsid w:val="00390D43"/>
    <w:rsid w:val="00396C73"/>
    <w:rsid w:val="003C319A"/>
    <w:rsid w:val="00406A9E"/>
    <w:rsid w:val="00410B37"/>
    <w:rsid w:val="004501CF"/>
    <w:rsid w:val="004507BF"/>
    <w:rsid w:val="004511E0"/>
    <w:rsid w:val="00454F19"/>
    <w:rsid w:val="004562AB"/>
    <w:rsid w:val="004601F4"/>
    <w:rsid w:val="00462676"/>
    <w:rsid w:val="00463BA4"/>
    <w:rsid w:val="00465DAE"/>
    <w:rsid w:val="00496B2F"/>
    <w:rsid w:val="004A308E"/>
    <w:rsid w:val="004A3A38"/>
    <w:rsid w:val="004A550F"/>
    <w:rsid w:val="004B4768"/>
    <w:rsid w:val="004B5EF7"/>
    <w:rsid w:val="004D7892"/>
    <w:rsid w:val="004E392D"/>
    <w:rsid w:val="004E4DCA"/>
    <w:rsid w:val="004E60D4"/>
    <w:rsid w:val="004F1F2E"/>
    <w:rsid w:val="0050580B"/>
    <w:rsid w:val="005066DE"/>
    <w:rsid w:val="005304EA"/>
    <w:rsid w:val="005733B2"/>
    <w:rsid w:val="00573923"/>
    <w:rsid w:val="00573F3E"/>
    <w:rsid w:val="00575B1D"/>
    <w:rsid w:val="00587C5A"/>
    <w:rsid w:val="005A43EB"/>
    <w:rsid w:val="005A4EA1"/>
    <w:rsid w:val="005C04BB"/>
    <w:rsid w:val="005C3CFD"/>
    <w:rsid w:val="005E63CC"/>
    <w:rsid w:val="00621B5D"/>
    <w:rsid w:val="006240F6"/>
    <w:rsid w:val="00634188"/>
    <w:rsid w:val="00651262"/>
    <w:rsid w:val="00663D56"/>
    <w:rsid w:val="0067746E"/>
    <w:rsid w:val="00677529"/>
    <w:rsid w:val="006802B0"/>
    <w:rsid w:val="00680FD7"/>
    <w:rsid w:val="00686D31"/>
    <w:rsid w:val="006B3AEF"/>
    <w:rsid w:val="006B51EA"/>
    <w:rsid w:val="006C0788"/>
    <w:rsid w:val="006E286C"/>
    <w:rsid w:val="006F32DC"/>
    <w:rsid w:val="007172C5"/>
    <w:rsid w:val="0073156F"/>
    <w:rsid w:val="00750761"/>
    <w:rsid w:val="007524BA"/>
    <w:rsid w:val="007540F8"/>
    <w:rsid w:val="00761BE8"/>
    <w:rsid w:val="0076429C"/>
    <w:rsid w:val="007771B8"/>
    <w:rsid w:val="00784636"/>
    <w:rsid w:val="00787736"/>
    <w:rsid w:val="007A0363"/>
    <w:rsid w:val="007A51B3"/>
    <w:rsid w:val="007B2309"/>
    <w:rsid w:val="007B419F"/>
    <w:rsid w:val="007C3B69"/>
    <w:rsid w:val="007E5C26"/>
    <w:rsid w:val="007F7101"/>
    <w:rsid w:val="00803106"/>
    <w:rsid w:val="00805DF5"/>
    <w:rsid w:val="008074D9"/>
    <w:rsid w:val="00822662"/>
    <w:rsid w:val="00827E5B"/>
    <w:rsid w:val="00840D91"/>
    <w:rsid w:val="00847D85"/>
    <w:rsid w:val="008614E4"/>
    <w:rsid w:val="00874BF9"/>
    <w:rsid w:val="0087676C"/>
    <w:rsid w:val="008775C7"/>
    <w:rsid w:val="00886B09"/>
    <w:rsid w:val="00895C26"/>
    <w:rsid w:val="008B4997"/>
    <w:rsid w:val="0092365D"/>
    <w:rsid w:val="0092690F"/>
    <w:rsid w:val="009479AD"/>
    <w:rsid w:val="0095020A"/>
    <w:rsid w:val="00981EB8"/>
    <w:rsid w:val="00985FE2"/>
    <w:rsid w:val="00996AD3"/>
    <w:rsid w:val="009B524C"/>
    <w:rsid w:val="009C186B"/>
    <w:rsid w:val="009D014F"/>
    <w:rsid w:val="009D06F4"/>
    <w:rsid w:val="009D4DB6"/>
    <w:rsid w:val="009D7F03"/>
    <w:rsid w:val="009E2ECD"/>
    <w:rsid w:val="009F6018"/>
    <w:rsid w:val="00A11CBC"/>
    <w:rsid w:val="00A20241"/>
    <w:rsid w:val="00A20830"/>
    <w:rsid w:val="00A2578A"/>
    <w:rsid w:val="00A314CE"/>
    <w:rsid w:val="00A31841"/>
    <w:rsid w:val="00A356F3"/>
    <w:rsid w:val="00A96D08"/>
    <w:rsid w:val="00AA347C"/>
    <w:rsid w:val="00AB22D4"/>
    <w:rsid w:val="00AB3FEB"/>
    <w:rsid w:val="00AB72CE"/>
    <w:rsid w:val="00AC090E"/>
    <w:rsid w:val="00AC4C46"/>
    <w:rsid w:val="00AE45DA"/>
    <w:rsid w:val="00B06115"/>
    <w:rsid w:val="00B21225"/>
    <w:rsid w:val="00B51E98"/>
    <w:rsid w:val="00B52E99"/>
    <w:rsid w:val="00B60275"/>
    <w:rsid w:val="00B96987"/>
    <w:rsid w:val="00BA3F01"/>
    <w:rsid w:val="00BA6554"/>
    <w:rsid w:val="00BB2342"/>
    <w:rsid w:val="00BC2E4E"/>
    <w:rsid w:val="00BE3700"/>
    <w:rsid w:val="00BF2436"/>
    <w:rsid w:val="00BF3DDB"/>
    <w:rsid w:val="00C0033A"/>
    <w:rsid w:val="00C06B97"/>
    <w:rsid w:val="00C2483A"/>
    <w:rsid w:val="00C35548"/>
    <w:rsid w:val="00C432B0"/>
    <w:rsid w:val="00C554D4"/>
    <w:rsid w:val="00C6017B"/>
    <w:rsid w:val="00C66112"/>
    <w:rsid w:val="00C74B61"/>
    <w:rsid w:val="00C82F70"/>
    <w:rsid w:val="00C83896"/>
    <w:rsid w:val="00C87ED4"/>
    <w:rsid w:val="00C97BBC"/>
    <w:rsid w:val="00CA78C7"/>
    <w:rsid w:val="00CB4572"/>
    <w:rsid w:val="00CC0113"/>
    <w:rsid w:val="00CC5471"/>
    <w:rsid w:val="00CF02C4"/>
    <w:rsid w:val="00D020CF"/>
    <w:rsid w:val="00D06454"/>
    <w:rsid w:val="00D07445"/>
    <w:rsid w:val="00D2324E"/>
    <w:rsid w:val="00D40E9A"/>
    <w:rsid w:val="00D460A6"/>
    <w:rsid w:val="00D623AE"/>
    <w:rsid w:val="00D846D7"/>
    <w:rsid w:val="00D95672"/>
    <w:rsid w:val="00DA2A44"/>
    <w:rsid w:val="00DA48D1"/>
    <w:rsid w:val="00DC253B"/>
    <w:rsid w:val="00DD172D"/>
    <w:rsid w:val="00DD2B7A"/>
    <w:rsid w:val="00DE2AD7"/>
    <w:rsid w:val="00DE4A22"/>
    <w:rsid w:val="00DF37D3"/>
    <w:rsid w:val="00DF3892"/>
    <w:rsid w:val="00E05253"/>
    <w:rsid w:val="00E075FF"/>
    <w:rsid w:val="00E22339"/>
    <w:rsid w:val="00E32B3E"/>
    <w:rsid w:val="00E51A74"/>
    <w:rsid w:val="00E626E7"/>
    <w:rsid w:val="00E63336"/>
    <w:rsid w:val="00E65102"/>
    <w:rsid w:val="00E731E6"/>
    <w:rsid w:val="00E74864"/>
    <w:rsid w:val="00E76FD1"/>
    <w:rsid w:val="00E82C41"/>
    <w:rsid w:val="00E82D9E"/>
    <w:rsid w:val="00E9510F"/>
    <w:rsid w:val="00EA1C7E"/>
    <w:rsid w:val="00EB7D3A"/>
    <w:rsid w:val="00EC4DBC"/>
    <w:rsid w:val="00EC7959"/>
    <w:rsid w:val="00EE4E6E"/>
    <w:rsid w:val="00F16DEF"/>
    <w:rsid w:val="00F22AAE"/>
    <w:rsid w:val="00F2598F"/>
    <w:rsid w:val="00F31375"/>
    <w:rsid w:val="00F3402C"/>
    <w:rsid w:val="00F36345"/>
    <w:rsid w:val="00F5613D"/>
    <w:rsid w:val="00F63CC5"/>
    <w:rsid w:val="00F64EED"/>
    <w:rsid w:val="00F726AB"/>
    <w:rsid w:val="00F83D42"/>
    <w:rsid w:val="00F95F84"/>
    <w:rsid w:val="00FA12ED"/>
    <w:rsid w:val="00FA13E7"/>
    <w:rsid w:val="00FA1425"/>
    <w:rsid w:val="00FA592C"/>
    <w:rsid w:val="00FD78E0"/>
    <w:rsid w:val="02AE096A"/>
    <w:rsid w:val="2A300602"/>
    <w:rsid w:val="305843B6"/>
    <w:rsid w:val="68A0361E"/>
    <w:rsid w:val="708C7BEB"/>
    <w:rsid w:val="7B3D168D"/>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0"/>
    <w:qFormat/>
    <w:uiPriority w:val="99"/>
    <w:pPr>
      <w:spacing w:after="120"/>
    </w:pPr>
    <w:rPr>
      <w:rFonts w:ascii="Times New Roman" w:hAnsi="Times New Roman"/>
      <w:sz w:val="24"/>
      <w:szCs w:val="24"/>
    </w:rPr>
  </w:style>
  <w:style w:type="paragraph" w:styleId="3">
    <w:name w:val="Plain Text"/>
    <w:basedOn w:val="1"/>
    <w:link w:val="19"/>
    <w:qFormat/>
    <w:uiPriority w:val="99"/>
    <w:rPr>
      <w:rFonts w:ascii="宋体" w:hAnsi="Courier New"/>
      <w:kern w:val="0"/>
      <w:sz w:val="20"/>
      <w:szCs w:val="20"/>
    </w:rPr>
  </w:style>
  <w:style w:type="paragraph" w:styleId="4">
    <w:name w:val="Balloon Text"/>
    <w:basedOn w:val="1"/>
    <w:link w:val="12"/>
    <w:semiHidden/>
    <w:unhideWhenUsed/>
    <w:qFormat/>
    <w:uiPriority w:val="99"/>
    <w:rPr>
      <w:kern w:val="0"/>
      <w:sz w:val="18"/>
      <w:szCs w:val="18"/>
    </w:rPr>
  </w:style>
  <w:style w:type="paragraph" w:styleId="5">
    <w:name w:val="footer"/>
    <w:basedOn w:val="1"/>
    <w:link w:val="14"/>
    <w:unhideWhenUsed/>
    <w:qFormat/>
    <w:uiPriority w:val="99"/>
    <w:pPr>
      <w:tabs>
        <w:tab w:val="center" w:pos="4153"/>
        <w:tab w:val="right" w:pos="8306"/>
      </w:tabs>
      <w:snapToGrid w:val="0"/>
      <w:jc w:val="left"/>
    </w:pPr>
    <w:rPr>
      <w:kern w:val="0"/>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Title"/>
    <w:basedOn w:val="1"/>
    <w:next w:val="1"/>
    <w:link w:val="15"/>
    <w:qFormat/>
    <w:uiPriority w:val="0"/>
    <w:pPr>
      <w:spacing w:before="240" w:after="60"/>
      <w:jc w:val="center"/>
      <w:outlineLvl w:val="0"/>
    </w:pPr>
    <w:rPr>
      <w:rFonts w:ascii="Cambria" w:hAnsi="Cambria"/>
      <w:b/>
      <w:bCs/>
      <w:sz w:val="32"/>
      <w:szCs w:val="32"/>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批注框文本 Char"/>
    <w:link w:val="4"/>
    <w:semiHidden/>
    <w:qFormat/>
    <w:uiPriority w:val="99"/>
    <w:rPr>
      <w:sz w:val="18"/>
      <w:szCs w:val="18"/>
    </w:rPr>
  </w:style>
  <w:style w:type="character" w:customStyle="1" w:styleId="13">
    <w:name w:val="页眉 Char"/>
    <w:link w:val="6"/>
    <w:qFormat/>
    <w:uiPriority w:val="99"/>
    <w:rPr>
      <w:sz w:val="18"/>
      <w:szCs w:val="18"/>
    </w:rPr>
  </w:style>
  <w:style w:type="character" w:customStyle="1" w:styleId="14">
    <w:name w:val="页脚 Char"/>
    <w:link w:val="5"/>
    <w:qFormat/>
    <w:uiPriority w:val="99"/>
    <w:rPr>
      <w:sz w:val="18"/>
      <w:szCs w:val="18"/>
    </w:rPr>
  </w:style>
  <w:style w:type="character" w:customStyle="1" w:styleId="15">
    <w:name w:val="标题 Char"/>
    <w:link w:val="8"/>
    <w:qFormat/>
    <w:locked/>
    <w:uiPriority w:val="0"/>
    <w:rPr>
      <w:rFonts w:ascii="Cambria" w:hAnsi="Cambria"/>
      <w:b/>
      <w:bCs/>
      <w:kern w:val="2"/>
      <w:sz w:val="32"/>
      <w:szCs w:val="32"/>
    </w:rPr>
  </w:style>
  <w:style w:type="character" w:customStyle="1" w:styleId="16">
    <w:name w:val="标题 Char1"/>
    <w:qFormat/>
    <w:uiPriority w:val="10"/>
    <w:rPr>
      <w:rFonts w:ascii="Cambria" w:hAnsi="Cambria" w:cs="Times New Roman"/>
      <w:b/>
      <w:bCs/>
      <w:kern w:val="2"/>
      <w:sz w:val="32"/>
      <w:szCs w:val="32"/>
    </w:rPr>
  </w:style>
  <w:style w:type="paragraph" w:customStyle="1" w:styleId="17">
    <w:name w:val="Char Char Char Char"/>
    <w:basedOn w:val="1"/>
    <w:autoRedefine/>
    <w:qFormat/>
    <w:uiPriority w:val="0"/>
    <w:pPr>
      <w:tabs>
        <w:tab w:val="left" w:pos="360"/>
      </w:tabs>
    </w:pPr>
    <w:rPr>
      <w:rFonts w:ascii="Times New Roman" w:hAnsi="Times New Roman"/>
      <w:sz w:val="24"/>
      <w:szCs w:val="24"/>
    </w:rPr>
  </w:style>
  <w:style w:type="character" w:customStyle="1" w:styleId="18">
    <w:name w:val="正文文本 Char"/>
    <w:basedOn w:val="11"/>
    <w:link w:val="2"/>
    <w:semiHidden/>
    <w:qFormat/>
    <w:uiPriority w:val="99"/>
    <w:rPr>
      <w:kern w:val="2"/>
      <w:sz w:val="21"/>
      <w:szCs w:val="22"/>
    </w:rPr>
  </w:style>
  <w:style w:type="character" w:customStyle="1" w:styleId="19">
    <w:name w:val="纯文本 Char"/>
    <w:basedOn w:val="11"/>
    <w:link w:val="3"/>
    <w:qFormat/>
    <w:uiPriority w:val="99"/>
    <w:rPr>
      <w:rFonts w:ascii="宋体" w:hAnsi="Courier New"/>
    </w:rPr>
  </w:style>
  <w:style w:type="character" w:customStyle="1" w:styleId="20">
    <w:name w:val="正文文本 Char1"/>
    <w:basedOn w:val="11"/>
    <w:link w:val="2"/>
    <w:qFormat/>
    <w:uiPriority w:val="99"/>
    <w:rPr>
      <w:rFonts w:ascii="Times New Roman" w:hAnsi="Times New Roman"/>
      <w:kern w:val="2"/>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F7334-F867-4374-8DA5-D64CFB462A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1751</Words>
  <Characters>1841</Characters>
  <Lines>37</Lines>
  <Paragraphs>10</Paragraphs>
  <TotalTime>1</TotalTime>
  <ScaleCrop>false</ScaleCrop>
  <LinksUpToDate>false</LinksUpToDate>
  <CharactersWithSpaces>1981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2025-10-30T06:00:00Z</dcterms:created>
  <dc:creator>User</dc:creator>
  <cp:lastModifiedBy>zhu</cp:lastModifiedBy>
  <dcterms:modified xsi:type="dcterms:W3CDTF">2026-09-16T08:48:28Z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eyJoZGlkIjoiZmY5NmM4YTI2NmYyZTM5NzY0NjJiMmRiZGU4NjYxZDEiLCJ1c2VySWQiOiI4MjU2MzkzOTcifQ==</vt:lpwstr>
  </property>
  <property fmtid="{D5CDD505-2E9C-101B-9397-08002B2CF9AE}" pid="3" name="KSOProductBuildVer">
    <vt:lpwstr>2052-12.1.0.26895</vt:lpwstr>
  </property>
  <property fmtid="{D5CDD505-2E9C-101B-9397-08002B2CF9AE}" pid="4" name="ICV">
    <vt:lpwstr>191107E789BB4B5A8A40A16A1BF5B0A4_12</vt:lpwstr>
  </property>
</Properties>
</file>